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422E66B">
      <w:pPr>
        <w:jc w:val="center"/>
        <w:rPr>
          <w:rFonts w:hint="default" w:ascii="Times New Roman" w:hAnsi="Times New Roman" w:cs="Times New Roman"/>
          <w:color w:val="auto"/>
          <w:highlight w:val="none"/>
          <w:u w:val="none" w:color="auto"/>
        </w:rPr>
      </w:pPr>
    </w:p>
    <w:p w14:paraId="72B048C0">
      <w:pPr>
        <w:rPr>
          <w:rFonts w:eastAsia="仿宋_GB2312"/>
          <w:color w:val="auto"/>
          <w:sz w:val="36"/>
          <w:szCs w:val="36"/>
          <w:u w:val="none"/>
        </w:rPr>
      </w:pPr>
    </w:p>
    <w:p w14:paraId="358F646C">
      <w:pPr>
        <w:adjustRightInd w:val="0"/>
        <w:snapToGrid w:val="0"/>
        <w:jc w:val="center"/>
        <w:outlineLvl w:val="0"/>
        <w:rPr>
          <w:rFonts w:eastAsia="方正小标宋_GBK"/>
          <w:bCs/>
          <w:color w:val="auto"/>
          <w:kern w:val="21"/>
          <w:sz w:val="72"/>
          <w:szCs w:val="72"/>
          <w:u w:val="none"/>
        </w:rPr>
      </w:pPr>
      <w:r>
        <w:rPr>
          <w:rFonts w:eastAsia="方正小标宋_GBK"/>
          <w:bCs/>
          <w:color w:val="auto"/>
          <w:kern w:val="21"/>
          <w:sz w:val="72"/>
          <w:szCs w:val="72"/>
          <w:u w:val="none"/>
        </w:rPr>
        <w:t>建设项目环境影响报告表</w:t>
      </w:r>
    </w:p>
    <w:p w14:paraId="7DB087E7">
      <w:pPr>
        <w:adjustRightInd w:val="0"/>
        <w:snapToGrid w:val="0"/>
        <w:spacing w:before="249" w:beforeLines="80"/>
        <w:jc w:val="center"/>
        <w:rPr>
          <w:rFonts w:eastAsia="楷体_GB2312"/>
          <w:bCs/>
          <w:color w:val="auto"/>
          <w:sz w:val="48"/>
          <w:szCs w:val="48"/>
          <w:u w:val="none"/>
        </w:rPr>
      </w:pPr>
      <w:r>
        <w:rPr>
          <w:rFonts w:eastAsia="楷体_GB2312"/>
          <w:bCs/>
          <w:color w:val="auto"/>
          <w:sz w:val="48"/>
          <w:szCs w:val="48"/>
          <w:u w:val="none"/>
        </w:rPr>
        <w:t>（污染影响类）</w:t>
      </w:r>
    </w:p>
    <w:p w14:paraId="0E589898">
      <w:pPr>
        <w:jc w:val="center"/>
        <w:rPr>
          <w:b/>
          <w:bCs/>
          <w:color w:val="auto"/>
          <w:sz w:val="32"/>
          <w:u w:val="none"/>
        </w:rPr>
      </w:pPr>
    </w:p>
    <w:p w14:paraId="516E47E2">
      <w:pPr>
        <w:jc w:val="center"/>
        <w:rPr>
          <w:b/>
          <w:bCs/>
          <w:color w:val="auto"/>
          <w:sz w:val="32"/>
          <w:u w:val="none"/>
        </w:rPr>
      </w:pPr>
    </w:p>
    <w:p w14:paraId="57623A0B">
      <w:pPr>
        <w:jc w:val="center"/>
        <w:rPr>
          <w:b/>
          <w:bCs/>
          <w:color w:val="auto"/>
          <w:sz w:val="32"/>
          <w:u w:val="none"/>
        </w:rPr>
      </w:pPr>
    </w:p>
    <w:p w14:paraId="4E7B2092">
      <w:pPr>
        <w:jc w:val="center"/>
        <w:rPr>
          <w:b/>
          <w:bCs/>
          <w:color w:val="auto"/>
          <w:sz w:val="32"/>
          <w:u w:val="none"/>
        </w:rPr>
      </w:pPr>
    </w:p>
    <w:p w14:paraId="49A0BA38">
      <w:pPr>
        <w:ind w:left="1807" w:hanging="1807" w:hangingChars="500"/>
        <w:jc w:val="left"/>
        <w:rPr>
          <w:rFonts w:eastAsia="仿宋"/>
          <w:b/>
          <w:bCs/>
          <w:color w:val="auto"/>
          <w:sz w:val="36"/>
          <w:szCs w:val="36"/>
          <w:u w:val="none"/>
        </w:rPr>
      </w:pPr>
    </w:p>
    <w:p w14:paraId="17104890">
      <w:pPr>
        <w:ind w:left="1807" w:hanging="1807" w:hangingChars="500"/>
        <w:jc w:val="left"/>
        <w:rPr>
          <w:rFonts w:hint="default" w:eastAsia="仿宋"/>
          <w:b/>
          <w:color w:val="auto"/>
          <w:sz w:val="36"/>
          <w:szCs w:val="36"/>
          <w:u w:val="none"/>
          <w:lang w:val="en-US" w:eastAsia="zh-CN"/>
        </w:rPr>
      </w:pPr>
      <w:r>
        <w:rPr>
          <w:rFonts w:eastAsia="仿宋"/>
          <w:b/>
          <w:bCs/>
          <w:color w:val="auto"/>
          <w:sz w:val="36"/>
          <w:szCs w:val="36"/>
          <w:u w:val="none"/>
        </w:rPr>
        <w:t>项目名称：</w:t>
      </w:r>
      <w:r>
        <w:rPr>
          <w:rFonts w:hint="eastAsia" w:eastAsia="仿宋"/>
          <w:b/>
          <w:bCs/>
          <w:color w:val="auto"/>
          <w:sz w:val="36"/>
          <w:szCs w:val="36"/>
          <w:u w:val="single"/>
          <w:lang w:val="en-US" w:eastAsia="zh-CN"/>
        </w:rPr>
        <w:t xml:space="preserve">镇平县雪枫中学扩建项目                </w:t>
      </w:r>
    </w:p>
    <w:p w14:paraId="0E7C3E06">
      <w:pPr>
        <w:ind w:left="3050" w:hanging="3050" w:hangingChars="844"/>
        <w:rPr>
          <w:rFonts w:eastAsia="仿宋"/>
          <w:b/>
          <w:bCs/>
          <w:color w:val="auto"/>
          <w:sz w:val="36"/>
          <w:szCs w:val="36"/>
          <w:u w:val="none"/>
        </w:rPr>
      </w:pPr>
      <w:r>
        <w:rPr>
          <w:rFonts w:eastAsia="仿宋"/>
          <w:b/>
          <w:bCs/>
          <w:color w:val="auto"/>
          <w:sz w:val="36"/>
          <w:szCs w:val="36"/>
          <w:u w:val="none"/>
        </w:rPr>
        <w:t>建设单位（盖章）：</w:t>
      </w:r>
      <w:r>
        <w:rPr>
          <w:rFonts w:hint="eastAsia" w:eastAsia="仿宋"/>
          <w:b/>
          <w:bCs/>
          <w:color w:val="auto"/>
          <w:sz w:val="36"/>
          <w:szCs w:val="36"/>
          <w:u w:val="single"/>
        </w:rPr>
        <w:t xml:space="preserve">  </w:t>
      </w:r>
      <w:r>
        <w:rPr>
          <w:rFonts w:hint="eastAsia" w:eastAsia="仿宋"/>
          <w:b/>
          <w:bCs/>
          <w:color w:val="auto"/>
          <w:sz w:val="36"/>
          <w:szCs w:val="36"/>
          <w:u w:val="single"/>
          <w:lang w:val="en-US" w:eastAsia="zh-CN"/>
        </w:rPr>
        <w:t>镇平县教育体育局</w:t>
      </w:r>
      <w:r>
        <w:rPr>
          <w:rFonts w:eastAsia="仿宋"/>
          <w:bCs/>
          <w:color w:val="auto"/>
          <w:sz w:val="36"/>
          <w:szCs w:val="36"/>
          <w:u w:val="single"/>
        </w:rPr>
        <w:t xml:space="preserve">  </w:t>
      </w:r>
      <w:r>
        <w:rPr>
          <w:rFonts w:hint="eastAsia" w:eastAsia="仿宋"/>
          <w:bCs/>
          <w:color w:val="auto"/>
          <w:sz w:val="36"/>
          <w:szCs w:val="36"/>
          <w:u w:val="single"/>
          <w:lang w:val="en-US" w:eastAsia="zh-CN"/>
        </w:rPr>
        <w:t xml:space="preserve">            </w:t>
      </w:r>
      <w:r>
        <w:rPr>
          <w:rFonts w:eastAsia="仿宋"/>
          <w:bCs/>
          <w:color w:val="auto"/>
          <w:sz w:val="36"/>
          <w:szCs w:val="36"/>
          <w:u w:val="none"/>
        </w:rPr>
        <w:t xml:space="preserve">  </w:t>
      </w:r>
      <w:r>
        <w:rPr>
          <w:rFonts w:hint="eastAsia" w:eastAsia="仿宋"/>
          <w:bCs/>
          <w:color w:val="auto"/>
          <w:sz w:val="36"/>
          <w:szCs w:val="36"/>
          <w:u w:val="none"/>
        </w:rPr>
        <w:t xml:space="preserve"> </w:t>
      </w:r>
      <w:r>
        <w:rPr>
          <w:rFonts w:eastAsia="仿宋"/>
          <w:b/>
          <w:bCs/>
          <w:color w:val="auto"/>
          <w:sz w:val="36"/>
          <w:szCs w:val="36"/>
          <w:u w:val="none"/>
        </w:rPr>
        <w:t xml:space="preserve"> </w:t>
      </w:r>
      <w:r>
        <w:rPr>
          <w:rFonts w:hint="eastAsia" w:eastAsia="仿宋"/>
          <w:b/>
          <w:bCs/>
          <w:color w:val="auto"/>
          <w:sz w:val="36"/>
          <w:szCs w:val="36"/>
          <w:u w:val="none"/>
        </w:rPr>
        <w:t xml:space="preserve">  </w:t>
      </w:r>
      <w:r>
        <w:rPr>
          <w:rFonts w:eastAsia="仿宋"/>
          <w:b/>
          <w:bCs/>
          <w:color w:val="auto"/>
          <w:sz w:val="36"/>
          <w:szCs w:val="36"/>
          <w:u w:val="none"/>
        </w:rPr>
        <w:t xml:space="preserve">      </w:t>
      </w:r>
    </w:p>
    <w:p w14:paraId="58C11971">
      <w:pPr>
        <w:ind w:left="3050" w:hanging="3050" w:hangingChars="844"/>
        <w:rPr>
          <w:rFonts w:eastAsia="仿宋"/>
          <w:bCs/>
          <w:color w:val="auto"/>
          <w:sz w:val="36"/>
          <w:szCs w:val="36"/>
          <w:u w:val="none"/>
        </w:rPr>
      </w:pPr>
      <w:r>
        <w:rPr>
          <w:rFonts w:eastAsia="仿宋"/>
          <w:b/>
          <w:bCs/>
          <w:color w:val="auto"/>
          <w:sz w:val="36"/>
          <w:szCs w:val="36"/>
          <w:u w:val="none"/>
        </w:rPr>
        <w:t>编制日期：</w:t>
      </w:r>
      <w:r>
        <w:rPr>
          <w:rFonts w:eastAsia="仿宋"/>
          <w:bCs/>
          <w:color w:val="auto"/>
          <w:sz w:val="36"/>
          <w:szCs w:val="36"/>
          <w:u w:val="single"/>
        </w:rPr>
        <w:t xml:space="preserve">            </w:t>
      </w:r>
      <w:r>
        <w:rPr>
          <w:rFonts w:hint="eastAsia" w:eastAsia="仿宋"/>
          <w:b/>
          <w:bCs/>
          <w:color w:val="auto"/>
          <w:sz w:val="36"/>
          <w:szCs w:val="36"/>
          <w:u w:val="single"/>
        </w:rPr>
        <w:t>二零二五</w:t>
      </w:r>
      <w:r>
        <w:rPr>
          <w:rFonts w:eastAsia="仿宋"/>
          <w:b/>
          <w:bCs/>
          <w:color w:val="auto"/>
          <w:sz w:val="36"/>
          <w:szCs w:val="36"/>
          <w:u w:val="single"/>
        </w:rPr>
        <w:t>年</w:t>
      </w:r>
      <w:r>
        <w:rPr>
          <w:rFonts w:hint="eastAsia" w:eastAsia="仿宋"/>
          <w:b/>
          <w:bCs/>
          <w:color w:val="auto"/>
          <w:sz w:val="36"/>
          <w:szCs w:val="36"/>
          <w:u w:val="single"/>
          <w:lang w:val="en-US" w:eastAsia="zh-CN"/>
        </w:rPr>
        <w:t>四</w:t>
      </w:r>
      <w:r>
        <w:rPr>
          <w:rFonts w:eastAsia="仿宋"/>
          <w:b/>
          <w:bCs/>
          <w:color w:val="auto"/>
          <w:sz w:val="36"/>
          <w:szCs w:val="36"/>
          <w:u w:val="single"/>
        </w:rPr>
        <w:t>月</w:t>
      </w:r>
      <w:r>
        <w:rPr>
          <w:rFonts w:eastAsia="仿宋"/>
          <w:bCs/>
          <w:color w:val="auto"/>
          <w:sz w:val="36"/>
          <w:szCs w:val="36"/>
          <w:u w:val="single"/>
        </w:rPr>
        <w:t xml:space="preserve">          </w:t>
      </w:r>
      <w:r>
        <w:rPr>
          <w:rFonts w:hint="eastAsia" w:eastAsia="仿宋"/>
          <w:bCs/>
          <w:color w:val="auto"/>
          <w:sz w:val="36"/>
          <w:szCs w:val="36"/>
          <w:u w:val="single"/>
          <w:lang w:val="en-US" w:eastAsia="zh-CN"/>
        </w:rPr>
        <w:t xml:space="preserve">  </w:t>
      </w:r>
      <w:r>
        <w:rPr>
          <w:rFonts w:eastAsia="仿宋"/>
          <w:bCs/>
          <w:color w:val="auto"/>
          <w:sz w:val="36"/>
          <w:szCs w:val="36"/>
          <w:u w:val="none"/>
        </w:rPr>
        <w:t xml:space="preserve">   </w:t>
      </w:r>
    </w:p>
    <w:p w14:paraId="4955FF8B">
      <w:pPr>
        <w:jc w:val="center"/>
        <w:rPr>
          <w:bCs/>
          <w:color w:val="auto"/>
          <w:sz w:val="32"/>
          <w:u w:val="none"/>
        </w:rPr>
      </w:pPr>
    </w:p>
    <w:p w14:paraId="1A0A6498">
      <w:pPr>
        <w:jc w:val="center"/>
        <w:rPr>
          <w:b/>
          <w:bCs/>
          <w:color w:val="auto"/>
          <w:sz w:val="32"/>
          <w:u w:val="none"/>
        </w:rPr>
      </w:pPr>
    </w:p>
    <w:p w14:paraId="3960C09B">
      <w:pPr>
        <w:jc w:val="center"/>
        <w:rPr>
          <w:b/>
          <w:bCs/>
          <w:color w:val="auto"/>
          <w:sz w:val="32"/>
          <w:u w:val="none"/>
        </w:rPr>
      </w:pPr>
    </w:p>
    <w:p w14:paraId="3DF690BF">
      <w:pPr>
        <w:jc w:val="center"/>
        <w:rPr>
          <w:b/>
          <w:bCs/>
          <w:color w:val="auto"/>
          <w:sz w:val="32"/>
          <w:u w:val="none"/>
        </w:rPr>
      </w:pPr>
    </w:p>
    <w:p w14:paraId="703008C6">
      <w:pPr>
        <w:jc w:val="center"/>
        <w:rPr>
          <w:b/>
          <w:bCs/>
          <w:color w:val="auto"/>
          <w:sz w:val="32"/>
          <w:u w:val="none"/>
        </w:rPr>
      </w:pPr>
    </w:p>
    <w:p w14:paraId="495F6510">
      <w:pPr>
        <w:jc w:val="center"/>
        <w:rPr>
          <w:b/>
          <w:bCs/>
          <w:color w:val="auto"/>
          <w:sz w:val="32"/>
          <w:u w:val="none"/>
        </w:rPr>
      </w:pPr>
    </w:p>
    <w:p w14:paraId="37A8534A">
      <w:pPr>
        <w:ind w:firstLine="720" w:firstLineChars="200"/>
        <w:jc w:val="center"/>
        <w:rPr>
          <w:rFonts w:eastAsia="楷体_GB2312"/>
          <w:color w:val="auto"/>
          <w:sz w:val="36"/>
          <w:szCs w:val="36"/>
          <w:u w:val="none"/>
        </w:rPr>
      </w:pPr>
      <w:r>
        <w:rPr>
          <w:rFonts w:eastAsia="楷体_GB2312"/>
          <w:color w:val="auto"/>
          <w:sz w:val="36"/>
          <w:szCs w:val="36"/>
          <w:u w:val="none"/>
        </w:rPr>
        <w:t>中华人民共和国生态环境部制</w:t>
      </w:r>
    </w:p>
    <w:p w14:paraId="1D729D87">
      <w:pPr>
        <w:jc w:val="center"/>
        <w:rPr>
          <w:rFonts w:hint="default" w:ascii="Times New Roman" w:hAnsi="Times New Roman" w:cs="Times New Roman"/>
          <w:color w:val="auto"/>
          <w:highlight w:val="none"/>
          <w:u w:val="none" w:color="auto"/>
        </w:rPr>
      </w:pPr>
    </w:p>
    <w:p w14:paraId="7113BCC9">
      <w:pPr>
        <w:jc w:val="center"/>
        <w:rPr>
          <w:rFonts w:hint="default" w:ascii="Times New Roman" w:hAnsi="Times New Roman" w:cs="Times New Roman"/>
          <w:color w:val="auto"/>
          <w:highlight w:val="none"/>
          <w:u w:val="none" w:color="auto"/>
        </w:rPr>
      </w:pPr>
    </w:p>
    <w:p w14:paraId="38463270">
      <w:pPr>
        <w:jc w:val="center"/>
        <w:rPr>
          <w:rFonts w:hint="default" w:ascii="Times New Roman" w:hAnsi="Times New Roman" w:cs="Times New Roman"/>
          <w:color w:val="auto"/>
          <w:highlight w:val="none"/>
          <w:u w:val="none" w:color="auto"/>
        </w:rPr>
      </w:pPr>
    </w:p>
    <w:p w14:paraId="36D927F1">
      <w:pPr>
        <w:keepNext w:val="0"/>
        <w:keepLines w:val="0"/>
        <w:pageBreakBefore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cs="Times New Roman"/>
          <w:b w:val="0"/>
          <w:bCs w:val="0"/>
          <w:color w:val="auto"/>
          <w:sz w:val="24"/>
          <w:szCs w:val="24"/>
          <w:highlight w:val="none"/>
          <w:u w:val="none" w:color="auto"/>
        </w:rPr>
        <w:sectPr>
          <w:headerReference r:id="rId3" w:type="default"/>
          <w:pgSz w:w="11906" w:h="16838"/>
          <w:pgMar w:top="1701" w:right="1588" w:bottom="1701" w:left="1588" w:header="851" w:footer="1134" w:gutter="0"/>
          <w:pgNumType w:fmt="numberInDash" w:start="1"/>
          <w:cols w:space="720" w:num="1"/>
          <w:docGrid w:type="lines" w:linePitch="312" w:charSpace="0"/>
        </w:sectPr>
      </w:pPr>
    </w:p>
    <w:p w14:paraId="6A95B0DD">
      <w:pPr>
        <w:rPr>
          <w:b/>
        </w:rPr>
      </w:pPr>
    </w:p>
    <w:p w14:paraId="5215B539">
      <w:pPr>
        <w:pStyle w:val="2"/>
        <w:ind w:left="0" w:firstLine="0"/>
        <w:rPr>
          <w:rFonts w:hint="default" w:ascii="Times New Roman" w:hAnsi="Times New Roman" w:cs="Times New Roman"/>
          <w:color w:val="auto"/>
          <w:highlight w:val="none"/>
          <w:u w:val="none" w:color="auto"/>
        </w:rPr>
      </w:pPr>
      <w:bookmarkStart w:id="0" w:name="_Toc2073"/>
      <w:bookmarkStart w:id="1" w:name="_Toc5562"/>
      <w:bookmarkStart w:id="2" w:name="_Toc17367"/>
      <w:bookmarkStart w:id="3" w:name="_Toc32644"/>
      <w:bookmarkStart w:id="4" w:name="_Toc6287"/>
      <w:bookmarkStart w:id="5" w:name="_Toc2529"/>
      <w:r>
        <w:rPr>
          <w:rFonts w:hint="default" w:ascii="Times New Roman" w:hAnsi="Times New Roman" w:cs="Times New Roman"/>
          <w:color w:val="auto"/>
          <w:highlight w:val="none"/>
          <w:u w:val="none" w:color="auto"/>
        </w:rPr>
        <w:t>一、建设项目基本情况</w:t>
      </w:r>
      <w:bookmarkEnd w:id="0"/>
      <w:bookmarkEnd w:id="1"/>
      <w:bookmarkEnd w:id="2"/>
      <w:bookmarkEnd w:id="3"/>
      <w:bookmarkEnd w:id="4"/>
      <w:bookmarkEnd w:id="5"/>
    </w:p>
    <w:tbl>
      <w:tblPr>
        <w:tblStyle w:val="35"/>
        <w:tblW w:w="498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309"/>
        <w:gridCol w:w="1842"/>
        <w:gridCol w:w="1967"/>
        <w:gridCol w:w="3729"/>
      </w:tblGrid>
      <w:tr w14:paraId="67E50D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311" w:type="dxa"/>
            <w:noWrap w:val="0"/>
            <w:tcMar>
              <w:top w:w="16" w:type="dxa"/>
              <w:left w:w="16" w:type="dxa"/>
              <w:right w:w="16" w:type="dxa"/>
            </w:tcMar>
            <w:vAlign w:val="center"/>
          </w:tcPr>
          <w:p w14:paraId="66F3F113">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建设项目名称</w:t>
            </w:r>
          </w:p>
        </w:tc>
        <w:tc>
          <w:tcPr>
            <w:tcW w:w="7543" w:type="dxa"/>
            <w:gridSpan w:val="3"/>
            <w:noWrap w:val="0"/>
            <w:vAlign w:val="center"/>
          </w:tcPr>
          <w:p w14:paraId="1AA55689">
            <w:pPr>
              <w:adjustRightInd w:val="0"/>
              <w:snapToGrid w:val="0"/>
              <w:jc w:val="center"/>
              <w:rPr>
                <w:rFonts w:hint="default" w:ascii="Times New Roman" w:hAnsi="Times New Roman" w:cs="Times New Roman"/>
                <w:color w:val="auto"/>
                <w:sz w:val="24"/>
                <w:highlight w:val="none"/>
                <w:u w:val="none" w:color="auto"/>
              </w:rPr>
            </w:pPr>
            <w:bookmarkStart w:id="120" w:name="_GoBack"/>
            <w:r>
              <w:rPr>
                <w:rFonts w:hint="default" w:ascii="Times New Roman" w:hAnsi="Times New Roman" w:cs="Times New Roman"/>
                <w:color w:val="auto"/>
                <w:sz w:val="24"/>
                <w:highlight w:val="none"/>
                <w:u w:val="none" w:color="auto"/>
                <w:lang w:val="en-US" w:eastAsia="zh-CN"/>
              </w:rPr>
              <w:t>镇平县雪枫中学扩建项目</w:t>
            </w:r>
            <w:bookmarkEnd w:id="120"/>
          </w:p>
        </w:tc>
      </w:tr>
      <w:tr w14:paraId="13180D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11" w:type="dxa"/>
            <w:noWrap w:val="0"/>
            <w:tcMar>
              <w:top w:w="16" w:type="dxa"/>
              <w:left w:w="16" w:type="dxa"/>
              <w:right w:w="16" w:type="dxa"/>
            </w:tcMar>
            <w:vAlign w:val="center"/>
          </w:tcPr>
          <w:p w14:paraId="1773B6AA">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项目代码</w:t>
            </w:r>
          </w:p>
        </w:tc>
        <w:tc>
          <w:tcPr>
            <w:tcW w:w="7543" w:type="dxa"/>
            <w:gridSpan w:val="3"/>
            <w:noWrap w:val="0"/>
            <w:vAlign w:val="center"/>
          </w:tcPr>
          <w:p w14:paraId="0F20FB10">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2404-411324-04-01-418709</w:t>
            </w:r>
          </w:p>
        </w:tc>
      </w:tr>
      <w:tr w14:paraId="3154B6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11" w:type="dxa"/>
            <w:noWrap w:val="0"/>
            <w:tcMar>
              <w:top w:w="16" w:type="dxa"/>
              <w:left w:w="16" w:type="dxa"/>
              <w:right w:w="16" w:type="dxa"/>
            </w:tcMar>
            <w:vAlign w:val="center"/>
          </w:tcPr>
          <w:p w14:paraId="2C041B03">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建设单位联系人</w:t>
            </w:r>
          </w:p>
        </w:tc>
        <w:tc>
          <w:tcPr>
            <w:tcW w:w="1843" w:type="dxa"/>
            <w:noWrap w:val="0"/>
            <w:vAlign w:val="center"/>
          </w:tcPr>
          <w:p w14:paraId="6F525CBB">
            <w:pPr>
              <w:adjustRightInd w:val="0"/>
              <w:snapToGrid w:val="0"/>
              <w:jc w:val="center"/>
              <w:rPr>
                <w:rFonts w:hint="eastAsia" w:ascii="Times New Roman" w:hAnsi="Times New Roman" w:eastAsia="宋体" w:cs="Times New Roman"/>
                <w:color w:val="auto"/>
                <w:sz w:val="24"/>
                <w:highlight w:val="none"/>
                <w:u w:val="none" w:color="auto"/>
                <w:lang w:val="en-US" w:eastAsia="zh-CN"/>
              </w:rPr>
            </w:pPr>
            <w:r>
              <w:rPr>
                <w:rFonts w:hint="eastAsia" w:cs="Times New Roman"/>
                <w:color w:val="auto"/>
                <w:sz w:val="24"/>
                <w:highlight w:val="none"/>
                <w:u w:val="none" w:color="auto"/>
                <w:lang w:val="en-US" w:eastAsia="zh-CN"/>
              </w:rPr>
              <w:t>王主任</w:t>
            </w:r>
          </w:p>
        </w:tc>
        <w:tc>
          <w:tcPr>
            <w:tcW w:w="1968" w:type="dxa"/>
            <w:noWrap w:val="0"/>
            <w:vAlign w:val="center"/>
          </w:tcPr>
          <w:p w14:paraId="0F722B2A">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kern w:val="21"/>
                <w:sz w:val="24"/>
                <w:highlight w:val="none"/>
                <w:u w:val="none" w:color="auto"/>
              </w:rPr>
              <w:t>联系方式</w:t>
            </w:r>
          </w:p>
        </w:tc>
        <w:tc>
          <w:tcPr>
            <w:tcW w:w="3732" w:type="dxa"/>
            <w:noWrap w:val="0"/>
            <w:vAlign w:val="center"/>
          </w:tcPr>
          <w:p w14:paraId="66608446">
            <w:pPr>
              <w:adjustRightInd w:val="0"/>
              <w:snapToGrid w:val="0"/>
              <w:jc w:val="center"/>
              <w:rPr>
                <w:rFonts w:hint="default" w:ascii="Times New Roman" w:hAnsi="Times New Roman" w:eastAsia="宋体" w:cs="Times New Roman"/>
                <w:color w:val="auto"/>
                <w:sz w:val="24"/>
                <w:highlight w:val="none"/>
                <w:u w:val="none" w:color="auto"/>
                <w:lang w:val="en-US" w:eastAsia="zh-CN"/>
              </w:rPr>
            </w:pPr>
            <w:r>
              <w:rPr>
                <w:rFonts w:hint="eastAsia" w:cs="Times New Roman"/>
                <w:color w:val="auto"/>
                <w:sz w:val="24"/>
                <w:highlight w:val="none"/>
                <w:u w:val="none" w:color="auto"/>
                <w:lang w:val="en-US" w:eastAsia="zh-CN"/>
              </w:rPr>
              <w:t>13598295933</w:t>
            </w:r>
          </w:p>
        </w:tc>
      </w:tr>
      <w:tr w14:paraId="2B1656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11" w:type="dxa"/>
            <w:noWrap w:val="0"/>
            <w:tcMar>
              <w:top w:w="16" w:type="dxa"/>
              <w:left w:w="16" w:type="dxa"/>
              <w:right w:w="16" w:type="dxa"/>
            </w:tcMar>
            <w:vAlign w:val="center"/>
          </w:tcPr>
          <w:p w14:paraId="273A1871">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建设地点</w:t>
            </w:r>
          </w:p>
        </w:tc>
        <w:tc>
          <w:tcPr>
            <w:tcW w:w="7543" w:type="dxa"/>
            <w:gridSpan w:val="3"/>
            <w:noWrap w:val="0"/>
            <w:vAlign w:val="center"/>
          </w:tcPr>
          <w:p w14:paraId="036BC818">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lang w:val="en-US" w:eastAsia="zh-CN"/>
              </w:rPr>
              <w:t>镇平县涅阳街道中山街东段北侧，镇平县雪枫中学西侧</w:t>
            </w:r>
          </w:p>
        </w:tc>
      </w:tr>
      <w:tr w14:paraId="579C1F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11" w:type="dxa"/>
            <w:noWrap w:val="0"/>
            <w:tcMar>
              <w:top w:w="16" w:type="dxa"/>
              <w:left w:w="16" w:type="dxa"/>
              <w:right w:w="16" w:type="dxa"/>
            </w:tcMar>
            <w:vAlign w:val="center"/>
          </w:tcPr>
          <w:p w14:paraId="33F54823">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地理坐标</w:t>
            </w:r>
          </w:p>
        </w:tc>
        <w:tc>
          <w:tcPr>
            <w:tcW w:w="7543" w:type="dxa"/>
            <w:gridSpan w:val="3"/>
            <w:noWrap w:val="0"/>
            <w:vAlign w:val="center"/>
          </w:tcPr>
          <w:p w14:paraId="14C517BE">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（112</w:t>
            </w:r>
            <w:r>
              <w:rPr>
                <w:rFonts w:hint="eastAsia" w:cs="Times New Roman"/>
                <w:color w:val="auto"/>
                <w:sz w:val="24"/>
                <w:highlight w:val="none"/>
                <w:u w:val="none" w:color="auto"/>
                <w:lang w:val="en-US" w:eastAsia="zh-CN"/>
              </w:rPr>
              <w:t>度</w:t>
            </w:r>
            <w:r>
              <w:rPr>
                <w:rFonts w:hint="default" w:ascii="Times New Roman" w:hAnsi="Times New Roman" w:cs="Times New Roman"/>
                <w:color w:val="auto"/>
                <w:sz w:val="24"/>
                <w:highlight w:val="none"/>
                <w:u w:val="none" w:color="auto"/>
              </w:rPr>
              <w:t>15</w:t>
            </w:r>
            <w:r>
              <w:rPr>
                <w:rFonts w:hint="eastAsia" w:cs="Times New Roman"/>
                <w:color w:val="auto"/>
                <w:sz w:val="24"/>
                <w:highlight w:val="none"/>
                <w:u w:val="none" w:color="auto"/>
                <w:lang w:val="en-US" w:eastAsia="zh-CN"/>
              </w:rPr>
              <w:t>分</w:t>
            </w:r>
            <w:r>
              <w:rPr>
                <w:rFonts w:hint="default" w:ascii="Times New Roman" w:hAnsi="Times New Roman" w:cs="Times New Roman"/>
                <w:color w:val="auto"/>
                <w:sz w:val="24"/>
                <w:highlight w:val="none"/>
                <w:u w:val="none" w:color="auto"/>
              </w:rPr>
              <w:t>7.82</w:t>
            </w:r>
            <w:r>
              <w:rPr>
                <w:rFonts w:hint="eastAsia" w:cs="Times New Roman"/>
                <w:color w:val="auto"/>
                <w:sz w:val="24"/>
                <w:highlight w:val="none"/>
                <w:u w:val="none" w:color="auto"/>
                <w:lang w:val="en-US" w:eastAsia="zh-CN"/>
              </w:rPr>
              <w:t>8秒</w:t>
            </w:r>
            <w:r>
              <w:rPr>
                <w:rFonts w:hint="default" w:ascii="Times New Roman" w:hAnsi="Times New Roman" w:cs="Times New Roman"/>
                <w:color w:val="auto"/>
                <w:sz w:val="24"/>
                <w:highlight w:val="none"/>
                <w:u w:val="none" w:color="auto"/>
              </w:rPr>
              <w:t>，33</w:t>
            </w:r>
            <w:r>
              <w:rPr>
                <w:rFonts w:hint="eastAsia" w:cs="Times New Roman"/>
                <w:color w:val="auto"/>
                <w:sz w:val="24"/>
                <w:highlight w:val="none"/>
                <w:u w:val="none" w:color="auto"/>
                <w:lang w:val="en-US" w:eastAsia="zh-CN"/>
              </w:rPr>
              <w:t>度</w:t>
            </w:r>
            <w:r>
              <w:rPr>
                <w:rFonts w:hint="default" w:ascii="Times New Roman" w:hAnsi="Times New Roman" w:cs="Times New Roman"/>
                <w:color w:val="auto"/>
                <w:sz w:val="24"/>
                <w:highlight w:val="none"/>
                <w:u w:val="none" w:color="auto"/>
              </w:rPr>
              <w:t>2</w:t>
            </w:r>
            <w:r>
              <w:rPr>
                <w:rFonts w:hint="eastAsia" w:cs="Times New Roman"/>
                <w:color w:val="auto"/>
                <w:sz w:val="24"/>
                <w:highlight w:val="none"/>
                <w:u w:val="none" w:color="auto"/>
                <w:lang w:val="en-US" w:eastAsia="zh-CN"/>
              </w:rPr>
              <w:t>分</w:t>
            </w:r>
            <w:r>
              <w:rPr>
                <w:rFonts w:hint="default" w:ascii="Times New Roman" w:hAnsi="Times New Roman" w:cs="Times New Roman"/>
                <w:color w:val="auto"/>
                <w:sz w:val="24"/>
                <w:highlight w:val="none"/>
                <w:u w:val="none" w:color="auto"/>
              </w:rPr>
              <w:t>14.49</w:t>
            </w:r>
            <w:r>
              <w:rPr>
                <w:rFonts w:hint="eastAsia" w:cs="Times New Roman"/>
                <w:color w:val="auto"/>
                <w:sz w:val="24"/>
                <w:highlight w:val="none"/>
                <w:u w:val="none" w:color="auto"/>
                <w:lang w:val="en-US" w:eastAsia="zh-CN"/>
              </w:rPr>
              <w:t>9秒</w:t>
            </w:r>
            <w:r>
              <w:rPr>
                <w:rFonts w:hint="default" w:ascii="Times New Roman" w:hAnsi="Times New Roman" w:cs="Times New Roman"/>
                <w:color w:val="auto"/>
                <w:sz w:val="24"/>
                <w:highlight w:val="none"/>
                <w:u w:val="none" w:color="auto"/>
              </w:rPr>
              <w:t>）</w:t>
            </w:r>
          </w:p>
        </w:tc>
      </w:tr>
      <w:tr w14:paraId="33E347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311" w:type="dxa"/>
            <w:noWrap w:val="0"/>
            <w:tcMar>
              <w:top w:w="16" w:type="dxa"/>
              <w:left w:w="16" w:type="dxa"/>
              <w:right w:w="16" w:type="dxa"/>
            </w:tcMar>
            <w:vAlign w:val="center"/>
          </w:tcPr>
          <w:p w14:paraId="0FB079ED">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国民经济</w:t>
            </w:r>
          </w:p>
          <w:p w14:paraId="55386F0C">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行业类别</w:t>
            </w:r>
          </w:p>
        </w:tc>
        <w:tc>
          <w:tcPr>
            <w:tcW w:w="1843" w:type="dxa"/>
            <w:noWrap w:val="0"/>
            <w:vAlign w:val="center"/>
          </w:tcPr>
          <w:p w14:paraId="3099B97C">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lang w:val="en-US" w:eastAsia="zh-CN"/>
              </w:rPr>
              <w:t>P8334普通高中教育</w:t>
            </w:r>
          </w:p>
        </w:tc>
        <w:tc>
          <w:tcPr>
            <w:tcW w:w="1968" w:type="dxa"/>
            <w:noWrap w:val="0"/>
            <w:vAlign w:val="center"/>
          </w:tcPr>
          <w:p w14:paraId="31C6F832">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建设项目</w:t>
            </w:r>
          </w:p>
          <w:p w14:paraId="2AFE92A1">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行业类别</w:t>
            </w:r>
          </w:p>
        </w:tc>
        <w:tc>
          <w:tcPr>
            <w:tcW w:w="3732" w:type="dxa"/>
            <w:noWrap w:val="0"/>
            <w:vAlign w:val="center"/>
          </w:tcPr>
          <w:p w14:paraId="706ADF6D">
            <w:pPr>
              <w:adjustRightInd w:val="0"/>
              <w:snapToGrid w:val="0"/>
              <w:rPr>
                <w:rFonts w:hint="eastAsia" w:cs="Times New Roman"/>
                <w:color w:val="auto"/>
                <w:sz w:val="24"/>
                <w:highlight w:val="none"/>
                <w:u w:val="none" w:color="auto"/>
                <w:lang w:val="en-US" w:eastAsia="zh-CN"/>
              </w:rPr>
            </w:pPr>
            <w:r>
              <w:rPr>
                <w:rFonts w:hint="default" w:ascii="Times New Roman" w:hAnsi="Times New Roman" w:cs="Times New Roman"/>
                <w:color w:val="auto"/>
                <w:sz w:val="24"/>
                <w:highlight w:val="none"/>
                <w:u w:val="none" w:color="auto"/>
                <w:lang w:val="en-US" w:eastAsia="zh-CN"/>
              </w:rPr>
              <w:t>五十、社会事业与服务业</w:t>
            </w:r>
            <w:r>
              <w:rPr>
                <w:rFonts w:hint="eastAsia" w:cs="Times New Roman"/>
                <w:color w:val="auto"/>
                <w:sz w:val="24"/>
                <w:highlight w:val="none"/>
                <w:u w:val="none" w:color="auto"/>
                <w:lang w:val="en-US" w:eastAsia="zh-CN"/>
              </w:rPr>
              <w:t xml:space="preserve">110学校、福利院、养老院（建筑面积5000平 </w:t>
            </w:r>
          </w:p>
          <w:p w14:paraId="58284297">
            <w:pPr>
              <w:adjustRightInd w:val="0"/>
              <w:snapToGrid w:val="0"/>
              <w:rPr>
                <w:rFonts w:hint="default" w:ascii="Times New Roman" w:hAnsi="Times New Roman" w:cs="Times New Roman"/>
                <w:color w:val="auto"/>
                <w:sz w:val="24"/>
                <w:highlight w:val="none"/>
                <w:u w:val="none" w:color="auto"/>
              </w:rPr>
            </w:pPr>
            <w:r>
              <w:rPr>
                <w:rFonts w:hint="eastAsia" w:cs="Times New Roman"/>
                <w:color w:val="auto"/>
                <w:sz w:val="24"/>
                <w:highlight w:val="none"/>
                <w:u w:val="none" w:color="auto"/>
                <w:lang w:val="en-US" w:eastAsia="zh-CN"/>
              </w:rPr>
              <w:t>方米及以上的）中“ 新建涉及环境敏感区的；有化学、生物实验室的学校”；</w:t>
            </w:r>
          </w:p>
        </w:tc>
      </w:tr>
      <w:tr w14:paraId="561FA6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70" w:hRule="atLeast"/>
          <w:jc w:val="center"/>
        </w:trPr>
        <w:tc>
          <w:tcPr>
            <w:tcW w:w="1311" w:type="dxa"/>
            <w:noWrap w:val="0"/>
            <w:tcMar>
              <w:top w:w="16" w:type="dxa"/>
              <w:left w:w="16" w:type="dxa"/>
              <w:right w:w="16" w:type="dxa"/>
            </w:tcMar>
            <w:vAlign w:val="center"/>
          </w:tcPr>
          <w:p w14:paraId="08C42320">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建设性质</w:t>
            </w:r>
          </w:p>
        </w:tc>
        <w:tc>
          <w:tcPr>
            <w:tcW w:w="1843" w:type="dxa"/>
            <w:noWrap w:val="0"/>
            <w:vAlign w:val="center"/>
          </w:tcPr>
          <w:p w14:paraId="5AE251E3">
            <w:pPr>
              <w:adjustRightInd w:val="0"/>
              <w:snapToGrid w:val="0"/>
              <w:jc w:val="left"/>
              <w:rPr>
                <w:rFonts w:hint="default" w:ascii="Times New Roman" w:hAnsi="Times New Roman" w:cs="Times New Roman"/>
                <w:color w:val="auto"/>
                <w:kern w:val="21"/>
                <w:sz w:val="24"/>
                <w:highlight w:val="none"/>
                <w:u w:val="none" w:color="auto"/>
              </w:rPr>
            </w:pPr>
            <w:r>
              <w:rPr>
                <w:rFonts w:hint="eastAsia" w:cs="Times New Roman"/>
                <w:color w:val="auto"/>
                <w:kern w:val="21"/>
                <w:sz w:val="24"/>
                <w:highlight w:val="none"/>
                <w:u w:val="none" w:color="auto"/>
                <w:lang w:eastAsia="zh-CN"/>
              </w:rPr>
              <w:t>□</w:t>
            </w:r>
            <w:r>
              <w:rPr>
                <w:rFonts w:hint="default" w:ascii="Times New Roman" w:hAnsi="Times New Roman" w:cs="Times New Roman"/>
                <w:color w:val="auto"/>
                <w:kern w:val="21"/>
                <w:sz w:val="24"/>
                <w:highlight w:val="none"/>
                <w:u w:val="none" w:color="auto"/>
              </w:rPr>
              <w:t>新建（迁建）</w:t>
            </w:r>
          </w:p>
          <w:p w14:paraId="3774155A">
            <w:pPr>
              <w:adjustRightInd w:val="0"/>
              <w:snapToGrid w:val="0"/>
              <w:jc w:val="left"/>
              <w:rPr>
                <w:rFonts w:hint="default" w:ascii="Times New Roman" w:hAnsi="Times New Roman" w:cs="Times New Roman"/>
                <w:color w:val="auto"/>
                <w:kern w:val="21"/>
                <w:sz w:val="24"/>
                <w:highlight w:val="none"/>
                <w:u w:val="none" w:color="auto"/>
              </w:rPr>
            </w:pPr>
            <w:r>
              <w:rPr>
                <w:rFonts w:hint="default" w:ascii="Times New Roman" w:hAnsi="Times New Roman" w:cs="Times New Roman"/>
                <w:color w:val="auto"/>
                <w:kern w:val="21"/>
                <w:sz w:val="24"/>
                <w:highlight w:val="none"/>
                <w:u w:val="none" w:color="auto"/>
              </w:rPr>
              <w:t>□改建</w:t>
            </w:r>
          </w:p>
          <w:p w14:paraId="78C6D2A1">
            <w:pPr>
              <w:adjustRightInd w:val="0"/>
              <w:snapToGrid w:val="0"/>
              <w:jc w:val="left"/>
              <w:rPr>
                <w:rFonts w:hint="default" w:ascii="Times New Roman" w:hAnsi="Times New Roman" w:cs="Times New Roman"/>
                <w:color w:val="auto"/>
                <w:kern w:val="21"/>
                <w:sz w:val="24"/>
                <w:highlight w:val="none"/>
                <w:u w:val="none" w:color="auto"/>
              </w:rPr>
            </w:pPr>
            <w:r>
              <w:rPr>
                <w:rFonts w:hint="eastAsia" w:cs="Times New Roman"/>
                <w:color w:val="auto"/>
                <w:kern w:val="21"/>
                <w:sz w:val="24"/>
                <w:highlight w:val="none"/>
                <w:u w:val="none" w:color="auto"/>
                <w:lang w:eastAsia="zh-CN"/>
              </w:rPr>
              <w:t>☑</w:t>
            </w:r>
            <w:r>
              <w:rPr>
                <w:rFonts w:hint="default" w:ascii="Times New Roman" w:hAnsi="Times New Roman" w:cs="Times New Roman"/>
                <w:color w:val="auto"/>
                <w:kern w:val="21"/>
                <w:sz w:val="24"/>
                <w:highlight w:val="none"/>
                <w:u w:val="none" w:color="auto"/>
              </w:rPr>
              <w:t>扩建</w:t>
            </w:r>
          </w:p>
          <w:p w14:paraId="16D4C89E">
            <w:pPr>
              <w:adjustRightInd w:val="0"/>
              <w:snapToGrid w:val="0"/>
              <w:jc w:val="left"/>
              <w:rPr>
                <w:rFonts w:hint="default" w:ascii="Times New Roman" w:hAnsi="Times New Roman" w:cs="Times New Roman"/>
                <w:color w:val="auto"/>
                <w:sz w:val="24"/>
                <w:highlight w:val="none"/>
                <w:u w:val="none" w:color="auto"/>
              </w:rPr>
            </w:pPr>
            <w:r>
              <w:rPr>
                <w:rFonts w:hint="default" w:ascii="Times New Roman" w:hAnsi="Times New Roman" w:cs="Times New Roman"/>
                <w:color w:val="auto"/>
                <w:kern w:val="21"/>
                <w:sz w:val="24"/>
                <w:highlight w:val="none"/>
                <w:u w:val="none" w:color="auto"/>
              </w:rPr>
              <w:t>□技术改造</w:t>
            </w:r>
          </w:p>
        </w:tc>
        <w:tc>
          <w:tcPr>
            <w:tcW w:w="1968" w:type="dxa"/>
            <w:noWrap w:val="0"/>
            <w:vAlign w:val="center"/>
          </w:tcPr>
          <w:p w14:paraId="427D3DB3">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建设项目</w:t>
            </w:r>
          </w:p>
          <w:p w14:paraId="20F0F376">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申报情形</w:t>
            </w:r>
          </w:p>
        </w:tc>
        <w:tc>
          <w:tcPr>
            <w:tcW w:w="3732" w:type="dxa"/>
            <w:noWrap w:val="0"/>
            <w:vAlign w:val="center"/>
          </w:tcPr>
          <w:p w14:paraId="4DF38868">
            <w:pPr>
              <w:adjustRightInd w:val="0"/>
              <w:snapToGrid w:val="0"/>
              <w:jc w:val="left"/>
              <w:rPr>
                <w:rFonts w:hint="default" w:ascii="Times New Roman" w:hAnsi="Times New Roman" w:cs="Times New Roman"/>
                <w:color w:val="auto"/>
                <w:kern w:val="21"/>
                <w:sz w:val="24"/>
                <w:highlight w:val="none"/>
                <w:u w:val="none" w:color="auto"/>
              </w:rPr>
            </w:pPr>
            <w:r>
              <w:rPr>
                <w:rFonts w:hint="default" w:ascii="Times New Roman" w:hAnsi="Times New Roman" w:cs="Times New Roman"/>
                <w:color w:val="auto"/>
                <w:kern w:val="21"/>
                <w:sz w:val="24"/>
                <w:highlight w:val="none"/>
                <w:u w:val="none" w:color="auto"/>
              </w:rPr>
              <w:t>☑首次申报项目</w:t>
            </w:r>
          </w:p>
          <w:p w14:paraId="599F89EF">
            <w:pPr>
              <w:adjustRightInd w:val="0"/>
              <w:snapToGrid w:val="0"/>
              <w:jc w:val="left"/>
              <w:rPr>
                <w:rFonts w:hint="default" w:ascii="Times New Roman" w:hAnsi="Times New Roman" w:cs="Times New Roman"/>
                <w:color w:val="auto"/>
                <w:kern w:val="21"/>
                <w:sz w:val="24"/>
                <w:highlight w:val="none"/>
                <w:u w:val="none" w:color="auto"/>
              </w:rPr>
            </w:pPr>
            <w:r>
              <w:rPr>
                <w:rFonts w:hint="default" w:ascii="Times New Roman" w:hAnsi="Times New Roman" w:cs="Times New Roman"/>
                <w:color w:val="auto"/>
                <w:kern w:val="21"/>
                <w:sz w:val="24"/>
                <w:highlight w:val="none"/>
                <w:u w:val="none" w:color="auto"/>
              </w:rPr>
              <w:t>□不予批准后再次申报项目</w:t>
            </w:r>
          </w:p>
          <w:p w14:paraId="3E964B58">
            <w:pPr>
              <w:adjustRightInd w:val="0"/>
              <w:snapToGrid w:val="0"/>
              <w:jc w:val="left"/>
              <w:rPr>
                <w:rFonts w:hint="default" w:ascii="Times New Roman" w:hAnsi="Times New Roman" w:cs="Times New Roman"/>
                <w:color w:val="auto"/>
                <w:kern w:val="21"/>
                <w:sz w:val="24"/>
                <w:highlight w:val="none"/>
                <w:u w:val="none" w:color="auto"/>
              </w:rPr>
            </w:pPr>
            <w:r>
              <w:rPr>
                <w:rFonts w:hint="default" w:ascii="Times New Roman" w:hAnsi="Times New Roman" w:cs="Times New Roman"/>
                <w:color w:val="auto"/>
                <w:kern w:val="21"/>
                <w:sz w:val="24"/>
                <w:highlight w:val="none"/>
                <w:u w:val="none" w:color="auto"/>
              </w:rPr>
              <w:t>□超五年重新审核项目</w:t>
            </w:r>
          </w:p>
          <w:p w14:paraId="09C80915">
            <w:pPr>
              <w:adjustRightInd w:val="0"/>
              <w:snapToGrid w:val="0"/>
              <w:jc w:val="left"/>
              <w:rPr>
                <w:rFonts w:hint="default" w:ascii="Times New Roman" w:hAnsi="Times New Roman" w:cs="Times New Roman"/>
                <w:color w:val="auto"/>
                <w:sz w:val="24"/>
                <w:highlight w:val="none"/>
                <w:u w:val="none" w:color="auto"/>
              </w:rPr>
            </w:pPr>
            <w:r>
              <w:rPr>
                <w:rFonts w:hint="default" w:ascii="Times New Roman" w:hAnsi="Times New Roman" w:cs="Times New Roman"/>
                <w:color w:val="auto"/>
                <w:kern w:val="21"/>
                <w:sz w:val="24"/>
                <w:highlight w:val="none"/>
                <w:u w:val="none" w:color="auto"/>
              </w:rPr>
              <w:t>□重大变动重新报批项目</w:t>
            </w:r>
          </w:p>
        </w:tc>
      </w:tr>
      <w:tr w14:paraId="4CA804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311" w:type="dxa"/>
            <w:noWrap w:val="0"/>
            <w:tcMar>
              <w:top w:w="16" w:type="dxa"/>
              <w:left w:w="16" w:type="dxa"/>
              <w:right w:w="16" w:type="dxa"/>
            </w:tcMar>
            <w:vAlign w:val="center"/>
          </w:tcPr>
          <w:p w14:paraId="45DA0464">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项目审批（核准/备案）部门（选填）</w:t>
            </w:r>
          </w:p>
        </w:tc>
        <w:tc>
          <w:tcPr>
            <w:tcW w:w="1843" w:type="dxa"/>
            <w:noWrap w:val="0"/>
            <w:vAlign w:val="center"/>
          </w:tcPr>
          <w:p w14:paraId="65C6E5EC">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镇平县发展和改革委员会</w:t>
            </w:r>
          </w:p>
        </w:tc>
        <w:tc>
          <w:tcPr>
            <w:tcW w:w="1968" w:type="dxa"/>
            <w:noWrap w:val="0"/>
            <w:vAlign w:val="center"/>
          </w:tcPr>
          <w:p w14:paraId="4926D3B4">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项目审批（核准/</w:t>
            </w:r>
          </w:p>
          <w:p w14:paraId="1F836D27">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备案）文号（选填）</w:t>
            </w:r>
          </w:p>
        </w:tc>
        <w:tc>
          <w:tcPr>
            <w:tcW w:w="3732" w:type="dxa"/>
            <w:noWrap w:val="0"/>
            <w:vAlign w:val="center"/>
          </w:tcPr>
          <w:p w14:paraId="3FC5E11D">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镇发改审批</w:t>
            </w:r>
            <w:r>
              <w:rPr>
                <w:rFonts w:hint="eastAsia" w:cs="Times New Roman"/>
                <w:color w:val="auto"/>
                <w:sz w:val="24"/>
                <w:highlight w:val="none"/>
                <w:u w:val="none" w:color="auto"/>
                <w:lang w:val="en-US" w:eastAsia="zh-CN"/>
              </w:rPr>
              <w:t>【</w:t>
            </w:r>
            <w:r>
              <w:rPr>
                <w:rFonts w:hint="default" w:ascii="Times New Roman" w:hAnsi="Times New Roman" w:cs="Times New Roman"/>
                <w:color w:val="auto"/>
                <w:sz w:val="24"/>
                <w:highlight w:val="none"/>
                <w:u w:val="none" w:color="auto"/>
              </w:rPr>
              <w:t>202</w:t>
            </w:r>
            <w:r>
              <w:rPr>
                <w:rFonts w:hint="eastAsia" w:cs="Times New Roman"/>
                <w:color w:val="auto"/>
                <w:sz w:val="24"/>
                <w:highlight w:val="none"/>
                <w:u w:val="none" w:color="auto"/>
                <w:lang w:val="en-US" w:eastAsia="zh-CN"/>
              </w:rPr>
              <w:t>4】</w:t>
            </w:r>
            <w:r>
              <w:rPr>
                <w:rFonts w:hint="default" w:ascii="Times New Roman" w:hAnsi="Times New Roman" w:cs="Times New Roman"/>
                <w:color w:val="auto"/>
                <w:sz w:val="24"/>
                <w:highlight w:val="none"/>
                <w:u w:val="none" w:color="auto"/>
              </w:rPr>
              <w:t>5</w:t>
            </w:r>
            <w:r>
              <w:rPr>
                <w:rFonts w:hint="eastAsia" w:cs="Times New Roman"/>
                <w:color w:val="auto"/>
                <w:sz w:val="24"/>
                <w:highlight w:val="none"/>
                <w:u w:val="none" w:color="auto"/>
                <w:lang w:val="en-US" w:eastAsia="zh-CN"/>
              </w:rPr>
              <w:t>6</w:t>
            </w:r>
            <w:r>
              <w:rPr>
                <w:rFonts w:hint="default" w:ascii="Times New Roman" w:hAnsi="Times New Roman" w:cs="Times New Roman"/>
                <w:color w:val="auto"/>
                <w:sz w:val="24"/>
                <w:highlight w:val="none"/>
                <w:u w:val="none" w:color="auto"/>
              </w:rPr>
              <w:t>号</w:t>
            </w:r>
          </w:p>
        </w:tc>
      </w:tr>
      <w:tr w14:paraId="64F643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11" w:type="dxa"/>
            <w:noWrap w:val="0"/>
            <w:tcMar>
              <w:top w:w="16" w:type="dxa"/>
              <w:left w:w="16" w:type="dxa"/>
              <w:right w:w="16" w:type="dxa"/>
            </w:tcMar>
            <w:vAlign w:val="center"/>
          </w:tcPr>
          <w:p w14:paraId="62F7E633">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总投资（万元）</w:t>
            </w:r>
          </w:p>
        </w:tc>
        <w:tc>
          <w:tcPr>
            <w:tcW w:w="1843" w:type="dxa"/>
            <w:noWrap w:val="0"/>
            <w:vAlign w:val="center"/>
          </w:tcPr>
          <w:p w14:paraId="7AF04044">
            <w:pPr>
              <w:adjustRightInd w:val="0"/>
              <w:snapToGrid w:val="0"/>
              <w:jc w:val="center"/>
              <w:rPr>
                <w:rFonts w:hint="default" w:ascii="Times New Roman" w:hAnsi="Times New Roman" w:eastAsia="宋体" w:cs="Times New Roman"/>
                <w:color w:val="auto"/>
                <w:sz w:val="24"/>
                <w:highlight w:val="none"/>
                <w:u w:val="none" w:color="auto"/>
                <w:lang w:val="en-US" w:eastAsia="zh-CN"/>
              </w:rPr>
            </w:pPr>
            <w:r>
              <w:rPr>
                <w:rFonts w:hint="eastAsia" w:cs="Times New Roman"/>
                <w:color w:val="auto"/>
                <w:sz w:val="24"/>
                <w:highlight w:val="none"/>
                <w:u w:val="none" w:color="auto"/>
                <w:lang w:val="en-US" w:eastAsia="zh-CN"/>
              </w:rPr>
              <w:t>6440.06</w:t>
            </w:r>
          </w:p>
        </w:tc>
        <w:tc>
          <w:tcPr>
            <w:tcW w:w="1968" w:type="dxa"/>
            <w:noWrap w:val="0"/>
            <w:tcMar>
              <w:top w:w="16" w:type="dxa"/>
              <w:left w:w="16" w:type="dxa"/>
              <w:right w:w="16" w:type="dxa"/>
            </w:tcMar>
            <w:vAlign w:val="center"/>
          </w:tcPr>
          <w:p w14:paraId="193F57C3">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环保投资（万元）</w:t>
            </w:r>
          </w:p>
        </w:tc>
        <w:tc>
          <w:tcPr>
            <w:tcW w:w="3732" w:type="dxa"/>
            <w:noWrap w:val="0"/>
            <w:vAlign w:val="center"/>
          </w:tcPr>
          <w:p w14:paraId="0D5F2FE3">
            <w:pPr>
              <w:adjustRightInd w:val="0"/>
              <w:snapToGrid w:val="0"/>
              <w:jc w:val="center"/>
              <w:rPr>
                <w:rFonts w:hint="default" w:ascii="Times New Roman" w:hAnsi="Times New Roman" w:eastAsia="宋体" w:cs="Times New Roman"/>
                <w:color w:val="auto"/>
                <w:sz w:val="24"/>
                <w:highlight w:val="none"/>
                <w:u w:val="none" w:color="auto"/>
                <w:lang w:val="en-US" w:eastAsia="zh-CN"/>
              </w:rPr>
            </w:pPr>
            <w:r>
              <w:rPr>
                <w:rFonts w:hint="eastAsia" w:cs="Times New Roman"/>
                <w:color w:val="auto"/>
                <w:kern w:val="21"/>
                <w:sz w:val="24"/>
                <w:highlight w:val="none"/>
                <w:u w:val="none" w:color="auto"/>
                <w:lang w:val="en-US" w:eastAsia="zh-CN"/>
              </w:rPr>
              <w:t>120</w:t>
            </w:r>
          </w:p>
        </w:tc>
      </w:tr>
      <w:tr w14:paraId="2C08FE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92" w:hRule="atLeast"/>
          <w:jc w:val="center"/>
        </w:trPr>
        <w:tc>
          <w:tcPr>
            <w:tcW w:w="1311" w:type="dxa"/>
            <w:noWrap w:val="0"/>
            <w:tcMar>
              <w:top w:w="16" w:type="dxa"/>
              <w:left w:w="16" w:type="dxa"/>
              <w:right w:w="16" w:type="dxa"/>
            </w:tcMar>
            <w:vAlign w:val="center"/>
          </w:tcPr>
          <w:p w14:paraId="6B4052B5">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环保投资占比（%）</w:t>
            </w:r>
          </w:p>
        </w:tc>
        <w:tc>
          <w:tcPr>
            <w:tcW w:w="1843" w:type="dxa"/>
            <w:noWrap w:val="0"/>
            <w:vAlign w:val="center"/>
          </w:tcPr>
          <w:p w14:paraId="688DC01F">
            <w:pPr>
              <w:adjustRightInd w:val="0"/>
              <w:snapToGrid w:val="0"/>
              <w:jc w:val="center"/>
              <w:rPr>
                <w:rFonts w:hint="default" w:ascii="Times New Roman" w:hAnsi="Times New Roman" w:eastAsia="宋体" w:cs="Times New Roman"/>
                <w:color w:val="auto"/>
                <w:sz w:val="24"/>
                <w:highlight w:val="none"/>
                <w:u w:val="none" w:color="auto"/>
                <w:lang w:val="en-US" w:eastAsia="zh-CN"/>
              </w:rPr>
            </w:pPr>
            <w:r>
              <w:rPr>
                <w:rFonts w:hint="eastAsia" w:cs="Times New Roman"/>
                <w:color w:val="auto"/>
                <w:sz w:val="24"/>
                <w:highlight w:val="none"/>
                <w:u w:val="none" w:color="auto"/>
                <w:lang w:val="en-US" w:eastAsia="zh-CN"/>
              </w:rPr>
              <w:t>1.9</w:t>
            </w:r>
          </w:p>
        </w:tc>
        <w:tc>
          <w:tcPr>
            <w:tcW w:w="1968" w:type="dxa"/>
            <w:noWrap w:val="0"/>
            <w:tcMar>
              <w:top w:w="16" w:type="dxa"/>
              <w:left w:w="16" w:type="dxa"/>
              <w:right w:w="16" w:type="dxa"/>
            </w:tcMar>
            <w:vAlign w:val="center"/>
          </w:tcPr>
          <w:p w14:paraId="551640DE">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施工工期</w:t>
            </w:r>
          </w:p>
        </w:tc>
        <w:tc>
          <w:tcPr>
            <w:tcW w:w="3732" w:type="dxa"/>
            <w:noWrap w:val="0"/>
            <w:vAlign w:val="center"/>
          </w:tcPr>
          <w:p w14:paraId="71E36D34">
            <w:pPr>
              <w:adjustRightInd w:val="0"/>
              <w:snapToGrid w:val="0"/>
              <w:jc w:val="center"/>
              <w:rPr>
                <w:rFonts w:hint="default" w:ascii="Times New Roman" w:hAnsi="Times New Roman" w:eastAsia="宋体" w:cs="Times New Roman"/>
                <w:color w:val="auto"/>
                <w:sz w:val="24"/>
                <w:highlight w:val="none"/>
                <w:u w:val="none" w:color="auto"/>
                <w:lang w:val="en-US" w:eastAsia="zh-CN"/>
              </w:rPr>
            </w:pPr>
            <w:r>
              <w:rPr>
                <w:rFonts w:hint="eastAsia" w:cs="Times New Roman"/>
                <w:color w:val="auto"/>
                <w:sz w:val="24"/>
                <w:highlight w:val="none"/>
                <w:u w:val="none" w:color="auto"/>
                <w:lang w:val="en-US" w:eastAsia="zh-CN"/>
              </w:rPr>
              <w:t>2年</w:t>
            </w:r>
          </w:p>
        </w:tc>
      </w:tr>
      <w:tr w14:paraId="4AC6E7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19" w:hRule="atLeast"/>
          <w:jc w:val="center"/>
        </w:trPr>
        <w:tc>
          <w:tcPr>
            <w:tcW w:w="1311" w:type="dxa"/>
            <w:noWrap w:val="0"/>
            <w:tcMar>
              <w:top w:w="16" w:type="dxa"/>
              <w:left w:w="16" w:type="dxa"/>
              <w:right w:w="16" w:type="dxa"/>
            </w:tcMar>
            <w:vAlign w:val="center"/>
          </w:tcPr>
          <w:p w14:paraId="5DCA62E6">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kern w:val="21"/>
                <w:sz w:val="24"/>
                <w:highlight w:val="none"/>
                <w:u w:val="none" w:color="auto"/>
              </w:rPr>
              <w:t>是否开工建设</w:t>
            </w:r>
          </w:p>
        </w:tc>
        <w:tc>
          <w:tcPr>
            <w:tcW w:w="1843" w:type="dxa"/>
            <w:noWrap w:val="0"/>
            <w:vAlign w:val="center"/>
          </w:tcPr>
          <w:p w14:paraId="2A755F97">
            <w:pPr>
              <w:adjustRightInd w:val="0"/>
              <w:snapToGrid w:val="0"/>
              <w:rPr>
                <w:rFonts w:hint="default" w:ascii="Times New Roman" w:hAnsi="Times New Roman" w:cs="Times New Roman"/>
                <w:color w:val="auto"/>
                <w:kern w:val="21"/>
                <w:sz w:val="24"/>
                <w:highlight w:val="none"/>
                <w:u w:val="none" w:color="auto"/>
              </w:rPr>
            </w:pPr>
            <w:r>
              <w:rPr>
                <w:rFonts w:hint="default" w:ascii="Times New Roman" w:hAnsi="Times New Roman" w:cs="Times New Roman"/>
                <w:color w:val="auto"/>
                <w:kern w:val="21"/>
                <w:sz w:val="24"/>
                <w:highlight w:val="none"/>
                <w:u w:val="none" w:color="auto"/>
              </w:rPr>
              <w:t>☑否</w:t>
            </w:r>
          </w:p>
          <w:p w14:paraId="41920B1E">
            <w:pPr>
              <w:adjustRightInd w:val="0"/>
              <w:snapToGrid w:val="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kern w:val="21"/>
                <w:sz w:val="24"/>
                <w:highlight w:val="none"/>
                <w:u w:val="none" w:color="auto"/>
              </w:rPr>
              <w:t xml:space="preserve">□是：          </w:t>
            </w:r>
          </w:p>
        </w:tc>
        <w:tc>
          <w:tcPr>
            <w:tcW w:w="1968" w:type="dxa"/>
            <w:noWrap w:val="0"/>
            <w:tcMar>
              <w:top w:w="16" w:type="dxa"/>
              <w:left w:w="16" w:type="dxa"/>
              <w:right w:w="16" w:type="dxa"/>
            </w:tcMar>
            <w:vAlign w:val="center"/>
          </w:tcPr>
          <w:p w14:paraId="2199A117">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用地（用海）</w:t>
            </w:r>
          </w:p>
          <w:p w14:paraId="4E1132DD">
            <w:pPr>
              <w:adjustRightInd w:val="0"/>
              <w:snapToGrid w:val="0"/>
              <w:jc w:val="center"/>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面积（m</w:t>
            </w:r>
            <w:r>
              <w:rPr>
                <w:rFonts w:hint="default" w:ascii="Times New Roman" w:hAnsi="Times New Roman" w:cs="Times New Roman"/>
                <w:color w:val="auto"/>
                <w:sz w:val="24"/>
                <w:highlight w:val="none"/>
                <w:u w:val="none" w:color="auto"/>
                <w:vertAlign w:val="superscript"/>
              </w:rPr>
              <w:t>2</w:t>
            </w:r>
            <w:r>
              <w:rPr>
                <w:rFonts w:hint="default" w:ascii="Times New Roman" w:hAnsi="Times New Roman" w:cs="Times New Roman"/>
                <w:color w:val="auto"/>
                <w:sz w:val="24"/>
                <w:highlight w:val="none"/>
                <w:u w:val="none" w:color="auto"/>
              </w:rPr>
              <w:t>）</w:t>
            </w:r>
          </w:p>
        </w:tc>
        <w:tc>
          <w:tcPr>
            <w:tcW w:w="3732" w:type="dxa"/>
            <w:noWrap w:val="0"/>
            <w:vAlign w:val="center"/>
          </w:tcPr>
          <w:p w14:paraId="79A8AD84">
            <w:pPr>
              <w:adjustRightInd w:val="0"/>
              <w:snapToGrid w:val="0"/>
              <w:jc w:val="center"/>
              <w:rPr>
                <w:rFonts w:hint="default" w:ascii="Times New Roman" w:hAnsi="Times New Roman" w:eastAsia="宋体" w:cs="Times New Roman"/>
                <w:color w:val="auto"/>
                <w:sz w:val="24"/>
                <w:highlight w:val="none"/>
                <w:u w:val="none" w:color="auto"/>
                <w:lang w:val="en-US" w:eastAsia="zh-CN"/>
              </w:rPr>
            </w:pPr>
            <w:r>
              <w:rPr>
                <w:rFonts w:hint="eastAsia" w:cs="Times New Roman"/>
                <w:color w:val="auto"/>
                <w:sz w:val="24"/>
                <w:highlight w:val="none"/>
                <w:u w:val="none" w:color="auto"/>
                <w:lang w:val="en-US" w:eastAsia="zh-CN"/>
              </w:rPr>
              <w:t>10097.38</w:t>
            </w:r>
          </w:p>
        </w:tc>
      </w:tr>
      <w:tr w14:paraId="2A4769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1" w:type="dxa"/>
            <w:noWrap w:val="0"/>
            <w:vAlign w:val="center"/>
          </w:tcPr>
          <w:p w14:paraId="1ACAE471">
            <w:pPr>
              <w:adjustRightInd w:val="0"/>
              <w:snapToGrid w:val="0"/>
              <w:jc w:val="center"/>
              <w:rPr>
                <w:rFonts w:hint="default" w:ascii="Times New Roman" w:hAnsi="Times New Roman" w:cs="Times New Roman"/>
                <w:color w:val="auto"/>
                <w:kern w:val="0"/>
                <w:sz w:val="24"/>
                <w:highlight w:val="none"/>
                <w:u w:val="none" w:color="auto"/>
              </w:rPr>
            </w:pPr>
            <w:r>
              <w:rPr>
                <w:rFonts w:hint="default" w:ascii="Times New Roman" w:hAnsi="Times New Roman" w:cs="Times New Roman"/>
                <w:color w:val="auto"/>
                <w:kern w:val="21"/>
                <w:sz w:val="24"/>
                <w:highlight w:val="none"/>
                <w:u w:val="none" w:color="auto"/>
              </w:rPr>
              <w:t>专项评价设置情况</w:t>
            </w:r>
          </w:p>
        </w:tc>
        <w:tc>
          <w:tcPr>
            <w:tcW w:w="7543" w:type="dxa"/>
            <w:gridSpan w:val="3"/>
            <w:noWrap w:val="0"/>
            <w:vAlign w:val="center"/>
          </w:tcPr>
          <w:p w14:paraId="3057D15A">
            <w:pPr>
              <w:autoSpaceDE w:val="0"/>
              <w:autoSpaceDN w:val="0"/>
              <w:adjustRightInd w:val="0"/>
              <w:snapToGrid w:val="0"/>
              <w:jc w:val="center"/>
              <w:rPr>
                <w:rFonts w:hint="default" w:ascii="Times New Roman" w:hAnsi="Times New Roman" w:eastAsia="宋体" w:cs="Times New Roman"/>
                <w:color w:val="auto"/>
                <w:kern w:val="0"/>
                <w:sz w:val="24"/>
                <w:highlight w:val="none"/>
                <w:u w:val="none" w:color="auto"/>
                <w:lang w:val="en-US" w:eastAsia="zh-CN"/>
              </w:rPr>
            </w:pPr>
            <w:r>
              <w:rPr>
                <w:rFonts w:hint="default" w:ascii="Times New Roman" w:hAnsi="Times New Roman" w:cs="Times New Roman"/>
                <w:color w:val="auto"/>
                <w:kern w:val="0"/>
                <w:sz w:val="24"/>
                <w:highlight w:val="none"/>
                <w:u w:val="none" w:color="auto"/>
                <w:lang w:val="en-US" w:eastAsia="zh-CN"/>
              </w:rPr>
              <w:t>/</w:t>
            </w:r>
          </w:p>
        </w:tc>
      </w:tr>
      <w:tr w14:paraId="5312E3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11" w:type="dxa"/>
            <w:noWrap w:val="0"/>
            <w:vAlign w:val="center"/>
          </w:tcPr>
          <w:p w14:paraId="562E40E4">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4"/>
                <w:highlight w:val="none"/>
                <w:u w:val="none" w:color="auto"/>
              </w:rPr>
            </w:pPr>
            <w:r>
              <w:rPr>
                <w:rFonts w:hint="default" w:ascii="Times New Roman" w:hAnsi="Times New Roman" w:cs="Times New Roman"/>
                <w:color w:val="auto"/>
                <w:kern w:val="21"/>
                <w:sz w:val="24"/>
                <w:highlight w:val="none"/>
                <w:u w:val="none" w:color="auto"/>
              </w:rPr>
              <w:t>规划情况</w:t>
            </w:r>
          </w:p>
        </w:tc>
        <w:tc>
          <w:tcPr>
            <w:tcW w:w="7543" w:type="dxa"/>
            <w:gridSpan w:val="3"/>
            <w:noWrap w:val="0"/>
            <w:vAlign w:val="center"/>
          </w:tcPr>
          <w:p w14:paraId="1DB19F9F">
            <w:pPr>
              <w:keepNext w:val="0"/>
              <w:keepLines w:val="0"/>
              <w:pageBreakBefore w:val="0"/>
              <w:widowControl/>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4"/>
                <w:highlight w:val="none"/>
                <w:u w:val="none" w:color="auto"/>
                <w:lang w:val="en-US" w:eastAsia="zh-CN"/>
              </w:rPr>
            </w:pPr>
            <w:r>
              <w:rPr>
                <w:rFonts w:hint="default" w:ascii="Times New Roman" w:hAnsi="Times New Roman" w:cs="Times New Roman"/>
                <w:color w:val="auto"/>
                <w:sz w:val="24"/>
                <w:highlight w:val="none"/>
                <w:u w:val="none" w:color="auto"/>
                <w:lang w:val="en-US" w:eastAsia="zh-CN"/>
              </w:rPr>
              <w:t>/</w:t>
            </w:r>
          </w:p>
        </w:tc>
      </w:tr>
      <w:tr w14:paraId="2F5B43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11" w:type="dxa"/>
            <w:noWrap w:val="0"/>
            <w:vAlign w:val="center"/>
          </w:tcPr>
          <w:p w14:paraId="0AA652EF">
            <w:pPr>
              <w:keepNext w:val="0"/>
              <w:keepLines w:val="0"/>
              <w:pageBreakBefore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4"/>
                <w:highlight w:val="none"/>
                <w:u w:val="none" w:color="auto"/>
              </w:rPr>
            </w:pPr>
            <w:r>
              <w:rPr>
                <w:rFonts w:hint="default" w:ascii="Times New Roman" w:hAnsi="Times New Roman" w:cs="Times New Roman"/>
                <w:color w:val="auto"/>
                <w:kern w:val="21"/>
                <w:sz w:val="24"/>
                <w:highlight w:val="none"/>
                <w:u w:val="none" w:color="auto"/>
              </w:rPr>
              <w:t>规划环境影响评价情况</w:t>
            </w:r>
          </w:p>
        </w:tc>
        <w:tc>
          <w:tcPr>
            <w:tcW w:w="7543" w:type="dxa"/>
            <w:gridSpan w:val="3"/>
            <w:noWrap w:val="0"/>
            <w:vAlign w:val="center"/>
          </w:tcPr>
          <w:p w14:paraId="2B49EC6A">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11"/>
                <w:kern w:val="21"/>
                <w:sz w:val="24"/>
                <w:highlight w:val="none"/>
                <w:u w:val="none" w:color="auto"/>
                <w:lang w:val="en-US" w:eastAsia="zh-CN"/>
              </w:rPr>
            </w:pPr>
            <w:r>
              <w:rPr>
                <w:rFonts w:hint="default" w:ascii="Times New Roman" w:hAnsi="Times New Roman" w:cs="Times New Roman"/>
                <w:color w:val="auto"/>
                <w:spacing w:val="-11"/>
                <w:kern w:val="21"/>
                <w:sz w:val="24"/>
                <w:highlight w:val="none"/>
                <w:u w:val="none" w:color="auto"/>
                <w:lang w:val="en-US" w:eastAsia="zh-CN"/>
              </w:rPr>
              <w:t>/</w:t>
            </w:r>
          </w:p>
        </w:tc>
      </w:tr>
      <w:tr w14:paraId="0FF171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11" w:type="dxa"/>
            <w:noWrap w:val="0"/>
            <w:vAlign w:val="center"/>
          </w:tcPr>
          <w:p w14:paraId="72FEFFA3">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kern w:val="0"/>
                <w:sz w:val="24"/>
                <w:highlight w:val="none"/>
                <w:u w:val="none" w:color="auto"/>
              </w:rPr>
            </w:pPr>
            <w:r>
              <w:rPr>
                <w:rFonts w:hint="default" w:ascii="Times New Roman" w:hAnsi="Times New Roman" w:cs="Times New Roman"/>
                <w:color w:val="auto"/>
                <w:kern w:val="0"/>
                <w:sz w:val="24"/>
                <w:highlight w:val="none"/>
                <w:u w:val="none" w:color="auto"/>
              </w:rPr>
              <w:t>规划及规划环境影响评价符合性分析</w:t>
            </w:r>
          </w:p>
        </w:tc>
        <w:tc>
          <w:tcPr>
            <w:tcW w:w="7543" w:type="dxa"/>
            <w:gridSpan w:val="3"/>
            <w:noWrap w:val="0"/>
            <w:vAlign w:val="center"/>
          </w:tcPr>
          <w:p w14:paraId="46740610">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4"/>
                <w:highlight w:val="none"/>
                <w:u w:val="none" w:color="auto"/>
                <w:lang w:val="en-US" w:eastAsia="zh-CN"/>
              </w:rPr>
            </w:pPr>
            <w:r>
              <w:rPr>
                <w:rFonts w:hint="default" w:ascii="Times New Roman" w:hAnsi="Times New Roman" w:cs="Times New Roman"/>
                <w:color w:val="auto"/>
                <w:sz w:val="24"/>
                <w:highlight w:val="none"/>
                <w:u w:val="none" w:color="auto"/>
                <w:lang w:val="en-US" w:eastAsia="zh-CN"/>
              </w:rPr>
              <w:t>/</w:t>
            </w:r>
          </w:p>
        </w:tc>
      </w:tr>
      <w:tr w14:paraId="1332D0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1311" w:type="dxa"/>
            <w:noWrap w:val="0"/>
            <w:vAlign w:val="center"/>
          </w:tcPr>
          <w:p w14:paraId="729DBDB6">
            <w:pPr>
              <w:autoSpaceDE w:val="0"/>
              <w:autoSpaceDN w:val="0"/>
              <w:adjustRightInd w:val="0"/>
              <w:snapToGrid w:val="0"/>
              <w:jc w:val="center"/>
              <w:rPr>
                <w:rFonts w:hint="default" w:ascii="Times New Roman" w:hAnsi="Times New Roman" w:cs="Times New Roman"/>
                <w:color w:val="auto"/>
                <w:kern w:val="0"/>
                <w:sz w:val="24"/>
                <w:highlight w:val="none"/>
                <w:u w:val="none" w:color="auto"/>
              </w:rPr>
            </w:pPr>
            <w:r>
              <w:rPr>
                <w:rFonts w:hint="default" w:ascii="Times New Roman" w:hAnsi="Times New Roman" w:cs="Times New Roman"/>
                <w:color w:val="auto"/>
                <w:kern w:val="0"/>
                <w:sz w:val="24"/>
                <w:highlight w:val="none"/>
                <w:u w:val="none" w:color="auto"/>
              </w:rPr>
              <w:t>其他符合性分析</w:t>
            </w:r>
          </w:p>
        </w:tc>
        <w:tc>
          <w:tcPr>
            <w:tcW w:w="7543" w:type="dxa"/>
            <w:gridSpan w:val="3"/>
            <w:noWrap w:val="0"/>
            <w:vAlign w:val="center"/>
          </w:tcPr>
          <w:p w14:paraId="003AEE13">
            <w:pPr>
              <w:keepNext w:val="0"/>
              <w:keepLines w:val="0"/>
              <w:pageBreakBefore w:val="0"/>
              <w:widowControl/>
              <w:kinsoku/>
              <w:wordWrap/>
              <w:overflowPunct/>
              <w:topLinePunct w:val="0"/>
              <w:autoSpaceDE/>
              <w:autoSpaceDN/>
              <w:bidi w:val="0"/>
              <w:snapToGrid w:val="0"/>
              <w:spacing w:line="360" w:lineRule="auto"/>
              <w:ind w:firstLine="482" w:firstLineChars="200"/>
              <w:jc w:val="both"/>
              <w:outlineLvl w:val="9"/>
              <w:rPr>
                <w:rFonts w:hint="default" w:ascii="Times New Roman" w:hAnsi="Times New Roman" w:eastAsia="宋体" w:cs="Times New Roman"/>
                <w:b/>
                <w:bCs/>
                <w:color w:val="auto"/>
                <w:kern w:val="0"/>
                <w:sz w:val="24"/>
                <w:highlight w:val="none"/>
                <w:u w:val="none" w:color="auto"/>
                <w:lang w:bidi="ar"/>
              </w:rPr>
            </w:pPr>
            <w:bookmarkStart w:id="6" w:name="_Toc6325"/>
            <w:r>
              <w:rPr>
                <w:rFonts w:hint="default" w:ascii="Times New Roman" w:hAnsi="Times New Roman" w:eastAsia="宋体" w:cs="Times New Roman"/>
                <w:b/>
                <w:bCs/>
                <w:color w:val="auto"/>
                <w:kern w:val="0"/>
                <w:sz w:val="24"/>
                <w:highlight w:val="none"/>
                <w:u w:val="none" w:color="auto"/>
                <w:lang w:bidi="ar"/>
              </w:rPr>
              <w:t>1、产业及行业政策相关相符性分析</w:t>
            </w:r>
            <w:bookmarkEnd w:id="6"/>
          </w:p>
          <w:p w14:paraId="2C934C23">
            <w:pPr>
              <w:keepNext w:val="0"/>
              <w:keepLines w:val="0"/>
              <w:pageBreakBefore w:val="0"/>
              <w:widowControl/>
              <w:kinsoku/>
              <w:wordWrap/>
              <w:overflowPunct/>
              <w:topLinePunct w:val="0"/>
              <w:autoSpaceDE/>
              <w:autoSpaceDN/>
              <w:bidi w:val="0"/>
              <w:snapToGrid w:val="0"/>
              <w:spacing w:line="360" w:lineRule="auto"/>
              <w:ind w:firstLine="482" w:firstLineChars="200"/>
              <w:jc w:val="both"/>
              <w:outlineLvl w:val="9"/>
              <w:rPr>
                <w:rFonts w:hint="default" w:ascii="Times New Roman" w:hAnsi="Times New Roman" w:eastAsia="宋体" w:cs="Times New Roman"/>
                <w:b/>
                <w:bCs/>
                <w:color w:val="auto"/>
                <w:kern w:val="0"/>
                <w:sz w:val="24"/>
                <w:highlight w:val="none"/>
                <w:u w:val="none" w:color="auto"/>
              </w:rPr>
            </w:pPr>
            <w:bookmarkStart w:id="7" w:name="_Toc10101"/>
            <w:r>
              <w:rPr>
                <w:rFonts w:hint="default" w:ascii="Times New Roman" w:hAnsi="Times New Roman" w:eastAsia="宋体" w:cs="Times New Roman"/>
                <w:b/>
                <w:bCs/>
                <w:color w:val="auto"/>
                <w:kern w:val="0"/>
                <w:sz w:val="24"/>
                <w:highlight w:val="none"/>
                <w:u w:val="none" w:color="auto"/>
                <w:lang w:bidi="ar"/>
              </w:rPr>
              <w:t>1.1 产业政策符合</w:t>
            </w:r>
            <w:r>
              <w:rPr>
                <w:rFonts w:hint="default" w:ascii="Times New Roman" w:hAnsi="Times New Roman" w:eastAsia="宋体" w:cs="Times New Roman"/>
                <w:b/>
                <w:bCs/>
                <w:color w:val="auto"/>
                <w:kern w:val="0"/>
                <w:sz w:val="24"/>
                <w:highlight w:val="none"/>
                <w:u w:val="none" w:color="auto"/>
              </w:rPr>
              <w:t>性</w:t>
            </w:r>
            <w:bookmarkEnd w:id="7"/>
          </w:p>
          <w:p w14:paraId="637349F2">
            <w:pPr>
              <w:keepNext w:val="0"/>
              <w:keepLines w:val="0"/>
              <w:pageBreakBefore w:val="0"/>
              <w:kinsoku/>
              <w:wordWrap/>
              <w:overflowPunct/>
              <w:topLinePunct w:val="0"/>
              <w:autoSpaceDE/>
              <w:autoSpaceDN/>
              <w:bidi w:val="0"/>
              <w:snapToGrid w:val="0"/>
              <w:spacing w:line="360" w:lineRule="auto"/>
              <w:ind w:firstLine="44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pacing w:val="-10"/>
                <w:sz w:val="24"/>
                <w:highlight w:val="none"/>
                <w:u w:val="none" w:color="auto"/>
              </w:rPr>
              <w:t>经比对《产业结构调</w:t>
            </w:r>
            <w:r>
              <w:rPr>
                <w:rFonts w:hint="default" w:ascii="Times New Roman" w:hAnsi="Times New Roman" w:eastAsia="宋体" w:cs="Times New Roman"/>
                <w:color w:val="auto"/>
                <w:spacing w:val="-11"/>
                <w:sz w:val="24"/>
                <w:highlight w:val="none"/>
                <w:u w:val="none" w:color="auto"/>
              </w:rPr>
              <w:t>整指导目录（2024</w:t>
            </w:r>
            <w:r>
              <w:rPr>
                <w:rFonts w:hint="default" w:ascii="Times New Roman" w:hAnsi="Times New Roman" w:eastAsia="宋体" w:cs="Times New Roman"/>
                <w:color w:val="auto"/>
                <w:sz w:val="24"/>
                <w:highlight w:val="none"/>
                <w:u w:val="none" w:color="auto"/>
              </w:rPr>
              <w:t xml:space="preserve"> </w:t>
            </w:r>
            <w:r>
              <w:rPr>
                <w:rFonts w:hint="default" w:ascii="Times New Roman" w:hAnsi="Times New Roman" w:eastAsia="宋体" w:cs="Times New Roman"/>
                <w:color w:val="auto"/>
                <w:spacing w:val="-8"/>
                <w:sz w:val="24"/>
                <w:highlight w:val="none"/>
                <w:u w:val="none" w:color="auto"/>
              </w:rPr>
              <w:t>年本）》，本项目不在目录中的鼓励类、限制类和淘汰类之列，属于允许类范畴；项目可行性研究报告已获得</w:t>
            </w:r>
            <w:r>
              <w:rPr>
                <w:rFonts w:hint="eastAsia" w:cs="Times New Roman"/>
                <w:color w:val="auto"/>
                <w:spacing w:val="-8"/>
                <w:sz w:val="24"/>
                <w:highlight w:val="none"/>
                <w:u w:val="none" w:color="auto"/>
                <w:lang w:val="en-US" w:eastAsia="zh-CN"/>
              </w:rPr>
              <w:t>镇平县</w:t>
            </w:r>
            <w:r>
              <w:rPr>
                <w:rFonts w:hint="default" w:ascii="Times New Roman" w:hAnsi="Times New Roman" w:eastAsia="宋体" w:cs="Times New Roman"/>
                <w:color w:val="auto"/>
                <w:spacing w:val="-8"/>
                <w:sz w:val="24"/>
                <w:highlight w:val="none"/>
                <w:u w:val="none" w:color="auto"/>
              </w:rPr>
              <w:t>发展</w:t>
            </w:r>
            <w:r>
              <w:rPr>
                <w:rFonts w:hint="eastAsia" w:cs="Times New Roman"/>
                <w:color w:val="auto"/>
                <w:spacing w:val="-8"/>
                <w:sz w:val="24"/>
                <w:highlight w:val="none"/>
                <w:u w:val="none" w:color="auto"/>
                <w:lang w:val="en-US" w:eastAsia="zh-CN"/>
              </w:rPr>
              <w:t>和</w:t>
            </w:r>
            <w:r>
              <w:rPr>
                <w:rFonts w:hint="default" w:ascii="Times New Roman" w:hAnsi="Times New Roman" w:eastAsia="宋体" w:cs="Times New Roman"/>
                <w:color w:val="auto"/>
                <w:spacing w:val="-8"/>
                <w:sz w:val="24"/>
                <w:highlight w:val="none"/>
                <w:u w:val="none" w:color="auto"/>
              </w:rPr>
              <w:t>改革委员会批复，批复文号</w:t>
            </w:r>
            <w:r>
              <w:rPr>
                <w:rFonts w:hint="eastAsia" w:cs="Times New Roman"/>
                <w:color w:val="auto"/>
                <w:spacing w:val="-8"/>
                <w:sz w:val="24"/>
                <w:highlight w:val="none"/>
                <w:u w:val="none" w:color="auto"/>
                <w:lang w:eastAsia="zh-CN"/>
              </w:rPr>
              <w:t>：</w:t>
            </w:r>
            <w:r>
              <w:rPr>
                <w:rFonts w:hint="default" w:ascii="Times New Roman" w:hAnsi="Times New Roman" w:cs="Times New Roman"/>
                <w:color w:val="auto"/>
                <w:sz w:val="24"/>
                <w:highlight w:val="none"/>
                <w:u w:val="none" w:color="auto"/>
              </w:rPr>
              <w:t>镇发改审批</w:t>
            </w:r>
            <w:r>
              <w:rPr>
                <w:rFonts w:hint="eastAsia" w:cs="Times New Roman"/>
                <w:color w:val="auto"/>
                <w:sz w:val="24"/>
                <w:highlight w:val="none"/>
                <w:u w:val="none" w:color="auto"/>
                <w:lang w:val="en-US" w:eastAsia="zh-CN"/>
              </w:rPr>
              <w:t>【</w:t>
            </w:r>
            <w:r>
              <w:rPr>
                <w:rFonts w:hint="default" w:ascii="Times New Roman" w:hAnsi="Times New Roman" w:cs="Times New Roman"/>
                <w:color w:val="auto"/>
                <w:sz w:val="24"/>
                <w:highlight w:val="none"/>
                <w:u w:val="none" w:color="auto"/>
              </w:rPr>
              <w:t>202</w:t>
            </w:r>
            <w:r>
              <w:rPr>
                <w:rFonts w:hint="eastAsia" w:cs="Times New Roman"/>
                <w:color w:val="auto"/>
                <w:sz w:val="24"/>
                <w:highlight w:val="none"/>
                <w:u w:val="none" w:color="auto"/>
                <w:lang w:val="en-US" w:eastAsia="zh-CN"/>
              </w:rPr>
              <w:t>4】</w:t>
            </w:r>
            <w:r>
              <w:rPr>
                <w:rFonts w:hint="default" w:ascii="Times New Roman" w:hAnsi="Times New Roman" w:cs="Times New Roman"/>
                <w:color w:val="auto"/>
                <w:sz w:val="24"/>
                <w:highlight w:val="none"/>
                <w:u w:val="none" w:color="auto"/>
              </w:rPr>
              <w:t>5</w:t>
            </w:r>
            <w:r>
              <w:rPr>
                <w:rFonts w:hint="eastAsia" w:cs="Times New Roman"/>
                <w:color w:val="auto"/>
                <w:sz w:val="24"/>
                <w:highlight w:val="none"/>
                <w:u w:val="none" w:color="auto"/>
                <w:lang w:val="en-US" w:eastAsia="zh-CN"/>
              </w:rPr>
              <w:t>6</w:t>
            </w:r>
            <w:r>
              <w:rPr>
                <w:rFonts w:hint="default" w:ascii="Times New Roman" w:hAnsi="Times New Roman" w:cs="Times New Roman"/>
                <w:color w:val="auto"/>
                <w:sz w:val="24"/>
                <w:highlight w:val="none"/>
                <w:u w:val="none" w:color="auto"/>
              </w:rPr>
              <w:t>号</w:t>
            </w:r>
            <w:r>
              <w:rPr>
                <w:rFonts w:hint="eastAsia" w:cs="Times New Roman"/>
                <w:color w:val="auto"/>
                <w:sz w:val="24"/>
                <w:highlight w:val="none"/>
                <w:u w:val="none" w:color="auto"/>
                <w:lang w:eastAsia="zh-CN"/>
              </w:rPr>
              <w:t>（</w:t>
            </w:r>
            <w:r>
              <w:rPr>
                <w:rFonts w:hint="default" w:ascii="Times New Roman" w:hAnsi="Times New Roman" w:eastAsia="宋体" w:cs="Times New Roman"/>
                <w:color w:val="auto"/>
                <w:sz w:val="24"/>
                <w:highlight w:val="none"/>
                <w:u w:val="none" w:color="auto"/>
              </w:rPr>
              <w:t>见附件），因此项目建设符合国家当前产业政策的要求。</w:t>
            </w:r>
          </w:p>
          <w:p w14:paraId="6798B9F5">
            <w:pPr>
              <w:keepNext w:val="0"/>
              <w:keepLines w:val="0"/>
              <w:pageBreakBefore w:val="0"/>
              <w:tabs>
                <w:tab w:val="left" w:pos="1081"/>
              </w:tabs>
              <w:kinsoku/>
              <w:wordWrap/>
              <w:overflowPunct/>
              <w:topLinePunct w:val="0"/>
              <w:autoSpaceDE/>
              <w:autoSpaceDN/>
              <w:bidi w:val="0"/>
              <w:adjustRightInd w:val="0"/>
              <w:snapToGrid w:val="0"/>
              <w:spacing w:line="360" w:lineRule="auto"/>
              <w:ind w:firstLine="482" w:firstLineChars="200"/>
              <w:jc w:val="both"/>
              <w:outlineLvl w:val="9"/>
              <w:rPr>
                <w:rFonts w:hint="default" w:ascii="Times New Roman" w:hAnsi="Times New Roman" w:eastAsia="宋体" w:cs="Times New Roman"/>
                <w:b/>
                <w:color w:val="auto"/>
                <w:sz w:val="24"/>
                <w:highlight w:val="none"/>
                <w:u w:val="none" w:color="auto"/>
              </w:rPr>
            </w:pPr>
            <w:r>
              <w:rPr>
                <w:rFonts w:hint="default" w:ascii="Times New Roman" w:hAnsi="Times New Roman" w:eastAsia="宋体" w:cs="Times New Roman"/>
                <w:b/>
                <w:color w:val="auto"/>
                <w:sz w:val="24"/>
                <w:highlight w:val="none"/>
                <w:u w:val="none" w:color="auto"/>
              </w:rPr>
              <w:t>2、项目建设与相关规划的符合性</w:t>
            </w:r>
          </w:p>
          <w:p w14:paraId="084135B0">
            <w:pPr>
              <w:keepNext w:val="0"/>
              <w:keepLines w:val="0"/>
              <w:pageBreakBefore w:val="0"/>
              <w:tabs>
                <w:tab w:val="left" w:pos="1081"/>
              </w:tabs>
              <w:kinsoku/>
              <w:wordWrap/>
              <w:overflowPunct/>
              <w:topLinePunct w:val="0"/>
              <w:autoSpaceDE/>
              <w:autoSpaceDN/>
              <w:bidi w:val="0"/>
              <w:adjustRightInd w:val="0"/>
              <w:snapToGrid w:val="0"/>
              <w:spacing w:line="360" w:lineRule="auto"/>
              <w:ind w:firstLine="482" w:firstLineChars="200"/>
              <w:jc w:val="both"/>
              <w:outlineLvl w:val="9"/>
              <w:rPr>
                <w:rFonts w:hint="default" w:ascii="Times New Roman" w:hAnsi="Times New Roman" w:eastAsia="宋体" w:cs="Times New Roman"/>
                <w:b/>
                <w:color w:val="auto"/>
                <w:kern w:val="0"/>
                <w:sz w:val="24"/>
                <w:highlight w:val="none"/>
                <w:u w:val="none" w:color="auto"/>
              </w:rPr>
            </w:pPr>
            <w:r>
              <w:rPr>
                <w:rFonts w:hint="default" w:ascii="Times New Roman" w:hAnsi="Times New Roman" w:eastAsia="宋体" w:cs="Times New Roman"/>
                <w:b/>
                <w:color w:val="auto"/>
                <w:kern w:val="0"/>
                <w:sz w:val="24"/>
                <w:highlight w:val="none"/>
                <w:u w:val="none" w:color="auto"/>
              </w:rPr>
              <w:t>2.1项目建设与《</w:t>
            </w:r>
            <w:r>
              <w:rPr>
                <w:rFonts w:hint="default" w:ascii="Times New Roman" w:hAnsi="Times New Roman" w:eastAsia="宋体" w:cs="Times New Roman"/>
                <w:b/>
                <w:color w:val="auto"/>
                <w:sz w:val="24"/>
                <w:highlight w:val="none"/>
                <w:u w:val="none" w:color="auto"/>
              </w:rPr>
              <w:t>镇平县国土空间总体规划（2021-2035）》的相符性</w:t>
            </w:r>
          </w:p>
          <w:p w14:paraId="2FC4E1C2">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2.1.1镇平县国土空间总体规划相关内容</w:t>
            </w:r>
          </w:p>
          <w:p w14:paraId="6043EA69">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lang w:val="zh-CN"/>
              </w:rPr>
              <w:t>2.1</w:t>
            </w:r>
            <w:r>
              <w:rPr>
                <w:rFonts w:hint="default" w:ascii="Times New Roman" w:hAnsi="Times New Roman" w:eastAsia="宋体" w:cs="Times New Roman"/>
                <w:bCs/>
                <w:color w:val="auto"/>
                <w:sz w:val="24"/>
                <w:highlight w:val="none"/>
                <w:u w:val="none" w:color="auto"/>
              </w:rPr>
              <w:t>.1《镇平县国土空间总体规划（2021-2035）》规划内容</w:t>
            </w:r>
          </w:p>
          <w:p w14:paraId="31BC4B2B">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（1）规划期限及范围</w:t>
            </w:r>
          </w:p>
          <w:p w14:paraId="537E2054">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规划期限：2021-2035年；近期至2025年，远期至2035年，远景至2050年。</w:t>
            </w:r>
          </w:p>
          <w:p w14:paraId="710C298F">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规划范围：全县行政管辖范围，国土总面积1493.97平方公里。</w:t>
            </w:r>
          </w:p>
          <w:p w14:paraId="3FAD82F6">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（2）总体发展定位</w:t>
            </w:r>
          </w:p>
          <w:p w14:paraId="0A155A97">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南阳市先进制造业隆起区</w:t>
            </w:r>
          </w:p>
          <w:p w14:paraId="0CABF531">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全省数字经济先行区</w:t>
            </w:r>
          </w:p>
          <w:p w14:paraId="47D24D5F">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全国“三产融合”示范区</w:t>
            </w:r>
          </w:p>
          <w:p w14:paraId="12837439">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全球玉文化消费中心</w:t>
            </w:r>
          </w:p>
          <w:p w14:paraId="1CABE452">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（3）区域协同发展</w:t>
            </w:r>
          </w:p>
          <w:p w14:paraId="161182E0">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加强跨区域协同联动：</w:t>
            </w:r>
          </w:p>
          <w:p w14:paraId="0E82A0E0">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主动参与“一带一路”战略实施：依托“一带一路”文化大通道，借助与通道口岸新疆地区的联系，传播镇平玉文化名片；持续推进京津冀、长三角、珠三角等发达地区产业和要素合作，推动绿色食品、电子元器件及高端装备等主导产业规模扩大，做好产业空间预留。加强与南阳卧龙综保区、南阳铁路、航空、国际陆港、河港等物流口岸对接，支撑现代物流、电子商务等产业平台落地，成为区域性商贸物流集散中心。</w:t>
            </w:r>
          </w:p>
          <w:p w14:paraId="42B53B23">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积极融入汉江经济带发展战略：加强与南阳市、襄阳市、十堰市及省内周边地市等合作共建；推进汉江经济带、南水北调水源地生态环境保护区域合作共保。</w:t>
            </w:r>
          </w:p>
          <w:p w14:paraId="574D375A">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融入南阳都市圈空间</w:t>
            </w:r>
            <w:r>
              <w:rPr>
                <w:rFonts w:hint="default" w:ascii="Times New Roman" w:hAnsi="Times New Roman" w:eastAsia="宋体" w:cs="Times New Roman"/>
                <w:bCs/>
                <w:color w:val="auto"/>
                <w:sz w:val="24"/>
                <w:highlight w:val="none"/>
                <w:u w:val="none" w:color="auto"/>
                <w:lang w:val="en-US" w:eastAsia="zh-CN"/>
              </w:rPr>
              <w:t>格</w:t>
            </w:r>
            <w:r>
              <w:rPr>
                <w:rFonts w:hint="default" w:ascii="Times New Roman" w:hAnsi="Times New Roman" w:eastAsia="宋体" w:cs="Times New Roman"/>
                <w:bCs/>
                <w:color w:val="auto"/>
                <w:sz w:val="24"/>
                <w:highlight w:val="none"/>
                <w:u w:val="none" w:color="auto"/>
              </w:rPr>
              <w:t>局：</w:t>
            </w:r>
          </w:p>
          <w:p w14:paraId="597A636F">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融入南阳市“一城两区三副城”都市圈</w:t>
            </w:r>
            <w:r>
              <w:rPr>
                <w:rFonts w:hint="default" w:ascii="Times New Roman" w:hAnsi="Times New Roman" w:eastAsia="宋体" w:cs="Times New Roman"/>
                <w:bCs/>
                <w:color w:val="auto"/>
                <w:sz w:val="24"/>
                <w:highlight w:val="none"/>
                <w:u w:val="none" w:color="auto"/>
                <w:lang w:val="en-US" w:eastAsia="zh-CN"/>
              </w:rPr>
              <w:t>格</w:t>
            </w:r>
            <w:r>
              <w:rPr>
                <w:rFonts w:hint="default" w:ascii="Times New Roman" w:hAnsi="Times New Roman" w:eastAsia="宋体" w:cs="Times New Roman"/>
                <w:bCs/>
                <w:color w:val="auto"/>
                <w:sz w:val="24"/>
                <w:highlight w:val="none"/>
                <w:u w:val="none" w:color="auto"/>
              </w:rPr>
              <w:t>局推进镇平与南阳一体化发展、一体化管理。</w:t>
            </w:r>
          </w:p>
          <w:p w14:paraId="1CD01B94">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（4）国土空间总体格局</w:t>
            </w:r>
          </w:p>
          <w:p w14:paraId="52157FAE">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一主、两副、两中心、多节点、网络化的城乡体系结构。</w:t>
            </w:r>
          </w:p>
          <w:p w14:paraId="3365389D">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一主：指镇平县中心城区。县域核心，辐射带动临近乡镇发展。</w:t>
            </w:r>
          </w:p>
          <w:p w14:paraId="4522A249">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两副：石佛寺镇按镇级市标准、遮山镇与柳泉铺镇按新市镇标准，形成县域副中心；</w:t>
            </w:r>
          </w:p>
          <w:p w14:paraId="443190D0">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两中心：贾宋镇、</w:t>
            </w:r>
            <w:r>
              <w:rPr>
                <w:rFonts w:hint="default" w:ascii="Times New Roman" w:hAnsi="Times New Roman" w:eastAsia="宋体" w:cs="Times New Roman"/>
                <w:bCs/>
                <w:color w:val="auto"/>
                <w:sz w:val="24"/>
                <w:highlight w:val="none"/>
                <w:u w:val="none" w:color="auto"/>
                <w:lang w:val="en-US" w:eastAsia="zh-CN"/>
              </w:rPr>
              <w:t>侯</w:t>
            </w:r>
            <w:r>
              <w:rPr>
                <w:rFonts w:hint="default" w:ascii="Times New Roman" w:hAnsi="Times New Roman" w:eastAsia="宋体" w:cs="Times New Roman"/>
                <w:bCs/>
                <w:color w:val="auto"/>
                <w:sz w:val="24"/>
                <w:highlight w:val="none"/>
                <w:u w:val="none" w:color="auto"/>
              </w:rPr>
              <w:t>集镇成为县域中心镇；</w:t>
            </w:r>
          </w:p>
          <w:p w14:paraId="072ECE11">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城镇节点：指老庄镇等14个乡镇，形成现代农业、特色种植、休闲旅游、商贸物流、农副加工等功能的特色小城镇。</w:t>
            </w:r>
          </w:p>
          <w:p w14:paraId="44D4CAC3">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（5）完善国土空间支撑体系</w:t>
            </w:r>
          </w:p>
          <w:p w14:paraId="65908EB8">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①构建便捷高效的综合交通</w:t>
            </w:r>
          </w:p>
          <w:p w14:paraId="6267091A">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构建便捷高效，区域联通的综合交通运输体系：</w:t>
            </w:r>
          </w:p>
          <w:p w14:paraId="62A90164">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构建“二高二普”铁路网；二高：南信合高铁（规划）、十南高铁（规划）；二普：宁西铁路、焦枝铁路。</w:t>
            </w:r>
          </w:p>
          <w:p w14:paraId="5DFC4941">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构建“一横一纵”高速公路网；一横：沪陕高速；一纵：二广高速-南邓高速。</w:t>
            </w:r>
          </w:p>
          <w:p w14:paraId="7B6F21CE">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构建“五纵四横”干线网；五纵：S528、S240、G207、S239、S237；四横：S329、S330、G312、S331。</w:t>
            </w:r>
          </w:p>
          <w:p w14:paraId="057D96D6">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构建“环状+网络”中心城区道路网实现过境交通及货运交通通过环城快速通道疏解，内部完善道路网，加强联系便捷性，实现交通的分级分类组织，高效运行。</w:t>
            </w:r>
          </w:p>
          <w:p w14:paraId="1E32E2D4">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②完善城乡一体的基础设施</w:t>
            </w:r>
          </w:p>
          <w:p w14:paraId="0A0EE73F">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电力：加快电网建设不升级改造，保障城乡用电供应，同时加快管线入地建设工作。</w:t>
            </w:r>
          </w:p>
          <w:p w14:paraId="563E25CD">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燃气：改善城市能源消费结构，规定和技术标准，注重消防、安全和环境保护，提高燃气供应的可靠性。</w:t>
            </w:r>
          </w:p>
          <w:p w14:paraId="4A08DCC2">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供水：规划至规划期末2035年，实现农村安全饮用水覆盖率100%，城区给水管网覆盖率100%。</w:t>
            </w:r>
          </w:p>
          <w:p w14:paraId="2DB1B44B">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排水：到规划期末，实行雨污分流制，完善污水、雨水管网系统。</w:t>
            </w:r>
          </w:p>
          <w:p w14:paraId="67453EA6">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能源：提高太阳能、风能等可再生清洁能源在能源结构的比例。</w:t>
            </w:r>
          </w:p>
          <w:p w14:paraId="47B5AE4C">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通信：5G通信网络和应用服务体系全县域覆盖。</w:t>
            </w:r>
          </w:p>
          <w:p w14:paraId="128FC3EA">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环卫：按照“减量化、资源化、无害化”的原则，对生活垃圾进行无害化处理。</w:t>
            </w:r>
          </w:p>
          <w:p w14:paraId="088C143C">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（6）空间结构</w:t>
            </w:r>
          </w:p>
          <w:p w14:paraId="308A235E">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规划形成“一河两岸五区、两轴五心共荣”的城市空间结构。</w:t>
            </w:r>
          </w:p>
          <w:p w14:paraId="447A5613">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一河：赵河滨水景观带；</w:t>
            </w:r>
          </w:p>
          <w:p w14:paraId="52BDBE73">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两轴：为沿建设大道和平安大道的两条横向交通发展轴线；</w:t>
            </w:r>
          </w:p>
          <w:p w14:paraId="39F8D1F6">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两心：是指老城综合服务中心、新城综合服务中心:</w:t>
            </w:r>
          </w:p>
          <w:p w14:paraId="553D47BC">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五片区：是指老城片区、新城片区、开发区片区、赵河西岸片区和东城片区。</w:t>
            </w:r>
          </w:p>
          <w:p w14:paraId="1DFE45A5">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先进制造业开发区片区：建设大道以北，航天大道以西。开发区形成以新型建材产业园、高端装备制造产业园、绿色食品产业园、玉石智谷产业园和医药健康产业园五个主要园区。</w:t>
            </w:r>
          </w:p>
          <w:p w14:paraId="3CFD6BE3">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（7）规划传导与实施保障</w:t>
            </w:r>
          </w:p>
          <w:p w14:paraId="792E9261">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规划加强党的领导，坚决执行各项法规、政策与标准规定。依据国土空间规划体系框架，镇平县建立“两级三类”规划体系，即县（市）级和乡镇级国土空间规划，以及总体规划、相关专项规划和详细规划等，落实上位规划的各项要求和传导给下级规划的管控规定，并加强对相关专项规划和详细规划的管控与指引，建好、用好国土空间规划“一张图”实施监督信息系统，明确近期建设，落实规划全周期实施监督管理。</w:t>
            </w:r>
          </w:p>
          <w:p w14:paraId="37489315">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bCs/>
                <w:color w:val="auto"/>
                <w:sz w:val="24"/>
                <w:highlight w:val="none"/>
                <w:u w:val="none" w:color="auto"/>
              </w:rPr>
            </w:pPr>
            <w:r>
              <w:rPr>
                <w:rFonts w:hint="default" w:ascii="Times New Roman" w:hAnsi="Times New Roman" w:eastAsia="宋体" w:cs="Times New Roman"/>
                <w:bCs/>
                <w:color w:val="auto"/>
                <w:sz w:val="24"/>
                <w:highlight w:val="none"/>
                <w:u w:val="none" w:color="auto"/>
              </w:rPr>
              <w:t>2.1.2项目建设与镇平县国土空间总体规划的相符性分析</w:t>
            </w:r>
          </w:p>
          <w:p w14:paraId="7C34E686">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本项目位于</w:t>
            </w:r>
            <w:r>
              <w:rPr>
                <w:rFonts w:hint="default" w:ascii="Times New Roman" w:hAnsi="Times New Roman" w:eastAsia="宋体" w:cs="Times New Roman"/>
                <w:color w:val="auto"/>
                <w:sz w:val="24"/>
                <w:highlight w:val="none"/>
                <w:u w:val="none" w:color="auto"/>
                <w:lang w:val="en-US" w:eastAsia="zh-CN"/>
              </w:rPr>
              <w:t>镇平县涅阳街道中山街东段北侧，镇平县雪枫中学西侧</w:t>
            </w:r>
            <w:r>
              <w:rPr>
                <w:rFonts w:hint="default" w:ascii="Times New Roman" w:hAnsi="Times New Roman" w:eastAsia="宋体" w:cs="Times New Roman"/>
                <w:color w:val="auto"/>
                <w:sz w:val="24"/>
                <w:highlight w:val="none"/>
                <w:u w:val="none" w:color="auto"/>
              </w:rPr>
              <w:t>，</w:t>
            </w:r>
            <w:r>
              <w:rPr>
                <w:rFonts w:hint="default" w:ascii="Times New Roman" w:hAnsi="Times New Roman" w:eastAsia="宋体" w:cs="Times New Roman"/>
                <w:bCs/>
                <w:color w:val="auto"/>
                <w:sz w:val="24"/>
                <w:highlight w:val="none"/>
                <w:u w:val="none" w:color="auto"/>
              </w:rPr>
              <w:t>经对比《镇平县国土空间总体规划》（2021-2035），本项目位于镇平县国土空间总体规划范围中</w:t>
            </w:r>
            <w:r>
              <w:rPr>
                <w:rFonts w:hint="default" w:ascii="Times New Roman" w:hAnsi="Times New Roman" w:eastAsia="宋体" w:cs="Times New Roman"/>
                <w:bCs/>
                <w:color w:val="auto"/>
                <w:sz w:val="24"/>
                <w:highlight w:val="none"/>
                <w:u w:val="none" w:color="auto"/>
                <w:lang w:val="en-US" w:eastAsia="zh-CN"/>
              </w:rPr>
              <w:t>的“</w:t>
            </w:r>
            <w:r>
              <w:rPr>
                <w:rFonts w:hint="default" w:ascii="Times New Roman" w:hAnsi="Times New Roman" w:eastAsia="宋体" w:cs="Times New Roman"/>
                <w:bCs/>
                <w:color w:val="auto"/>
                <w:sz w:val="24"/>
                <w:highlight w:val="none"/>
                <w:u w:val="none" w:color="auto"/>
              </w:rPr>
              <w:t>一主</w:t>
            </w:r>
            <w:r>
              <w:rPr>
                <w:rFonts w:hint="default" w:ascii="Times New Roman" w:hAnsi="Times New Roman" w:eastAsia="宋体" w:cs="Times New Roman"/>
                <w:bCs/>
                <w:color w:val="auto"/>
                <w:sz w:val="24"/>
                <w:highlight w:val="none"/>
                <w:u w:val="none" w:color="auto"/>
                <w:lang w:eastAsia="zh-CN"/>
              </w:rPr>
              <w:t>”</w:t>
            </w:r>
            <w:r>
              <w:rPr>
                <w:rFonts w:hint="default" w:ascii="Times New Roman" w:hAnsi="Times New Roman" w:eastAsia="宋体" w:cs="Times New Roman"/>
                <w:color w:val="auto"/>
                <w:sz w:val="24"/>
                <w:highlight w:val="none"/>
                <w:u w:val="none" w:color="auto"/>
              </w:rPr>
              <w:t>，同时，</w:t>
            </w:r>
            <w:r>
              <w:rPr>
                <w:rFonts w:hint="default" w:ascii="Times New Roman" w:hAnsi="Times New Roman" w:eastAsia="宋体" w:cs="Times New Roman"/>
                <w:bCs/>
                <w:color w:val="auto"/>
                <w:kern w:val="0"/>
                <w:sz w:val="24"/>
                <w:highlight w:val="none"/>
                <w:u w:val="none" w:color="auto"/>
                <w:lang w:val="en-US" w:eastAsia="zh-CN"/>
              </w:rPr>
              <w:t>根据镇平县人民政府办公会议纪要（镇政纪[2016]25号），该地块划拨给镇平县雪枫中学使用</w:t>
            </w:r>
            <w:r>
              <w:rPr>
                <w:rFonts w:hint="default" w:ascii="Times New Roman" w:hAnsi="Times New Roman" w:eastAsia="宋体" w:cs="Times New Roman"/>
                <w:color w:val="auto"/>
                <w:sz w:val="24"/>
                <w:highlight w:val="none"/>
                <w:u w:val="none" w:color="auto"/>
              </w:rPr>
              <w:t>，项目建设符合</w:t>
            </w:r>
            <w:r>
              <w:rPr>
                <w:rFonts w:hint="default" w:ascii="Times New Roman" w:hAnsi="Times New Roman" w:eastAsia="宋体" w:cs="Times New Roman"/>
                <w:bCs/>
                <w:color w:val="auto"/>
                <w:sz w:val="24"/>
                <w:highlight w:val="none"/>
                <w:u w:val="none" w:color="auto"/>
              </w:rPr>
              <w:t>镇平县国土空间总体规划</w:t>
            </w:r>
            <w:r>
              <w:rPr>
                <w:rFonts w:hint="default" w:ascii="Times New Roman" w:hAnsi="Times New Roman" w:eastAsia="宋体" w:cs="Times New Roman"/>
                <w:color w:val="auto"/>
                <w:sz w:val="24"/>
                <w:highlight w:val="none"/>
                <w:u w:val="none" w:color="auto"/>
              </w:rPr>
              <w:t>要求。</w:t>
            </w:r>
          </w:p>
          <w:p w14:paraId="1BAC4AF0">
            <w:pPr>
              <w:pStyle w:val="121"/>
              <w:keepNext w:val="0"/>
              <w:keepLines w:val="0"/>
              <w:pageBreakBefore w:val="0"/>
              <w:kinsoku/>
              <w:wordWrap/>
              <w:overflowPunct/>
              <w:topLinePunct w:val="0"/>
              <w:autoSpaceDE/>
              <w:autoSpaceDN/>
              <w:bidi w:val="0"/>
              <w:adjustRightInd w:val="0"/>
              <w:snapToGrid w:val="0"/>
              <w:spacing w:before="0"/>
              <w:ind w:firstLineChars="200"/>
              <w:jc w:val="both"/>
              <w:outlineLvl w:val="9"/>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2.2项目建设与镇平县集中式饮用水源保护区规划的相符性</w:t>
            </w:r>
          </w:p>
          <w:p w14:paraId="2C48EBE1">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2.2.1镇平县饮用水水源保护区规划内容</w:t>
            </w:r>
          </w:p>
          <w:p w14:paraId="6634C084">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根据河南省人民政府办公厅下发的《关于印发河南省县级集中式饮用水水源保护区划的通知》（豫政办〔2013〕107 号），镇平县集中式饮用水源保护区划分如下：赵湾水库饮用水水源地一级保护区面积为0.953km</w:t>
            </w:r>
            <w:r>
              <w:rPr>
                <w:rFonts w:hint="default" w:ascii="Times New Roman" w:hAnsi="Times New Roman" w:eastAsia="宋体" w:cs="Times New Roman"/>
                <w:color w:val="auto"/>
                <w:sz w:val="24"/>
                <w:highlight w:val="none"/>
                <w:u w:val="none" w:color="auto"/>
                <w:vertAlign w:val="superscript"/>
              </w:rPr>
              <w:t>2</w:t>
            </w:r>
            <w:r>
              <w:rPr>
                <w:rFonts w:hint="default" w:ascii="Times New Roman" w:hAnsi="Times New Roman" w:eastAsia="宋体" w:cs="Times New Roman"/>
                <w:color w:val="auto"/>
                <w:sz w:val="24"/>
                <w:highlight w:val="none"/>
                <w:u w:val="none" w:color="auto"/>
              </w:rPr>
              <w:t>，二级保护区面积为50.879km</w:t>
            </w:r>
            <w:r>
              <w:rPr>
                <w:rFonts w:hint="default" w:ascii="Times New Roman" w:hAnsi="Times New Roman" w:eastAsia="宋体" w:cs="Times New Roman"/>
                <w:color w:val="auto"/>
                <w:sz w:val="24"/>
                <w:highlight w:val="none"/>
                <w:u w:val="none" w:color="auto"/>
                <w:vertAlign w:val="superscript"/>
              </w:rPr>
              <w:t>2</w:t>
            </w:r>
            <w:r>
              <w:rPr>
                <w:rFonts w:hint="default" w:ascii="Times New Roman" w:hAnsi="Times New Roman" w:eastAsia="宋体" w:cs="Times New Roman"/>
                <w:color w:val="auto"/>
                <w:sz w:val="24"/>
                <w:highlight w:val="none"/>
                <w:u w:val="none" w:color="auto"/>
              </w:rPr>
              <w:t>，包括赵湾水库库区保护区及输水渠保护区两部分。</w:t>
            </w:r>
          </w:p>
          <w:p w14:paraId="27FC1766">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（1）赵湾水库库区饮用水水源保护区划分结果：</w:t>
            </w:r>
          </w:p>
          <w:p w14:paraId="253A7B9B">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①一级保护区划分结果</w:t>
            </w:r>
          </w:p>
          <w:p w14:paraId="2F29B1EB">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水域：南起赵湾水库大坝，北至取水口北500m与水库大坝平行的边界线所包围的水域范围；</w:t>
            </w:r>
          </w:p>
          <w:p w14:paraId="32ACFEA5">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陆域：水域范围外东西两侧正常水位线（+219.5m）以上200m范围内的陆域。</w:t>
            </w:r>
          </w:p>
          <w:p w14:paraId="616DA35C">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②二级保护区划分结果</w:t>
            </w:r>
          </w:p>
          <w:p w14:paraId="28395ACE">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水域：结合二级保护区划分原则，并考虑赵湾水库实际情况（水域面积不大），因此，将赵湾水库一级保护区边界外正常水位线（+219.5m）以内的整个水域面积设定为二级保护区；另外，为了控制流入赵湾水库的河流水质，本次划分将赵河及芦苇河在汇入口向上游延伸3000m范围的河道水域设为二级保护区；</w:t>
            </w:r>
          </w:p>
          <w:p w14:paraId="0359C168">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陆域：水域外3000m范围内的汇水区域，不超过流域分水岭（含水库大坝），即南起赵湾水库大坝，北至赵湾水库正常水位线外3000m的汇水区域，东、西侧到流域分水岭。</w:t>
            </w:r>
          </w:p>
          <w:p w14:paraId="33C321FE">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③准保护区划分结果</w:t>
            </w:r>
          </w:p>
          <w:p w14:paraId="10599663">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本次划分不设准保护区。</w:t>
            </w:r>
          </w:p>
          <w:p w14:paraId="371DD8C4">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（2）输水渠饮用水水源保护区划分结果：</w:t>
            </w:r>
          </w:p>
          <w:p w14:paraId="624B1F80">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①一级保护区划分结果</w:t>
            </w:r>
          </w:p>
          <w:p w14:paraId="16061DD3">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赵湾水库坝下至水库管理局西侧明渠段（长约960m）一级保护区范围为输水渠边界两侧向外延伸水平距离50m区域；水库管理局西侧至五里岗水厂暗渠段（长约16.04km）一级保护区范围为输水渠边界两侧向外延伸水平距离5m区域。</w:t>
            </w:r>
          </w:p>
          <w:p w14:paraId="58BCE3ED">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②二级保护区划分结果</w:t>
            </w:r>
          </w:p>
          <w:p w14:paraId="20931F2F">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赵湾水库坝下至水库管理局西侧明渠段（长约960m）二级保护区范围为一级保护区边界向外延伸水平距离200m区域；水库管理局西侧至五里岗水厂暗渠段（长约16.04km）不设二级保护区。</w:t>
            </w:r>
          </w:p>
          <w:p w14:paraId="73F17614">
            <w:pPr>
              <w:pStyle w:val="121"/>
              <w:keepNext w:val="0"/>
              <w:keepLines w:val="0"/>
              <w:pageBreakBefore w:val="0"/>
              <w:kinsoku/>
              <w:wordWrap/>
              <w:overflowPunct/>
              <w:topLinePunct w:val="0"/>
              <w:autoSpaceDE/>
              <w:autoSpaceDN/>
              <w:bidi w:val="0"/>
              <w:adjustRightInd w:val="0"/>
              <w:snapToGrid w:val="0"/>
              <w:spacing w:before="0"/>
              <w:ind w:firstLine="480" w:firstLineChars="200"/>
              <w:jc w:val="both"/>
              <w:outlineLvl w:val="9"/>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2.2.2项目建设与镇平县饮用水源地保护规划的相符性分析</w:t>
            </w:r>
          </w:p>
          <w:p w14:paraId="168F0D47">
            <w:pPr>
              <w:pStyle w:val="121"/>
              <w:keepNext w:val="0"/>
              <w:keepLines w:val="0"/>
              <w:pageBreakBefore w:val="0"/>
              <w:kinsoku/>
              <w:wordWrap/>
              <w:overflowPunct/>
              <w:topLinePunct w:val="0"/>
              <w:autoSpaceDE/>
              <w:autoSpaceDN/>
              <w:bidi w:val="0"/>
              <w:adjustRightInd w:val="0"/>
              <w:snapToGrid w:val="0"/>
              <w:spacing w:before="0"/>
              <w:ind w:firstLine="480" w:firstLineChars="200"/>
              <w:jc w:val="both"/>
              <w:outlineLvl w:val="9"/>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本项目位于</w:t>
            </w:r>
            <w:r>
              <w:rPr>
                <w:rFonts w:hint="default" w:ascii="Times New Roman" w:hAnsi="Times New Roman" w:eastAsia="宋体" w:cs="Times New Roman"/>
                <w:color w:val="auto"/>
                <w:highlight w:val="none"/>
                <w:u w:val="none" w:color="auto"/>
                <w:lang w:val="en-US" w:eastAsia="zh-CN"/>
              </w:rPr>
              <w:t>镇平县涅阳街道中山街东段北侧，镇平县雪枫中学西侧</w:t>
            </w:r>
            <w:r>
              <w:rPr>
                <w:rFonts w:hint="default" w:ascii="Times New Roman" w:hAnsi="Times New Roman" w:eastAsia="宋体" w:cs="Times New Roman"/>
                <w:color w:val="auto"/>
                <w:highlight w:val="none"/>
                <w:u w:val="none" w:color="auto"/>
              </w:rPr>
              <w:t>，西北距赵湾水库库区饮用水源二级保护区边界最近直线距离约</w:t>
            </w:r>
            <w:r>
              <w:rPr>
                <w:rFonts w:hint="default" w:ascii="Times New Roman" w:hAnsi="Times New Roman" w:eastAsia="宋体" w:cs="Times New Roman"/>
                <w:color w:val="auto"/>
                <w:highlight w:val="none"/>
                <w:u w:val="none" w:color="auto"/>
                <w:lang w:val="en-US" w:eastAsia="zh-CN"/>
              </w:rPr>
              <w:t>11.9</w:t>
            </w:r>
            <w:r>
              <w:rPr>
                <w:rFonts w:hint="default" w:ascii="Times New Roman" w:hAnsi="Times New Roman" w:eastAsia="宋体" w:cs="Times New Roman"/>
                <w:color w:val="auto"/>
                <w:highlight w:val="none"/>
                <w:u w:val="none" w:color="auto"/>
              </w:rPr>
              <w:t>km，项目区域输水渠为水库管理局西侧至五里岗水厂暗渠段，项目区</w:t>
            </w:r>
            <w:r>
              <w:rPr>
                <w:rFonts w:hint="default" w:ascii="Times New Roman" w:hAnsi="Times New Roman" w:eastAsia="宋体" w:cs="Times New Roman"/>
                <w:color w:val="auto"/>
                <w:highlight w:val="none"/>
                <w:u w:val="none" w:color="auto"/>
                <w:lang w:val="en-US" w:eastAsia="zh-CN"/>
              </w:rPr>
              <w:t>西</w:t>
            </w:r>
            <w:r>
              <w:rPr>
                <w:rFonts w:hint="default" w:ascii="Times New Roman" w:hAnsi="Times New Roman" w:eastAsia="宋体" w:cs="Times New Roman"/>
                <w:color w:val="auto"/>
                <w:highlight w:val="none"/>
                <w:u w:val="none" w:color="auto"/>
              </w:rPr>
              <w:t>北至输水渠一级保护区边界距离约</w:t>
            </w:r>
            <w:r>
              <w:rPr>
                <w:rFonts w:hint="default" w:ascii="Times New Roman" w:hAnsi="Times New Roman" w:eastAsia="宋体" w:cs="Times New Roman"/>
                <w:color w:val="auto"/>
                <w:highlight w:val="none"/>
                <w:u w:val="none" w:color="auto"/>
                <w:lang w:val="en-US" w:eastAsia="zh-CN"/>
              </w:rPr>
              <w:t>4.4k</w:t>
            </w:r>
            <w:r>
              <w:rPr>
                <w:rFonts w:hint="default" w:ascii="Times New Roman" w:hAnsi="Times New Roman" w:eastAsia="宋体" w:cs="Times New Roman"/>
                <w:color w:val="auto"/>
                <w:highlight w:val="none"/>
                <w:u w:val="none" w:color="auto"/>
              </w:rPr>
              <w:t>m，项目选址不在赵湾水库饮用水水源保护区、输水渠保护区范围内，</w:t>
            </w:r>
            <w:r>
              <w:rPr>
                <w:rFonts w:hint="default" w:ascii="Times New Roman" w:hAnsi="Times New Roman" w:eastAsia="宋体" w:cs="Times New Roman"/>
                <w:color w:val="auto"/>
                <w:sz w:val="24"/>
                <w:szCs w:val="24"/>
                <w:highlight w:val="none"/>
                <w:u w:val="none" w:color="auto"/>
              </w:rPr>
              <w:t>且本项目</w:t>
            </w:r>
            <w:r>
              <w:rPr>
                <w:rFonts w:hint="default" w:ascii="Times New Roman" w:hAnsi="Times New Roman" w:eastAsia="宋体" w:cs="Times New Roman"/>
                <w:color w:val="auto"/>
                <w:sz w:val="24"/>
                <w:szCs w:val="24"/>
                <w:highlight w:val="none"/>
                <w:u w:val="none" w:color="auto"/>
                <w:lang w:val="en-US" w:eastAsia="zh-CN"/>
              </w:rPr>
              <w:t>营运期师生日常生活污水与经现有地埋式隔油池（1座，地埋式，容积230m</w:t>
            </w:r>
            <w:r>
              <w:rPr>
                <w:rFonts w:hint="default" w:ascii="Times New Roman" w:hAnsi="Times New Roman" w:eastAsia="宋体" w:cs="Times New Roman"/>
                <w:color w:val="auto"/>
                <w:sz w:val="24"/>
                <w:szCs w:val="24"/>
                <w:highlight w:val="none"/>
                <w:u w:val="none" w:color="auto"/>
                <w:vertAlign w:val="superscript"/>
                <w:lang w:val="en-US" w:eastAsia="zh-CN"/>
              </w:rPr>
              <w:t>3</w:t>
            </w:r>
            <w:r>
              <w:rPr>
                <w:rFonts w:hint="default" w:ascii="Times New Roman" w:hAnsi="Times New Roman" w:eastAsia="宋体" w:cs="Times New Roman"/>
                <w:color w:val="auto"/>
                <w:sz w:val="24"/>
                <w:szCs w:val="24"/>
                <w:highlight w:val="none"/>
                <w:u w:val="none" w:color="auto"/>
                <w:lang w:val="en-US" w:eastAsia="zh-CN"/>
              </w:rPr>
              <w:t>）处理后的</w:t>
            </w:r>
            <w:r>
              <w:rPr>
                <w:rFonts w:hint="eastAsia" w:cs="Times New Roman"/>
                <w:color w:val="auto"/>
                <w:sz w:val="24"/>
                <w:szCs w:val="24"/>
                <w:highlight w:val="none"/>
                <w:u w:val="none" w:color="auto"/>
                <w:lang w:val="en-US" w:eastAsia="zh-CN"/>
              </w:rPr>
              <w:t>餐厅</w:t>
            </w:r>
            <w:r>
              <w:rPr>
                <w:rFonts w:hint="default" w:ascii="Times New Roman" w:hAnsi="Times New Roman" w:eastAsia="宋体" w:cs="Times New Roman"/>
                <w:color w:val="auto"/>
                <w:sz w:val="24"/>
                <w:szCs w:val="24"/>
                <w:highlight w:val="none"/>
                <w:u w:val="none" w:color="auto"/>
                <w:lang w:val="en-US" w:eastAsia="zh-CN"/>
              </w:rPr>
              <w:t>废水以及经中和池（新建，1座，地埋式，容积5m</w:t>
            </w:r>
            <w:r>
              <w:rPr>
                <w:rFonts w:hint="default" w:ascii="Times New Roman" w:hAnsi="Times New Roman" w:eastAsia="宋体" w:cs="Times New Roman"/>
                <w:color w:val="auto"/>
                <w:sz w:val="24"/>
                <w:szCs w:val="24"/>
                <w:highlight w:val="none"/>
                <w:u w:val="none" w:color="auto"/>
                <w:vertAlign w:val="superscript"/>
                <w:lang w:val="en-US" w:eastAsia="zh-CN"/>
              </w:rPr>
              <w:t>3</w:t>
            </w:r>
            <w:r>
              <w:rPr>
                <w:rFonts w:hint="default" w:ascii="Times New Roman" w:hAnsi="Times New Roman" w:eastAsia="宋体" w:cs="Times New Roman"/>
                <w:color w:val="auto"/>
                <w:sz w:val="24"/>
                <w:szCs w:val="24"/>
                <w:highlight w:val="none"/>
                <w:u w:val="none" w:color="auto"/>
                <w:lang w:val="en-US" w:eastAsia="zh-CN"/>
              </w:rPr>
              <w:t>）处理后的实验室废水一起进入现有地埋式化粪池（1座，地埋式，现有容积650m</w:t>
            </w:r>
            <w:r>
              <w:rPr>
                <w:rFonts w:hint="default" w:ascii="Times New Roman" w:hAnsi="Times New Roman" w:eastAsia="宋体" w:cs="Times New Roman"/>
                <w:color w:val="auto"/>
                <w:sz w:val="24"/>
                <w:szCs w:val="24"/>
                <w:highlight w:val="none"/>
                <w:u w:val="none" w:color="auto"/>
                <w:vertAlign w:val="superscript"/>
                <w:lang w:val="en-US" w:eastAsia="zh-CN"/>
              </w:rPr>
              <w:t>3</w:t>
            </w:r>
            <w:r>
              <w:rPr>
                <w:rFonts w:hint="default" w:ascii="Times New Roman" w:hAnsi="Times New Roman" w:eastAsia="宋体" w:cs="Times New Roman"/>
                <w:color w:val="auto"/>
                <w:sz w:val="24"/>
                <w:szCs w:val="24"/>
                <w:highlight w:val="none"/>
                <w:u w:val="none" w:color="auto"/>
                <w:lang w:val="en-US" w:eastAsia="zh-CN"/>
              </w:rPr>
              <w:t>）处理后</w:t>
            </w:r>
            <w:r>
              <w:rPr>
                <w:rFonts w:hint="default" w:ascii="Times New Roman" w:hAnsi="Times New Roman" w:eastAsia="宋体" w:cs="Times New Roman"/>
                <w:color w:val="auto"/>
                <w:kern w:val="0"/>
                <w:sz w:val="24"/>
                <w:szCs w:val="24"/>
                <w:highlight w:val="none"/>
                <w:u w:val="none" w:color="auto"/>
              </w:rPr>
              <w:t>满足《污水综合排放标准》（GB8978-1996）表4三级标准及镇平县</w:t>
            </w:r>
            <w:r>
              <w:rPr>
                <w:rFonts w:hint="default" w:ascii="Times New Roman" w:hAnsi="Times New Roman" w:eastAsia="宋体" w:cs="Times New Roman"/>
                <w:color w:val="auto"/>
                <w:kern w:val="0"/>
                <w:sz w:val="24"/>
                <w:szCs w:val="24"/>
                <w:highlight w:val="none"/>
                <w:u w:val="none" w:color="auto"/>
                <w:lang w:val="en-US" w:eastAsia="zh-CN"/>
              </w:rPr>
              <w:t>污水处理中心</w:t>
            </w:r>
            <w:r>
              <w:rPr>
                <w:rFonts w:hint="default" w:ascii="Times New Roman" w:hAnsi="Times New Roman" w:eastAsia="宋体" w:cs="Times New Roman"/>
                <w:color w:val="auto"/>
                <w:kern w:val="0"/>
                <w:sz w:val="24"/>
                <w:szCs w:val="24"/>
                <w:highlight w:val="none"/>
                <w:u w:val="none" w:color="auto"/>
              </w:rPr>
              <w:t>进水水质指标后经市政污水管网进入镇平县</w:t>
            </w:r>
            <w:r>
              <w:rPr>
                <w:rFonts w:hint="default" w:ascii="Times New Roman" w:hAnsi="Times New Roman" w:eastAsia="宋体" w:cs="Times New Roman"/>
                <w:color w:val="auto"/>
                <w:kern w:val="0"/>
                <w:sz w:val="24"/>
                <w:szCs w:val="24"/>
                <w:highlight w:val="none"/>
                <w:u w:val="none" w:color="auto"/>
                <w:lang w:val="en-US" w:eastAsia="zh-CN"/>
              </w:rPr>
              <w:t>污水处理中心</w:t>
            </w:r>
            <w:r>
              <w:rPr>
                <w:rFonts w:hint="default" w:ascii="Times New Roman" w:hAnsi="Times New Roman" w:eastAsia="宋体" w:cs="Times New Roman"/>
                <w:color w:val="auto"/>
                <w:kern w:val="0"/>
                <w:sz w:val="24"/>
                <w:szCs w:val="24"/>
                <w:highlight w:val="none"/>
                <w:u w:val="none" w:color="auto"/>
              </w:rPr>
              <w:t>进一步处理达到《城镇污水处理厂污染物排放标准》（GB18918-2002）一级A标准后</w:t>
            </w:r>
            <w:r>
              <w:rPr>
                <w:rFonts w:hint="default" w:ascii="Times New Roman" w:hAnsi="Times New Roman" w:eastAsia="宋体" w:cs="Times New Roman"/>
                <w:color w:val="auto"/>
                <w:sz w:val="24"/>
                <w:szCs w:val="24"/>
                <w:highlight w:val="none"/>
                <w:u w:val="none" w:color="auto"/>
              </w:rPr>
              <w:t>排入</w:t>
            </w:r>
            <w:r>
              <w:rPr>
                <w:rFonts w:hint="default" w:ascii="Times New Roman" w:hAnsi="Times New Roman" w:eastAsia="宋体" w:cs="Times New Roman"/>
                <w:color w:val="auto"/>
                <w:sz w:val="24"/>
                <w:szCs w:val="24"/>
                <w:highlight w:val="none"/>
                <w:u w:val="none" w:color="auto"/>
                <w:lang w:val="en-US" w:eastAsia="zh-CN"/>
              </w:rPr>
              <w:t>西三里河</w:t>
            </w:r>
            <w:r>
              <w:rPr>
                <w:rFonts w:hint="default" w:ascii="Times New Roman" w:hAnsi="Times New Roman" w:eastAsia="宋体" w:cs="Times New Roman"/>
                <w:color w:val="auto"/>
                <w:kern w:val="0"/>
                <w:sz w:val="24"/>
                <w:szCs w:val="24"/>
                <w:highlight w:val="none"/>
                <w:u w:val="none" w:color="auto"/>
                <w:lang w:val="en-US" w:eastAsia="zh-CN" w:bidi="ar"/>
              </w:rPr>
              <w:t>，</w:t>
            </w:r>
            <w:r>
              <w:rPr>
                <w:rFonts w:hint="default" w:ascii="Times New Roman" w:hAnsi="Times New Roman" w:eastAsia="宋体" w:cs="Times New Roman"/>
                <w:color w:val="auto"/>
                <w:highlight w:val="none"/>
                <w:u w:val="none" w:color="auto"/>
              </w:rPr>
              <w:t>因此项目建设不会对镇平县饮用水源水质产生不良影响。</w:t>
            </w:r>
          </w:p>
          <w:p w14:paraId="220A0C9F">
            <w:pPr>
              <w:keepNext w:val="0"/>
              <w:keepLines w:val="0"/>
              <w:pageBreakBefore w:val="0"/>
              <w:kinsoku/>
              <w:wordWrap/>
              <w:overflowPunct/>
              <w:topLinePunct w:val="0"/>
              <w:autoSpaceDE/>
              <w:autoSpaceDN/>
              <w:bidi w:val="0"/>
              <w:adjustRightInd w:val="0"/>
              <w:snapToGrid w:val="0"/>
              <w:spacing w:line="360" w:lineRule="auto"/>
              <w:ind w:firstLine="482" w:firstLineChars="200"/>
              <w:jc w:val="both"/>
              <w:textAlignment w:val="baseline"/>
              <w:outlineLvl w:val="9"/>
              <w:rPr>
                <w:rFonts w:hint="default" w:ascii="Times New Roman" w:hAnsi="Times New Roman" w:eastAsia="宋体" w:cs="Times New Roman"/>
                <w:b/>
                <w:bCs/>
                <w:color w:val="auto"/>
                <w:sz w:val="24"/>
                <w:highlight w:val="none"/>
                <w:u w:val="none" w:color="auto"/>
              </w:rPr>
            </w:pPr>
            <w:r>
              <w:rPr>
                <w:rFonts w:hint="default" w:ascii="Times New Roman" w:hAnsi="Times New Roman" w:eastAsia="宋体" w:cs="Times New Roman"/>
                <w:b/>
                <w:bCs/>
                <w:color w:val="auto"/>
                <w:sz w:val="24"/>
                <w:highlight w:val="none"/>
                <w:u w:val="none" w:color="auto"/>
              </w:rPr>
              <w:t>2.3、项目建设与南水北调中线工程总干渠水源保护区规划的相符性</w:t>
            </w:r>
          </w:p>
          <w:p w14:paraId="5E7DC689">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lang w:eastAsia="zh-CN"/>
              </w:rPr>
            </w:pPr>
            <w:r>
              <w:rPr>
                <w:rFonts w:hint="default" w:ascii="Times New Roman" w:hAnsi="Times New Roman" w:eastAsia="宋体" w:cs="Times New Roman"/>
                <w:color w:val="auto"/>
                <w:sz w:val="24"/>
                <w:highlight w:val="none"/>
                <w:u w:val="none" w:color="auto"/>
                <w:lang w:val="en-US" w:eastAsia="zh-CN"/>
              </w:rPr>
              <w:t>（1）</w:t>
            </w:r>
            <w:r>
              <w:rPr>
                <w:rFonts w:hint="default" w:ascii="Times New Roman" w:hAnsi="Times New Roman" w:eastAsia="宋体" w:cs="Times New Roman"/>
                <w:color w:val="auto"/>
                <w:sz w:val="24"/>
                <w:highlight w:val="none"/>
                <w:u w:val="none" w:color="auto"/>
              </w:rPr>
              <w:t>南水北调中线一期工程总干渠（河南段）两侧饮用水水源保护区划</w:t>
            </w:r>
            <w:r>
              <w:rPr>
                <w:rFonts w:hint="default" w:ascii="Times New Roman" w:hAnsi="Times New Roman" w:eastAsia="宋体" w:cs="Times New Roman"/>
                <w:color w:val="auto"/>
                <w:sz w:val="24"/>
                <w:highlight w:val="none"/>
                <w:u w:val="none" w:color="auto"/>
                <w:lang w:val="en-US" w:eastAsia="zh-CN"/>
              </w:rPr>
              <w:t>范围</w:t>
            </w:r>
          </w:p>
          <w:p w14:paraId="2394921B">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根据《关于印发南水北调中线一期工程总干渠（河南段）两侧水源保护区划的通知》（豫调办</w:t>
            </w:r>
            <w:r>
              <w:rPr>
                <w:rFonts w:hint="default" w:ascii="Times New Roman" w:hAnsi="Times New Roman" w:eastAsia="宋体" w:cs="Times New Roman"/>
                <w:color w:val="auto"/>
                <w:sz w:val="24"/>
                <w:highlight w:val="none"/>
                <w:u w:val="none" w:color="auto"/>
                <w:lang w:val="en-US" w:eastAsia="zh-CN"/>
              </w:rPr>
              <w:t>[</w:t>
            </w:r>
            <w:r>
              <w:rPr>
                <w:rFonts w:hint="default" w:ascii="Times New Roman" w:hAnsi="Times New Roman" w:eastAsia="宋体" w:cs="Times New Roman"/>
                <w:color w:val="auto"/>
                <w:sz w:val="24"/>
                <w:highlight w:val="none"/>
                <w:u w:val="none" w:color="auto"/>
              </w:rPr>
              <w:t>2018</w:t>
            </w:r>
            <w:r>
              <w:rPr>
                <w:rFonts w:hint="default" w:ascii="Times New Roman" w:hAnsi="Times New Roman" w:eastAsia="宋体" w:cs="Times New Roman"/>
                <w:color w:val="auto"/>
                <w:sz w:val="24"/>
                <w:highlight w:val="none"/>
                <w:u w:val="none" w:color="auto"/>
                <w:lang w:val="en-US" w:eastAsia="zh-CN"/>
              </w:rPr>
              <w:t>]</w:t>
            </w:r>
            <w:r>
              <w:rPr>
                <w:rFonts w:hint="default" w:ascii="Times New Roman" w:hAnsi="Times New Roman" w:eastAsia="宋体" w:cs="Times New Roman"/>
                <w:color w:val="auto"/>
                <w:sz w:val="24"/>
                <w:highlight w:val="none"/>
                <w:u w:val="none" w:color="auto"/>
              </w:rPr>
              <w:t>56号），总干渠两侧饮用水水源保护区划范围：</w:t>
            </w:r>
          </w:p>
          <w:p w14:paraId="5F9DDF23">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南水北调中线一期工程总干渠在河南境内的工程类型分为建筑物段和总干渠明渠段。</w:t>
            </w:r>
          </w:p>
          <w:p w14:paraId="3DEDAAD1">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（一）建筑物段（渡槽、倒虹吸、暗涵、隧洞）</w:t>
            </w:r>
          </w:p>
          <w:p w14:paraId="10B471BD">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一级保护区范围自总干渠管理范围边线（防护栏网）外延50m，不设二级保护区。</w:t>
            </w:r>
          </w:p>
          <w:p w14:paraId="19013C76">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（二）总干渠明渠段</w:t>
            </w:r>
          </w:p>
          <w:p w14:paraId="5BD2EA8B">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根据地下水水位与总干渠渠底高程的关系，分为以下几种类型：</w:t>
            </w:r>
          </w:p>
          <w:p w14:paraId="770B1FB2">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eastAsia="宋体" w:cs="Times New Roman"/>
                <w:color w:val="auto"/>
                <w:sz w:val="24"/>
                <w:highlight w:val="none"/>
                <w:u w:val="none" w:color="auto"/>
                <w:lang w:val="en-US" w:eastAsia="zh-CN"/>
              </w:rPr>
              <w:t>1</w:t>
            </w: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eastAsia="宋体" w:cs="Times New Roman"/>
                <w:color w:val="auto"/>
                <w:sz w:val="24"/>
                <w:highlight w:val="none"/>
                <w:u w:val="none" w:color="auto"/>
              </w:rPr>
              <w:t>地下水水位低于总干渠渠底的渠段</w:t>
            </w:r>
          </w:p>
          <w:p w14:paraId="144BEFDE">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一级保护区范围自总干渠管理范围边线（防护栏网）外延50米；</w:t>
            </w:r>
          </w:p>
          <w:p w14:paraId="2E368D11">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二级保护区范围自一级保护区边线外延150米。</w:t>
            </w:r>
          </w:p>
          <w:p w14:paraId="73AAB327">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eastAsia="宋体" w:cs="Times New Roman"/>
                <w:color w:val="auto"/>
                <w:sz w:val="24"/>
                <w:highlight w:val="none"/>
                <w:u w:val="none" w:color="auto"/>
                <w:lang w:val="en-US" w:eastAsia="zh-CN"/>
              </w:rPr>
              <w:t>2</w:t>
            </w: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eastAsia="宋体" w:cs="Times New Roman"/>
                <w:color w:val="auto"/>
                <w:sz w:val="24"/>
                <w:highlight w:val="none"/>
                <w:u w:val="none" w:color="auto"/>
              </w:rPr>
              <w:t>地下水水位高于总干渠渠底的渠段</w:t>
            </w:r>
          </w:p>
          <w:p w14:paraId="0ABD1C6E">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①微—弱透水性地层</w:t>
            </w:r>
          </w:p>
          <w:p w14:paraId="225D5817">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一级保护区范围自总干渠管理范围边线（防护栏网）外延50米；</w:t>
            </w:r>
          </w:p>
          <w:p w14:paraId="6F12264A">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二级保护区范围自一级保护区边线外延500米。</w:t>
            </w:r>
          </w:p>
          <w:p w14:paraId="37E24960">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②弱—中等透水性地层</w:t>
            </w:r>
          </w:p>
          <w:p w14:paraId="4527315E">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一级保护区范围自总干渠管理范围边线（防护栏网）外延100米；</w:t>
            </w:r>
          </w:p>
          <w:p w14:paraId="69CB7513">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二级保护区范围自一级保护区边线外延1000米。</w:t>
            </w:r>
          </w:p>
          <w:p w14:paraId="10110C8A">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③强透水性地层</w:t>
            </w:r>
          </w:p>
          <w:p w14:paraId="600EF5AD">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一级保护区范围自总干渠管理范围边线（防护栏网）外延200米；</w:t>
            </w:r>
          </w:p>
          <w:p w14:paraId="4A52CA63">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二级保护区范围自一级保护区边线外延2000米、1500米。</w:t>
            </w:r>
          </w:p>
          <w:p w14:paraId="518D89E1">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eastAsia="宋体" w:cs="Times New Roman"/>
                <w:color w:val="auto"/>
                <w:sz w:val="24"/>
                <w:highlight w:val="none"/>
                <w:u w:val="none" w:color="auto"/>
              </w:rPr>
              <w:t>三</w:t>
            </w: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eastAsia="宋体" w:cs="Times New Roman"/>
                <w:color w:val="auto"/>
                <w:sz w:val="24"/>
                <w:highlight w:val="none"/>
                <w:u w:val="none" w:color="auto"/>
              </w:rPr>
              <w:t>、监督与管理</w:t>
            </w:r>
          </w:p>
          <w:p w14:paraId="2A2D57B9">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南水北调中线一期工程总干渠（河南段）两侧饮用水水源保护区所在地各级政府要按照有关法律法规加强饮用水水源环境监督管理工作。</w:t>
            </w:r>
          </w:p>
          <w:p w14:paraId="75401435">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①在饮用水水源保护区内，禁止设置排污口；禁止使用剧毒和高残留农药，不得滥用化肥；禁止利用渗坑、渗井、裂隙等排放污水和其他有害废弃物；禁止利用储水层孔隙、裂隙及废弃矿坑储存石油、放射性物质、有毒化学品、农药等。</w:t>
            </w:r>
          </w:p>
          <w:p w14:paraId="0B4F64F5">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②在一级保护区内，禁止新建、改建、扩建与供水设施和保护水源无关的建设项目。</w:t>
            </w:r>
          </w:p>
          <w:p w14:paraId="20A6FFB2">
            <w:pPr>
              <w:keepNext w:val="0"/>
              <w:keepLines w:val="0"/>
              <w:pageBreakBefore w:val="0"/>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③在二级保护区内，禁止新建、改建、扩建排放污染物的建设项目。</w:t>
            </w:r>
          </w:p>
          <w:p w14:paraId="7CC670A9">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baseline"/>
              <w:outlineLvl w:val="9"/>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 xml:space="preserve">三、项目建设与南水北调中线工程总干渠两侧水源保护区规划的相符性分析 </w:t>
            </w:r>
          </w:p>
          <w:p w14:paraId="51BA3EAC">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本项目位于</w:t>
            </w:r>
            <w:r>
              <w:rPr>
                <w:rFonts w:hint="default" w:ascii="Times New Roman" w:hAnsi="Times New Roman" w:eastAsia="宋体" w:cs="Times New Roman"/>
                <w:color w:val="auto"/>
                <w:sz w:val="24"/>
                <w:szCs w:val="24"/>
                <w:highlight w:val="none"/>
                <w:u w:val="none" w:color="auto"/>
                <w:lang w:val="en-US" w:eastAsia="zh-CN"/>
              </w:rPr>
              <w:t>镇平县涅阳街道中山街东段北侧，镇平县雪枫中学西侧</w:t>
            </w:r>
            <w:r>
              <w:rPr>
                <w:rFonts w:hint="default" w:ascii="Times New Roman" w:hAnsi="Times New Roman" w:eastAsia="宋体" w:cs="Times New Roman"/>
                <w:color w:val="auto"/>
                <w:sz w:val="24"/>
                <w:szCs w:val="24"/>
                <w:highlight w:val="none"/>
                <w:u w:val="none" w:color="auto"/>
              </w:rPr>
              <w:t>，距离干渠最近桩号为TS</w:t>
            </w:r>
            <w:r>
              <w:rPr>
                <w:rFonts w:hint="default" w:ascii="Times New Roman" w:hAnsi="Times New Roman" w:eastAsia="宋体" w:cs="Times New Roman"/>
                <w:color w:val="auto"/>
                <w:sz w:val="24"/>
                <w:szCs w:val="24"/>
                <w:highlight w:val="none"/>
                <w:u w:val="none" w:color="auto"/>
                <w:lang w:val="en-US" w:eastAsia="zh-CN"/>
              </w:rPr>
              <w:t>72</w:t>
            </w:r>
            <w:r>
              <w:rPr>
                <w:rFonts w:hint="default" w:ascii="Times New Roman" w:hAnsi="Times New Roman" w:eastAsia="宋体" w:cs="Times New Roman"/>
                <w:color w:val="auto"/>
                <w:sz w:val="24"/>
                <w:szCs w:val="24"/>
                <w:highlight w:val="none"/>
                <w:u w:val="none" w:color="auto"/>
              </w:rPr>
              <w:t>+000，该段干渠保护区范围为一级保护区宽度100m，二级保护区宽度1000m，项目</w:t>
            </w:r>
            <w:r>
              <w:rPr>
                <w:rFonts w:hint="default" w:ascii="Times New Roman" w:hAnsi="Times New Roman" w:eastAsia="宋体" w:cs="Times New Roman"/>
                <w:color w:val="auto"/>
                <w:sz w:val="24"/>
                <w:szCs w:val="24"/>
                <w:highlight w:val="none"/>
                <w:u w:val="none" w:color="auto"/>
                <w:lang w:val="en-US" w:eastAsia="zh-CN"/>
              </w:rPr>
              <w:t>距离总干渠管理范围边线（防护栏网）的距离</w:t>
            </w:r>
            <w:r>
              <w:rPr>
                <w:rFonts w:hint="default" w:ascii="Times New Roman" w:hAnsi="Times New Roman" w:eastAsia="宋体" w:cs="Times New Roman"/>
                <w:color w:val="auto"/>
                <w:sz w:val="24"/>
                <w:szCs w:val="24"/>
                <w:highlight w:val="none"/>
                <w:u w:val="none" w:color="auto"/>
              </w:rPr>
              <w:t>约</w:t>
            </w:r>
            <w:r>
              <w:rPr>
                <w:rFonts w:hint="default" w:ascii="Times New Roman" w:hAnsi="Times New Roman" w:eastAsia="宋体" w:cs="Times New Roman"/>
                <w:color w:val="auto"/>
                <w:sz w:val="24"/>
                <w:szCs w:val="24"/>
                <w:highlight w:val="none"/>
                <w:u w:val="none" w:color="auto"/>
                <w:lang w:val="en-US" w:eastAsia="zh-CN"/>
              </w:rPr>
              <w:t>9.9k</w:t>
            </w:r>
            <w:r>
              <w:rPr>
                <w:rFonts w:hint="default" w:ascii="Times New Roman" w:hAnsi="Times New Roman" w:eastAsia="宋体" w:cs="Times New Roman"/>
                <w:color w:val="auto"/>
                <w:sz w:val="24"/>
                <w:szCs w:val="24"/>
                <w:highlight w:val="none"/>
                <w:u w:val="none" w:color="auto"/>
              </w:rPr>
              <w:t>m</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距离南水北调二级保护区边界为8.9m</w:t>
            </w:r>
            <w:r>
              <w:rPr>
                <w:rFonts w:hint="default" w:ascii="Times New Roman" w:hAnsi="Times New Roman" w:eastAsia="宋体" w:cs="Times New Roman"/>
                <w:color w:val="auto"/>
                <w:sz w:val="24"/>
                <w:szCs w:val="24"/>
                <w:highlight w:val="none"/>
                <w:u w:val="none" w:color="auto"/>
              </w:rPr>
              <w:t>。经对照南水北调中线工程总干渠两侧水源保护区规划图，项目选址不在其两侧水源保护区范围内，且本项目</w:t>
            </w:r>
            <w:r>
              <w:rPr>
                <w:rFonts w:hint="default" w:ascii="Times New Roman" w:hAnsi="Times New Roman" w:eastAsia="宋体" w:cs="Times New Roman"/>
                <w:color w:val="auto"/>
                <w:sz w:val="24"/>
                <w:szCs w:val="24"/>
                <w:highlight w:val="none"/>
                <w:u w:val="none" w:color="auto"/>
                <w:lang w:val="en-US" w:eastAsia="zh-CN"/>
              </w:rPr>
              <w:t>营运期师生日常生活污水与经现有地埋式隔油池（1座，地埋式，容积230m</w:t>
            </w:r>
            <w:r>
              <w:rPr>
                <w:rFonts w:hint="default" w:ascii="Times New Roman" w:hAnsi="Times New Roman" w:eastAsia="宋体" w:cs="Times New Roman"/>
                <w:color w:val="auto"/>
                <w:sz w:val="24"/>
                <w:szCs w:val="24"/>
                <w:highlight w:val="none"/>
                <w:u w:val="none" w:color="auto"/>
                <w:vertAlign w:val="superscript"/>
                <w:lang w:val="en-US" w:eastAsia="zh-CN"/>
              </w:rPr>
              <w:t>3</w:t>
            </w:r>
            <w:r>
              <w:rPr>
                <w:rFonts w:hint="default" w:ascii="Times New Roman" w:hAnsi="Times New Roman" w:eastAsia="宋体" w:cs="Times New Roman"/>
                <w:color w:val="auto"/>
                <w:sz w:val="24"/>
                <w:szCs w:val="24"/>
                <w:highlight w:val="none"/>
                <w:u w:val="none" w:color="auto"/>
                <w:lang w:val="en-US" w:eastAsia="zh-CN"/>
              </w:rPr>
              <w:t>）处理后的</w:t>
            </w:r>
            <w:r>
              <w:rPr>
                <w:rFonts w:hint="eastAsia" w:cs="Times New Roman"/>
                <w:color w:val="auto"/>
                <w:sz w:val="24"/>
                <w:szCs w:val="24"/>
                <w:highlight w:val="none"/>
                <w:u w:val="none" w:color="auto"/>
                <w:lang w:val="en-US" w:eastAsia="zh-CN"/>
              </w:rPr>
              <w:t>餐厅</w:t>
            </w:r>
            <w:r>
              <w:rPr>
                <w:rFonts w:hint="default" w:ascii="Times New Roman" w:hAnsi="Times New Roman" w:eastAsia="宋体" w:cs="Times New Roman"/>
                <w:color w:val="auto"/>
                <w:sz w:val="24"/>
                <w:szCs w:val="24"/>
                <w:highlight w:val="none"/>
                <w:u w:val="none" w:color="auto"/>
                <w:lang w:val="en-US" w:eastAsia="zh-CN"/>
              </w:rPr>
              <w:t>废水以及经中和池（新建，1座，地埋式，容积5m</w:t>
            </w:r>
            <w:r>
              <w:rPr>
                <w:rFonts w:hint="default" w:ascii="Times New Roman" w:hAnsi="Times New Roman" w:eastAsia="宋体" w:cs="Times New Roman"/>
                <w:color w:val="auto"/>
                <w:sz w:val="24"/>
                <w:szCs w:val="24"/>
                <w:highlight w:val="none"/>
                <w:u w:val="none" w:color="auto"/>
                <w:vertAlign w:val="superscript"/>
                <w:lang w:val="en-US" w:eastAsia="zh-CN"/>
              </w:rPr>
              <w:t>3</w:t>
            </w:r>
            <w:r>
              <w:rPr>
                <w:rFonts w:hint="default" w:ascii="Times New Roman" w:hAnsi="Times New Roman" w:eastAsia="宋体" w:cs="Times New Roman"/>
                <w:color w:val="auto"/>
                <w:sz w:val="24"/>
                <w:szCs w:val="24"/>
                <w:highlight w:val="none"/>
                <w:u w:val="none" w:color="auto"/>
                <w:lang w:val="en-US" w:eastAsia="zh-CN"/>
              </w:rPr>
              <w:t>）处理后的实验室废水一起进入现有地埋式化粪池（1座，地埋式，现有容积650m</w:t>
            </w:r>
            <w:r>
              <w:rPr>
                <w:rFonts w:hint="default" w:ascii="Times New Roman" w:hAnsi="Times New Roman" w:eastAsia="宋体" w:cs="Times New Roman"/>
                <w:color w:val="auto"/>
                <w:sz w:val="24"/>
                <w:szCs w:val="24"/>
                <w:highlight w:val="none"/>
                <w:u w:val="none" w:color="auto"/>
                <w:vertAlign w:val="superscript"/>
                <w:lang w:val="en-US" w:eastAsia="zh-CN"/>
              </w:rPr>
              <w:t>3</w:t>
            </w:r>
            <w:r>
              <w:rPr>
                <w:rFonts w:hint="default" w:ascii="Times New Roman" w:hAnsi="Times New Roman" w:eastAsia="宋体" w:cs="Times New Roman"/>
                <w:color w:val="auto"/>
                <w:sz w:val="24"/>
                <w:szCs w:val="24"/>
                <w:highlight w:val="none"/>
                <w:u w:val="none" w:color="auto"/>
                <w:lang w:val="en-US" w:eastAsia="zh-CN"/>
              </w:rPr>
              <w:t>）处理后</w:t>
            </w:r>
            <w:r>
              <w:rPr>
                <w:rFonts w:hint="default" w:ascii="Times New Roman" w:hAnsi="Times New Roman" w:eastAsia="宋体" w:cs="Times New Roman"/>
                <w:color w:val="auto"/>
                <w:kern w:val="0"/>
                <w:sz w:val="24"/>
                <w:szCs w:val="24"/>
                <w:highlight w:val="none"/>
                <w:u w:val="none" w:color="auto"/>
              </w:rPr>
              <w:t>满足《污水综合排放标准》（GB8978-1996）表4三级标准及镇平县</w:t>
            </w:r>
            <w:r>
              <w:rPr>
                <w:rFonts w:hint="default" w:ascii="Times New Roman" w:hAnsi="Times New Roman" w:eastAsia="宋体" w:cs="Times New Roman"/>
                <w:color w:val="auto"/>
                <w:kern w:val="0"/>
                <w:sz w:val="24"/>
                <w:szCs w:val="24"/>
                <w:highlight w:val="none"/>
                <w:u w:val="none" w:color="auto"/>
                <w:lang w:val="en-US" w:eastAsia="zh-CN"/>
              </w:rPr>
              <w:t>污水处理中心</w:t>
            </w:r>
            <w:r>
              <w:rPr>
                <w:rFonts w:hint="default" w:ascii="Times New Roman" w:hAnsi="Times New Roman" w:eastAsia="宋体" w:cs="Times New Roman"/>
                <w:color w:val="auto"/>
                <w:kern w:val="0"/>
                <w:sz w:val="24"/>
                <w:szCs w:val="24"/>
                <w:highlight w:val="none"/>
                <w:u w:val="none" w:color="auto"/>
              </w:rPr>
              <w:t>进水水质指标后经市政污水管网进入镇平县</w:t>
            </w:r>
            <w:r>
              <w:rPr>
                <w:rFonts w:hint="default" w:ascii="Times New Roman" w:hAnsi="Times New Roman" w:eastAsia="宋体" w:cs="Times New Roman"/>
                <w:color w:val="auto"/>
                <w:kern w:val="0"/>
                <w:sz w:val="24"/>
                <w:szCs w:val="24"/>
                <w:highlight w:val="none"/>
                <w:u w:val="none" w:color="auto"/>
                <w:lang w:val="en-US" w:eastAsia="zh-CN"/>
              </w:rPr>
              <w:t>污水处理中心</w:t>
            </w:r>
            <w:r>
              <w:rPr>
                <w:rFonts w:hint="default" w:ascii="Times New Roman" w:hAnsi="Times New Roman" w:eastAsia="宋体" w:cs="Times New Roman"/>
                <w:color w:val="auto"/>
                <w:kern w:val="0"/>
                <w:sz w:val="24"/>
                <w:szCs w:val="24"/>
                <w:highlight w:val="none"/>
                <w:u w:val="none" w:color="auto"/>
              </w:rPr>
              <w:t>进一步处理达到《城镇污水处理厂污染物排放标准》（GB18918-2002）一级A标准后</w:t>
            </w:r>
            <w:r>
              <w:rPr>
                <w:rFonts w:hint="default" w:ascii="Times New Roman" w:hAnsi="Times New Roman" w:eastAsia="宋体" w:cs="Times New Roman"/>
                <w:color w:val="auto"/>
                <w:sz w:val="24"/>
                <w:szCs w:val="24"/>
                <w:highlight w:val="none"/>
                <w:u w:val="none" w:color="auto"/>
              </w:rPr>
              <w:t>排入</w:t>
            </w:r>
            <w:r>
              <w:rPr>
                <w:rFonts w:hint="default" w:ascii="Times New Roman" w:hAnsi="Times New Roman" w:eastAsia="宋体" w:cs="Times New Roman"/>
                <w:color w:val="auto"/>
                <w:sz w:val="24"/>
                <w:szCs w:val="24"/>
                <w:highlight w:val="none"/>
                <w:u w:val="none" w:color="auto"/>
                <w:lang w:val="en-US" w:eastAsia="zh-CN"/>
              </w:rPr>
              <w:t>西三里河</w:t>
            </w:r>
            <w:r>
              <w:rPr>
                <w:rFonts w:hint="default" w:ascii="Times New Roman" w:hAnsi="Times New Roman" w:eastAsia="宋体" w:cs="Times New Roman"/>
                <w:color w:val="auto"/>
                <w:sz w:val="24"/>
                <w:szCs w:val="24"/>
                <w:highlight w:val="none"/>
                <w:u w:val="none" w:color="auto"/>
              </w:rPr>
              <w:t>，因此项目建设不会对南水北调干渠水源水质产生不良影响。</w:t>
            </w:r>
          </w:p>
          <w:p w14:paraId="69E52837">
            <w:pPr>
              <w:keepNext w:val="0"/>
              <w:keepLines w:val="0"/>
              <w:pageBreakBefore w:val="0"/>
              <w:tabs>
                <w:tab w:val="left" w:pos="1081"/>
              </w:tabs>
              <w:kinsoku/>
              <w:wordWrap/>
              <w:overflowPunct/>
              <w:topLinePunct w:val="0"/>
              <w:autoSpaceDE/>
              <w:autoSpaceDN/>
              <w:bidi w:val="0"/>
              <w:adjustRightInd w:val="0"/>
              <w:snapToGrid w:val="0"/>
              <w:spacing w:line="360" w:lineRule="auto"/>
              <w:ind w:firstLine="482" w:firstLineChars="200"/>
              <w:jc w:val="both"/>
              <w:outlineLvl w:val="9"/>
              <w:rPr>
                <w:rFonts w:hint="default" w:ascii="Times New Roman" w:hAnsi="Times New Roman" w:eastAsia="宋体" w:cs="Times New Roman"/>
                <w:b/>
                <w:color w:val="auto"/>
                <w:sz w:val="24"/>
                <w:highlight w:val="none"/>
                <w:u w:val="none" w:color="auto"/>
              </w:rPr>
            </w:pPr>
            <w:r>
              <w:rPr>
                <w:rFonts w:hint="default" w:ascii="Times New Roman" w:hAnsi="Times New Roman" w:eastAsia="宋体" w:cs="Times New Roman"/>
                <w:b/>
                <w:bCs/>
                <w:color w:val="auto"/>
                <w:sz w:val="24"/>
                <w:highlight w:val="none"/>
                <w:u w:val="none" w:color="auto"/>
              </w:rPr>
              <w:t>2.4、</w:t>
            </w:r>
            <w:r>
              <w:rPr>
                <w:rFonts w:hint="default" w:ascii="Times New Roman" w:hAnsi="Times New Roman" w:eastAsia="宋体" w:cs="Times New Roman"/>
                <w:b/>
                <w:color w:val="auto"/>
                <w:sz w:val="24"/>
                <w:highlight w:val="none"/>
                <w:u w:val="none" w:color="auto"/>
              </w:rPr>
              <w:t>项目与河南南阳恐龙蛋化石群国家级自然保护区规划相符性</w:t>
            </w:r>
          </w:p>
          <w:p w14:paraId="3C91A940">
            <w:pPr>
              <w:pStyle w:val="86"/>
              <w:keepNext w:val="0"/>
              <w:keepLines w:val="0"/>
              <w:pageBreakBefore w:val="0"/>
              <w:kinsoku/>
              <w:wordWrap/>
              <w:overflowPunct/>
              <w:topLinePunct w:val="0"/>
              <w:autoSpaceDE/>
              <w:autoSpaceDN/>
              <w:bidi w:val="0"/>
              <w:snapToGrid w:val="0"/>
              <w:spacing w:beforeLines="0" w:after="0" w:line="360" w:lineRule="auto"/>
              <w:jc w:val="both"/>
              <w:outlineLvl w:val="9"/>
              <w:rPr>
                <w:rFonts w:hint="default" w:ascii="Times New Roman" w:hAnsi="Times New Roman" w:eastAsia="宋体" w:cs="Times New Roman"/>
                <w:b w:val="0"/>
                <w:color w:val="auto"/>
                <w:szCs w:val="24"/>
                <w:highlight w:val="none"/>
                <w:u w:val="none" w:color="auto"/>
              </w:rPr>
            </w:pPr>
            <w:r>
              <w:rPr>
                <w:rFonts w:hint="default" w:ascii="Times New Roman" w:hAnsi="Times New Roman" w:eastAsia="宋体" w:cs="Times New Roman"/>
                <w:b w:val="0"/>
                <w:color w:val="auto"/>
                <w:szCs w:val="24"/>
                <w:highlight w:val="none"/>
                <w:u w:val="none" w:color="auto"/>
              </w:rPr>
              <w:t>（1）保护区基本情况</w:t>
            </w:r>
          </w:p>
          <w:p w14:paraId="121B8BAC">
            <w:pPr>
              <w:pStyle w:val="86"/>
              <w:keepNext w:val="0"/>
              <w:keepLines w:val="0"/>
              <w:pageBreakBefore w:val="0"/>
              <w:kinsoku/>
              <w:wordWrap/>
              <w:overflowPunct/>
              <w:topLinePunct w:val="0"/>
              <w:autoSpaceDE/>
              <w:autoSpaceDN/>
              <w:bidi w:val="0"/>
              <w:snapToGrid w:val="0"/>
              <w:spacing w:beforeLines="0" w:after="0" w:line="360" w:lineRule="auto"/>
              <w:jc w:val="both"/>
              <w:outlineLvl w:val="9"/>
              <w:rPr>
                <w:rFonts w:hint="default" w:ascii="Times New Roman" w:hAnsi="Times New Roman" w:eastAsia="宋体" w:cs="Times New Roman"/>
                <w:b w:val="0"/>
                <w:color w:val="auto"/>
                <w:szCs w:val="24"/>
                <w:highlight w:val="none"/>
                <w:u w:val="none" w:color="auto"/>
              </w:rPr>
            </w:pPr>
            <w:r>
              <w:rPr>
                <w:rFonts w:hint="default" w:ascii="Times New Roman" w:hAnsi="Times New Roman" w:eastAsia="宋体" w:cs="Times New Roman"/>
                <w:b w:val="0"/>
                <w:color w:val="auto"/>
                <w:szCs w:val="24"/>
                <w:highlight w:val="none"/>
                <w:u w:val="none" w:color="auto"/>
              </w:rPr>
              <w:t>根据河南南阳恐龙蛋化石群国家级自然保护区规划，保护区规划为3个核心保护区、7个缓冲保护区、3个实验保护区。三种类别的功能区，共13个区块。保护区管辖的范围为西峡县的丹水镇中北部、阳城乡南部、回车镇中部、田关乡北部、五里桥乡中部、丁河镇中部、重阳乡中部、西坪镇中部，内乡县的赤眉镇西部、赵店乡中部、夏馆镇南部、七里坪乡中南部，马山口镇中南部，镇平县的高丘镇北部、四山乡和二龙乡南部、石佛寺镇和城关镇北部，淅川县的滔河乡中北部大部、盛湾镇北部、老城镇中南部、大石桥乡东南部及西北部。共涉及4县的22个乡（镇）。</w:t>
            </w:r>
          </w:p>
          <w:p w14:paraId="09FA398D">
            <w:pPr>
              <w:pStyle w:val="86"/>
              <w:keepNext w:val="0"/>
              <w:keepLines w:val="0"/>
              <w:pageBreakBefore w:val="0"/>
              <w:kinsoku/>
              <w:wordWrap/>
              <w:overflowPunct/>
              <w:topLinePunct w:val="0"/>
              <w:autoSpaceDE/>
              <w:autoSpaceDN/>
              <w:bidi w:val="0"/>
              <w:snapToGrid w:val="0"/>
              <w:spacing w:beforeLines="0" w:after="0" w:line="360" w:lineRule="auto"/>
              <w:jc w:val="both"/>
              <w:outlineLvl w:val="9"/>
              <w:rPr>
                <w:rFonts w:hint="default" w:ascii="Times New Roman" w:hAnsi="Times New Roman" w:eastAsia="宋体" w:cs="Times New Roman"/>
                <w:b w:val="0"/>
                <w:color w:val="auto"/>
                <w:szCs w:val="24"/>
                <w:highlight w:val="none"/>
                <w:u w:val="none" w:color="auto"/>
              </w:rPr>
            </w:pPr>
            <w:r>
              <w:rPr>
                <w:rFonts w:hint="default" w:ascii="Times New Roman" w:hAnsi="Times New Roman" w:eastAsia="宋体" w:cs="Times New Roman"/>
                <w:b w:val="0"/>
                <w:color w:val="auto"/>
                <w:szCs w:val="24"/>
                <w:highlight w:val="none"/>
                <w:u w:val="none" w:color="auto"/>
              </w:rPr>
              <w:t>（2）国家级自然保护区管理要求</w:t>
            </w:r>
          </w:p>
          <w:p w14:paraId="14342D2B">
            <w:pPr>
              <w:pStyle w:val="86"/>
              <w:keepNext w:val="0"/>
              <w:keepLines w:val="0"/>
              <w:pageBreakBefore w:val="0"/>
              <w:kinsoku/>
              <w:wordWrap/>
              <w:overflowPunct/>
              <w:topLinePunct w:val="0"/>
              <w:autoSpaceDE/>
              <w:autoSpaceDN/>
              <w:bidi w:val="0"/>
              <w:snapToGrid w:val="0"/>
              <w:spacing w:beforeLines="0" w:after="0" w:line="360" w:lineRule="auto"/>
              <w:jc w:val="both"/>
              <w:outlineLvl w:val="9"/>
              <w:rPr>
                <w:rFonts w:hint="default" w:ascii="Times New Roman" w:hAnsi="Times New Roman" w:eastAsia="宋体" w:cs="Times New Roman"/>
                <w:b w:val="0"/>
                <w:color w:val="auto"/>
                <w:szCs w:val="24"/>
                <w:highlight w:val="none"/>
                <w:u w:val="none" w:color="auto"/>
              </w:rPr>
            </w:pPr>
            <w:r>
              <w:rPr>
                <w:rFonts w:hint="default" w:ascii="Times New Roman" w:hAnsi="Times New Roman" w:eastAsia="宋体" w:cs="Times New Roman"/>
                <w:b w:val="0"/>
                <w:color w:val="auto"/>
                <w:szCs w:val="24"/>
                <w:highlight w:val="none"/>
                <w:u w:val="none" w:color="auto"/>
              </w:rPr>
              <w:t>①禁止在自然保护区内进行砍伐、放牧、狩猎、捕捞、采药、开垦、烧荒、开矿、采石、挖沙等活动；但是，法律、行政法规另有规定的除外。</w:t>
            </w:r>
          </w:p>
          <w:p w14:paraId="3D283B22">
            <w:pPr>
              <w:pStyle w:val="86"/>
              <w:keepNext w:val="0"/>
              <w:keepLines w:val="0"/>
              <w:pageBreakBefore w:val="0"/>
              <w:kinsoku/>
              <w:wordWrap/>
              <w:overflowPunct/>
              <w:topLinePunct w:val="0"/>
              <w:autoSpaceDE/>
              <w:autoSpaceDN/>
              <w:bidi w:val="0"/>
              <w:snapToGrid w:val="0"/>
              <w:spacing w:beforeLines="0" w:after="0" w:line="360" w:lineRule="auto"/>
              <w:jc w:val="both"/>
              <w:outlineLvl w:val="9"/>
              <w:rPr>
                <w:rFonts w:hint="default" w:ascii="Times New Roman" w:hAnsi="Times New Roman" w:eastAsia="宋体" w:cs="Times New Roman"/>
                <w:b w:val="0"/>
                <w:color w:val="auto"/>
                <w:szCs w:val="24"/>
                <w:highlight w:val="none"/>
                <w:u w:val="none" w:color="auto"/>
              </w:rPr>
            </w:pPr>
            <w:r>
              <w:rPr>
                <w:rFonts w:hint="default" w:ascii="Times New Roman" w:hAnsi="Times New Roman" w:eastAsia="宋体" w:cs="Times New Roman"/>
                <w:b w:val="0"/>
                <w:color w:val="auto"/>
                <w:szCs w:val="24"/>
                <w:highlight w:val="none"/>
                <w:u w:val="none" w:color="auto"/>
              </w:rPr>
              <w:t>②禁止任何人进入自然保护区的核心区。因科学研究的需要，必须进入核心区从事科学研究观测、调查活动的，应当事先向自然保护区管理机构提交申请和活动计划，并经自然保护区管理机构批准；其中，进入国家级自然保护区核心区的，应当经省、自治区、直辖市人民政府有关自然保护区行政主管部门批准。</w:t>
            </w:r>
          </w:p>
          <w:p w14:paraId="46DF2BCE">
            <w:pPr>
              <w:pStyle w:val="86"/>
              <w:keepNext w:val="0"/>
              <w:keepLines w:val="0"/>
              <w:pageBreakBefore w:val="0"/>
              <w:kinsoku/>
              <w:wordWrap/>
              <w:overflowPunct/>
              <w:topLinePunct w:val="0"/>
              <w:autoSpaceDE/>
              <w:autoSpaceDN/>
              <w:bidi w:val="0"/>
              <w:snapToGrid w:val="0"/>
              <w:spacing w:beforeLines="0" w:after="0" w:line="360" w:lineRule="auto"/>
              <w:jc w:val="both"/>
              <w:outlineLvl w:val="9"/>
              <w:rPr>
                <w:rFonts w:hint="default" w:ascii="Times New Roman" w:hAnsi="Times New Roman" w:eastAsia="宋体" w:cs="Times New Roman"/>
                <w:b w:val="0"/>
                <w:color w:val="auto"/>
                <w:szCs w:val="24"/>
                <w:highlight w:val="none"/>
                <w:u w:val="none" w:color="auto"/>
              </w:rPr>
            </w:pPr>
            <w:r>
              <w:rPr>
                <w:rFonts w:hint="default" w:ascii="Times New Roman" w:hAnsi="Times New Roman" w:eastAsia="宋体" w:cs="Times New Roman"/>
                <w:b w:val="0"/>
                <w:color w:val="auto"/>
                <w:szCs w:val="24"/>
                <w:highlight w:val="none"/>
                <w:u w:val="none" w:color="auto"/>
              </w:rPr>
              <w:t>③禁止在自然保护区的缓冲区开展旅游和生产经营活动。因教学科研的目的，需要进入自然保护区的缓冲区从事非破坏性的科学研究、教学实习和标本采集活动的，应当事先向自然保护区管理机构提交申请和活动计划，经自然保护区管理机构批准。</w:t>
            </w:r>
          </w:p>
          <w:p w14:paraId="33B510C5">
            <w:pPr>
              <w:pStyle w:val="86"/>
              <w:keepNext w:val="0"/>
              <w:keepLines w:val="0"/>
              <w:pageBreakBefore w:val="0"/>
              <w:kinsoku/>
              <w:wordWrap/>
              <w:overflowPunct/>
              <w:topLinePunct w:val="0"/>
              <w:autoSpaceDE/>
              <w:autoSpaceDN/>
              <w:bidi w:val="0"/>
              <w:snapToGrid w:val="0"/>
              <w:spacing w:beforeLines="0" w:after="0" w:line="360" w:lineRule="auto"/>
              <w:jc w:val="both"/>
              <w:outlineLvl w:val="9"/>
              <w:rPr>
                <w:rFonts w:hint="default" w:ascii="Times New Roman" w:hAnsi="Times New Roman" w:eastAsia="宋体" w:cs="Times New Roman"/>
                <w:b w:val="0"/>
                <w:color w:val="auto"/>
                <w:szCs w:val="24"/>
                <w:highlight w:val="none"/>
                <w:u w:val="none" w:color="auto"/>
              </w:rPr>
            </w:pPr>
            <w:r>
              <w:rPr>
                <w:rFonts w:hint="default" w:ascii="Times New Roman" w:hAnsi="Times New Roman" w:eastAsia="宋体" w:cs="Times New Roman"/>
                <w:b w:val="0"/>
                <w:color w:val="auto"/>
                <w:szCs w:val="24"/>
                <w:highlight w:val="none"/>
                <w:u w:val="none" w:color="auto"/>
              </w:rPr>
              <w:t>④在自然保护区的核心区和缓冲区内，不得建设任何生产设施。在自然保护区的实验区内，不得建设污染环境、破坏资源或者景观的生产设施；建设其他项目，其污染物排放不得超过国家和地方规定的污染物排放标准。在自然保护区的实验区内已经建成的设施，其污染物排放超过国家和地方规定的排放标准的，应当限期治理；造成损害的，必须采取补救措施。</w:t>
            </w:r>
          </w:p>
          <w:p w14:paraId="638FFE65">
            <w:pPr>
              <w:pStyle w:val="86"/>
              <w:keepNext w:val="0"/>
              <w:keepLines w:val="0"/>
              <w:pageBreakBefore w:val="0"/>
              <w:kinsoku/>
              <w:wordWrap/>
              <w:overflowPunct/>
              <w:topLinePunct w:val="0"/>
              <w:autoSpaceDE/>
              <w:autoSpaceDN/>
              <w:bidi w:val="0"/>
              <w:snapToGrid w:val="0"/>
              <w:spacing w:beforeLines="0" w:after="0" w:line="360" w:lineRule="auto"/>
              <w:jc w:val="both"/>
              <w:outlineLvl w:val="9"/>
              <w:rPr>
                <w:rFonts w:hint="default" w:ascii="Times New Roman" w:hAnsi="Times New Roman" w:eastAsia="宋体" w:cs="Times New Roman"/>
                <w:b w:val="0"/>
                <w:color w:val="auto"/>
                <w:szCs w:val="24"/>
                <w:highlight w:val="none"/>
                <w:u w:val="none" w:color="auto"/>
              </w:rPr>
            </w:pPr>
            <w:r>
              <w:rPr>
                <w:rFonts w:hint="default" w:ascii="Times New Roman" w:hAnsi="Times New Roman" w:eastAsia="宋体" w:cs="Times New Roman"/>
                <w:b w:val="0"/>
                <w:color w:val="auto"/>
                <w:szCs w:val="24"/>
                <w:highlight w:val="none"/>
                <w:u w:val="none" w:color="auto"/>
              </w:rPr>
              <w:t>（3）项目建设与河南南阳恐龙蛋化石群国家级自然保护区的相符性分析</w:t>
            </w:r>
          </w:p>
          <w:p w14:paraId="1F073625">
            <w:pPr>
              <w:pStyle w:val="129"/>
              <w:keepNext w:val="0"/>
              <w:keepLines w:val="0"/>
              <w:pageBreakBefore w:val="0"/>
              <w:kinsoku/>
              <w:wordWrap/>
              <w:overflowPunct/>
              <w:topLinePunct w:val="0"/>
              <w:autoSpaceDE/>
              <w:autoSpaceDN/>
              <w:bidi w:val="0"/>
              <w:snapToGrid w:val="0"/>
              <w:ind w:firstLine="480" w:firstLineChars="200"/>
              <w:jc w:val="both"/>
              <w:outlineLvl w:val="9"/>
              <w:rPr>
                <w:rFonts w:hint="default" w:ascii="Times New Roman" w:hAnsi="Times New Roman" w:eastAsia="宋体" w:cs="Times New Roman"/>
                <w:color w:val="auto"/>
                <w:kern w:val="2"/>
                <w:szCs w:val="24"/>
                <w:highlight w:val="none"/>
                <w:u w:val="none" w:color="auto"/>
              </w:rPr>
            </w:pPr>
            <w:r>
              <w:rPr>
                <w:rFonts w:hint="default" w:ascii="Times New Roman" w:hAnsi="Times New Roman" w:eastAsia="宋体" w:cs="Times New Roman"/>
                <w:color w:val="auto"/>
                <w:szCs w:val="24"/>
                <w:highlight w:val="none"/>
                <w:u w:val="none" w:color="auto"/>
              </w:rPr>
              <w:t>本项目位于</w:t>
            </w:r>
            <w:r>
              <w:rPr>
                <w:rFonts w:hint="default" w:ascii="Times New Roman" w:hAnsi="Times New Roman" w:eastAsia="宋体" w:cs="Times New Roman"/>
                <w:color w:val="auto"/>
                <w:szCs w:val="24"/>
                <w:highlight w:val="none"/>
                <w:u w:val="none" w:color="auto"/>
                <w:lang w:val="en-US" w:eastAsia="zh-CN"/>
              </w:rPr>
              <w:t>镇平县涅阳街道中山街东段北侧，镇平县雪枫中学西侧</w:t>
            </w:r>
            <w:r>
              <w:rPr>
                <w:rFonts w:hint="default" w:ascii="Times New Roman" w:hAnsi="Times New Roman" w:eastAsia="宋体" w:cs="Times New Roman"/>
                <w:color w:val="auto"/>
                <w:szCs w:val="24"/>
                <w:highlight w:val="none"/>
                <w:u w:val="none" w:color="auto"/>
              </w:rPr>
              <w:t>，经比对《河南南阳恐龙蛋化石群国家级自然保护区划图》，项目</w:t>
            </w:r>
            <w:r>
              <w:rPr>
                <w:rFonts w:hint="default" w:ascii="Times New Roman" w:hAnsi="Times New Roman" w:eastAsia="宋体" w:cs="Times New Roman"/>
                <w:color w:val="auto"/>
                <w:szCs w:val="24"/>
                <w:highlight w:val="none"/>
                <w:u w:val="none" w:color="auto"/>
                <w:lang w:val="en-US" w:eastAsia="zh-CN"/>
              </w:rPr>
              <w:t>西</w:t>
            </w:r>
            <w:r>
              <w:rPr>
                <w:rFonts w:hint="default" w:ascii="Times New Roman" w:hAnsi="Times New Roman" w:eastAsia="宋体" w:cs="Times New Roman"/>
                <w:color w:val="auto"/>
                <w:szCs w:val="24"/>
                <w:highlight w:val="none"/>
                <w:u w:val="none" w:color="auto"/>
              </w:rPr>
              <w:t>北距河南南阳恐龙蛋化石群国家级自然保护区缓冲区边界约</w:t>
            </w:r>
            <w:r>
              <w:rPr>
                <w:rFonts w:hint="default" w:ascii="Times New Roman" w:hAnsi="Times New Roman" w:eastAsia="宋体" w:cs="Times New Roman"/>
                <w:color w:val="auto"/>
                <w:szCs w:val="24"/>
                <w:highlight w:val="none"/>
                <w:u w:val="none" w:color="auto"/>
                <w:lang w:val="en-US" w:eastAsia="zh-CN"/>
              </w:rPr>
              <w:t>4.7</w:t>
            </w:r>
            <w:r>
              <w:rPr>
                <w:rFonts w:hint="default" w:ascii="Times New Roman" w:hAnsi="Times New Roman" w:eastAsia="宋体" w:cs="Times New Roman"/>
                <w:color w:val="auto"/>
                <w:szCs w:val="24"/>
                <w:highlight w:val="none"/>
                <w:u w:val="none" w:color="auto"/>
              </w:rPr>
              <w:t>km，不在保护区范围内。项目按环评要求的治污措施配套落实后各污染物排放均满足相应的污染物排放标准，</w:t>
            </w:r>
            <w:r>
              <w:rPr>
                <w:rFonts w:hint="default" w:ascii="Times New Roman" w:hAnsi="Times New Roman" w:eastAsia="宋体" w:cs="Times New Roman"/>
                <w:color w:val="auto"/>
                <w:kern w:val="2"/>
                <w:szCs w:val="24"/>
                <w:highlight w:val="none"/>
                <w:u w:val="none" w:color="auto"/>
              </w:rPr>
              <w:t>对恐龙蛋化石遗迹影响不大，因此项目建设与河南南阳恐龙蛋化石群国家级自然保护区的要求基本相符。</w:t>
            </w:r>
          </w:p>
          <w:p w14:paraId="465F7E1D">
            <w:pPr>
              <w:keepNext w:val="0"/>
              <w:keepLines w:val="0"/>
              <w:pageBreakBefore w:val="0"/>
              <w:kinsoku/>
              <w:wordWrap/>
              <w:overflowPunct/>
              <w:topLinePunct w:val="0"/>
              <w:autoSpaceDE/>
              <w:autoSpaceDN/>
              <w:bidi w:val="0"/>
              <w:adjustRightInd w:val="0"/>
              <w:snapToGrid w:val="0"/>
              <w:spacing w:line="360" w:lineRule="auto"/>
              <w:ind w:firstLine="482" w:firstLineChars="200"/>
              <w:jc w:val="both"/>
              <w:textAlignment w:val="baseline"/>
              <w:outlineLvl w:val="9"/>
              <w:rPr>
                <w:rFonts w:hint="default" w:ascii="Times New Roman" w:hAnsi="Times New Roman" w:eastAsia="宋体" w:cs="Times New Roman"/>
                <w:b/>
                <w:bCs/>
                <w:color w:val="auto"/>
                <w:kern w:val="0"/>
                <w:sz w:val="24"/>
                <w:highlight w:val="none"/>
                <w:u w:val="none" w:color="auto"/>
              </w:rPr>
            </w:pPr>
            <w:r>
              <w:rPr>
                <w:rFonts w:hint="default" w:ascii="Times New Roman" w:hAnsi="Times New Roman" w:eastAsia="宋体" w:cs="Times New Roman"/>
                <w:b/>
                <w:bCs/>
                <w:color w:val="auto"/>
                <w:kern w:val="0"/>
                <w:sz w:val="24"/>
                <w:highlight w:val="none"/>
                <w:u w:val="none" w:color="auto"/>
              </w:rPr>
              <w:t>3、项目建设与相关技术规范、政策的符合性</w:t>
            </w:r>
          </w:p>
          <w:p w14:paraId="1F3523FD">
            <w:pPr>
              <w:keepNext w:val="0"/>
              <w:keepLines w:val="0"/>
              <w:pageBreakBefore w:val="0"/>
              <w:kinsoku/>
              <w:wordWrap/>
              <w:overflowPunct/>
              <w:topLinePunct w:val="0"/>
              <w:autoSpaceDE/>
              <w:autoSpaceDN/>
              <w:bidi w:val="0"/>
              <w:adjustRightInd w:val="0"/>
              <w:snapToGrid w:val="0"/>
              <w:spacing w:line="360" w:lineRule="auto"/>
              <w:ind w:firstLine="482" w:firstLineChars="200"/>
              <w:jc w:val="both"/>
              <w:textAlignment w:val="baseline"/>
              <w:outlineLvl w:val="9"/>
              <w:rPr>
                <w:rFonts w:hint="default" w:ascii="Times New Roman" w:hAnsi="Times New Roman" w:eastAsia="宋体" w:cs="Times New Roman"/>
                <w:b/>
                <w:bCs/>
                <w:color w:val="auto"/>
                <w:kern w:val="0"/>
                <w:sz w:val="24"/>
                <w:highlight w:val="none"/>
                <w:u w:val="none" w:color="auto"/>
              </w:rPr>
            </w:pPr>
            <w:r>
              <w:rPr>
                <w:rFonts w:hint="default" w:ascii="Times New Roman" w:hAnsi="Times New Roman" w:eastAsia="宋体" w:cs="Times New Roman"/>
                <w:b/>
                <w:bCs/>
                <w:color w:val="auto"/>
                <w:kern w:val="0"/>
                <w:sz w:val="24"/>
                <w:highlight w:val="none"/>
                <w:u w:val="none" w:color="auto"/>
              </w:rPr>
              <w:t>3.1项目与《南阳市人民政府办公室关于印发南阳市“十四五 ”生态环境保护和生态经济发展规划的通知》（宛政办〔2022〕54 号）的相符性</w:t>
            </w:r>
          </w:p>
          <w:p w14:paraId="6D0A2057">
            <w:pPr>
              <w:keepNext w:val="0"/>
              <w:keepLines w:val="0"/>
              <w:pageBreakBefore w:val="0"/>
              <w:kinsoku/>
              <w:wordWrap/>
              <w:overflowPunct/>
              <w:topLinePunct w:val="0"/>
              <w:autoSpaceDE/>
              <w:autoSpaceDN/>
              <w:bidi w:val="0"/>
              <w:spacing w:line="360" w:lineRule="auto"/>
              <w:ind w:firstLine="480" w:firstLineChars="200"/>
              <w:jc w:val="both"/>
              <w:outlineLvl w:val="9"/>
              <w:rPr>
                <w:rFonts w:hint="default" w:ascii="Times New Roman" w:hAnsi="Times New Roman" w:eastAsia="宋体" w:cs="Times New Roman"/>
                <w:color w:val="auto"/>
                <w:kern w:val="0"/>
                <w:sz w:val="24"/>
                <w:highlight w:val="none"/>
                <w:u w:val="none" w:color="auto"/>
              </w:rPr>
            </w:pPr>
            <w:r>
              <w:rPr>
                <w:rFonts w:hint="default" w:ascii="Times New Roman" w:hAnsi="Times New Roman" w:eastAsia="宋体" w:cs="Times New Roman"/>
                <w:color w:val="auto"/>
                <w:kern w:val="0"/>
                <w:sz w:val="24"/>
                <w:highlight w:val="none"/>
                <w:u w:val="none" w:color="auto"/>
              </w:rPr>
              <w:t>项目建设符合《南阳市人民政府办公室关于印发南阳市“十四五 ”生态环境保护和生态经济发展规划的通知》（宛政办〔2022〕54 号） ，符合性分析详见下表。</w:t>
            </w:r>
          </w:p>
          <w:p w14:paraId="1C4860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4"/>
                <w:highlight w:val="none"/>
                <w:u w:val="none" w:color="auto"/>
              </w:rPr>
            </w:pPr>
            <w:r>
              <w:rPr>
                <w:rFonts w:hint="default" w:ascii="Times New Roman" w:hAnsi="Times New Roman" w:eastAsia="宋体" w:cs="Times New Roman"/>
                <w:b/>
                <w:bCs/>
                <w:color w:val="auto"/>
                <w:sz w:val="24"/>
                <w:highlight w:val="none"/>
                <w:u w:val="none" w:color="auto"/>
              </w:rPr>
              <w:t>表1-</w:t>
            </w:r>
            <w:r>
              <w:rPr>
                <w:rFonts w:hint="default" w:ascii="Times New Roman" w:hAnsi="Times New Roman" w:eastAsia="宋体" w:cs="Times New Roman"/>
                <w:b/>
                <w:bCs/>
                <w:color w:val="auto"/>
                <w:sz w:val="24"/>
                <w:highlight w:val="none"/>
                <w:u w:val="none" w:color="auto"/>
                <w:lang w:val="en-US" w:eastAsia="zh-CN"/>
              </w:rPr>
              <w:t xml:space="preserve">1    </w:t>
            </w:r>
            <w:r>
              <w:rPr>
                <w:rFonts w:hint="default" w:ascii="Times New Roman" w:hAnsi="Times New Roman" w:eastAsia="宋体" w:cs="Times New Roman"/>
                <w:b/>
                <w:bCs/>
                <w:color w:val="auto"/>
                <w:sz w:val="24"/>
                <w:highlight w:val="none"/>
                <w:u w:val="none" w:color="auto"/>
              </w:rPr>
              <w:t>项目建设与（宛政办〔2022〕54号</w:t>
            </w:r>
            <w:r>
              <w:rPr>
                <w:rFonts w:hint="default" w:ascii="Times New Roman" w:hAnsi="Times New Roman" w:eastAsia="宋体" w:cs="Times New Roman"/>
                <w:b/>
                <w:bCs/>
                <w:color w:val="auto"/>
                <w:kern w:val="0"/>
                <w:sz w:val="24"/>
                <w:highlight w:val="none"/>
                <w:u w:val="none" w:color="auto"/>
                <w:lang w:bidi="ar"/>
              </w:rPr>
              <w:t>）</w:t>
            </w:r>
            <w:r>
              <w:rPr>
                <w:rFonts w:hint="default" w:ascii="Times New Roman" w:hAnsi="Times New Roman" w:eastAsia="宋体" w:cs="Times New Roman"/>
                <w:b/>
                <w:bCs/>
                <w:color w:val="auto"/>
                <w:sz w:val="24"/>
                <w:highlight w:val="none"/>
                <w:u w:val="none" w:color="auto"/>
              </w:rPr>
              <w:t>相关内容相符性分析</w:t>
            </w:r>
          </w:p>
          <w:tbl>
            <w:tblPr>
              <w:tblStyle w:val="35"/>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61"/>
              <w:gridCol w:w="690"/>
              <w:gridCol w:w="3105"/>
              <w:gridCol w:w="2421"/>
              <w:gridCol w:w="426"/>
            </w:tblGrid>
            <w:tr w14:paraId="0E325A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3" w:type="pct"/>
                  <w:noWrap w:val="0"/>
                  <w:vAlign w:val="center"/>
                </w:tcPr>
                <w:p w14:paraId="41B3916C">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文件</w:t>
                  </w:r>
                </w:p>
              </w:tc>
              <w:tc>
                <w:tcPr>
                  <w:tcW w:w="2597" w:type="pct"/>
                  <w:gridSpan w:val="2"/>
                  <w:noWrap w:val="0"/>
                  <w:vAlign w:val="center"/>
                </w:tcPr>
                <w:p w14:paraId="3C2A3A4B">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文件要求</w:t>
                  </w:r>
                </w:p>
              </w:tc>
              <w:tc>
                <w:tcPr>
                  <w:tcW w:w="1657" w:type="pct"/>
                  <w:noWrap w:val="0"/>
                  <w:vAlign w:val="center"/>
                </w:tcPr>
                <w:p w14:paraId="77A7D4ED">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本项目</w:t>
                  </w:r>
                </w:p>
              </w:tc>
              <w:tc>
                <w:tcPr>
                  <w:tcW w:w="291" w:type="pct"/>
                  <w:noWrap w:val="0"/>
                  <w:vAlign w:val="center"/>
                </w:tcPr>
                <w:p w14:paraId="4976E787">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相符性</w:t>
                  </w:r>
                </w:p>
              </w:tc>
            </w:tr>
            <w:tr w14:paraId="7E0BD7B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3" w:type="pct"/>
                  <w:vMerge w:val="restart"/>
                  <w:noWrap w:val="0"/>
                  <w:vAlign w:val="center"/>
                </w:tcPr>
                <w:p w14:paraId="77D6565A">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color w:val="auto"/>
                      <w:kern w:val="0"/>
                      <w:sz w:val="21"/>
                      <w:szCs w:val="21"/>
                      <w:highlight w:val="none"/>
                      <w:u w:val="none" w:color="auto"/>
                      <w:lang w:bidi="ar"/>
                    </w:rPr>
                    <w:t>南阳市“十四五”生态环境保护和生态经济发展规划（节选）</w:t>
                  </w:r>
                </w:p>
              </w:tc>
              <w:tc>
                <w:tcPr>
                  <w:tcW w:w="472" w:type="pct"/>
                  <w:noWrap w:val="0"/>
                  <w:vAlign w:val="center"/>
                </w:tcPr>
                <w:p w14:paraId="48A93920">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color w:val="auto"/>
                      <w:kern w:val="0"/>
                      <w:sz w:val="21"/>
                      <w:szCs w:val="21"/>
                      <w:highlight w:val="none"/>
                      <w:u w:val="none" w:color="auto"/>
                      <w:lang w:bidi="ar"/>
                    </w:rPr>
                    <w:t>第三章推动绿色低碳转型</w:t>
                  </w:r>
                </w:p>
                <w:p w14:paraId="5CC1FAAC">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color w:val="auto"/>
                      <w:kern w:val="0"/>
                      <w:sz w:val="21"/>
                      <w:szCs w:val="21"/>
                      <w:highlight w:val="none"/>
                      <w:u w:val="none" w:color="auto"/>
                      <w:lang w:bidi="ar"/>
                    </w:rPr>
                    <w:t>第三节  优化升级绿色发展模式</w:t>
                  </w:r>
                </w:p>
              </w:tc>
              <w:tc>
                <w:tcPr>
                  <w:tcW w:w="2124" w:type="pct"/>
                  <w:noWrap w:val="0"/>
                  <w:vAlign w:val="center"/>
                </w:tcPr>
                <w:p w14:paraId="3F61AE5E">
                  <w:pPr>
                    <w:keepNext w:val="0"/>
                    <w:keepLines w:val="0"/>
                    <w:pageBreakBefore w:val="0"/>
                    <w:widowControl/>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color w:val="auto"/>
                      <w:kern w:val="0"/>
                      <w:sz w:val="21"/>
                      <w:szCs w:val="21"/>
                      <w:highlight w:val="none"/>
                      <w:u w:val="none" w:color="auto"/>
                      <w:lang w:bidi="ar"/>
                    </w:rPr>
                    <w:t>推进产业体系优化升级。坚决遏制</w:t>
                  </w:r>
                  <w:r>
                    <w:rPr>
                      <w:rFonts w:hint="eastAsia" w:ascii="Times New Roman" w:hAnsi="Times New Roman" w:eastAsia="宋体" w:cs="Times New Roman"/>
                      <w:color w:val="auto"/>
                      <w:kern w:val="0"/>
                      <w:sz w:val="21"/>
                      <w:szCs w:val="21"/>
                      <w:highlight w:val="none"/>
                      <w:u w:val="none" w:color="auto"/>
                      <w:lang w:eastAsia="zh-CN" w:bidi="ar"/>
                    </w:rPr>
                    <w:t>“</w:t>
                  </w:r>
                  <w:r>
                    <w:rPr>
                      <w:rFonts w:hint="default" w:ascii="Times New Roman" w:hAnsi="Times New Roman" w:eastAsia="宋体" w:cs="Times New Roman"/>
                      <w:color w:val="auto"/>
                      <w:kern w:val="0"/>
                      <w:sz w:val="21"/>
                      <w:szCs w:val="21"/>
                      <w:highlight w:val="none"/>
                      <w:u w:val="none" w:color="auto"/>
                      <w:lang w:bidi="ar"/>
                    </w:rPr>
                    <w:t>两高</w:t>
                  </w:r>
                  <w:r>
                    <w:rPr>
                      <w:rFonts w:hint="eastAsia" w:ascii="Times New Roman" w:hAnsi="Times New Roman" w:eastAsia="宋体" w:cs="Times New Roman"/>
                      <w:color w:val="auto"/>
                      <w:kern w:val="0"/>
                      <w:sz w:val="21"/>
                      <w:szCs w:val="21"/>
                      <w:highlight w:val="none"/>
                      <w:u w:val="none" w:color="auto"/>
                      <w:lang w:eastAsia="zh-CN" w:bidi="ar"/>
                    </w:rPr>
                    <w:t>”</w:t>
                  </w:r>
                  <w:r>
                    <w:rPr>
                      <w:rFonts w:hint="default" w:ascii="Times New Roman" w:hAnsi="Times New Roman" w:eastAsia="宋体" w:cs="Times New Roman"/>
                      <w:color w:val="auto"/>
                      <w:kern w:val="0"/>
                      <w:sz w:val="21"/>
                      <w:szCs w:val="21"/>
                      <w:highlight w:val="none"/>
                      <w:u w:val="none" w:color="auto"/>
                      <w:lang w:bidi="ar"/>
                    </w:rPr>
                    <w:t>项目盲目发展，严格落实产业政策、</w:t>
                  </w:r>
                  <w:r>
                    <w:rPr>
                      <w:rFonts w:hint="eastAsia" w:ascii="Times New Roman" w:hAnsi="Times New Roman" w:eastAsia="宋体" w:cs="Times New Roman"/>
                      <w:color w:val="auto"/>
                      <w:kern w:val="0"/>
                      <w:sz w:val="21"/>
                      <w:szCs w:val="21"/>
                      <w:highlight w:val="none"/>
                      <w:u w:val="none" w:color="auto"/>
                      <w:lang w:eastAsia="zh-CN" w:bidi="ar"/>
                    </w:rPr>
                    <w:t>“</w:t>
                  </w:r>
                  <w:r>
                    <w:rPr>
                      <w:rFonts w:hint="default" w:ascii="Times New Roman" w:hAnsi="Times New Roman" w:eastAsia="宋体" w:cs="Times New Roman"/>
                      <w:color w:val="auto"/>
                      <w:kern w:val="0"/>
                      <w:sz w:val="21"/>
                      <w:szCs w:val="21"/>
                      <w:highlight w:val="none"/>
                      <w:u w:val="none" w:color="auto"/>
                      <w:lang w:bidi="ar"/>
                    </w:rPr>
                    <w:t>三线一单</w:t>
                  </w:r>
                  <w:r>
                    <w:rPr>
                      <w:rFonts w:hint="eastAsia" w:ascii="Times New Roman" w:hAnsi="Times New Roman" w:eastAsia="宋体" w:cs="Times New Roman"/>
                      <w:color w:val="auto"/>
                      <w:kern w:val="0"/>
                      <w:sz w:val="21"/>
                      <w:szCs w:val="21"/>
                      <w:highlight w:val="none"/>
                      <w:u w:val="none" w:color="auto"/>
                      <w:lang w:eastAsia="zh-CN" w:bidi="ar"/>
                    </w:rPr>
                    <w:t>”</w:t>
                  </w:r>
                  <w:r>
                    <w:rPr>
                      <w:rFonts w:hint="default" w:ascii="Times New Roman" w:hAnsi="Times New Roman" w:eastAsia="宋体" w:cs="Times New Roman"/>
                      <w:color w:val="auto"/>
                      <w:kern w:val="0"/>
                      <w:sz w:val="21"/>
                      <w:szCs w:val="21"/>
                      <w:highlight w:val="none"/>
                      <w:u w:val="none" w:color="auto"/>
                      <w:lang w:bidi="ar"/>
                    </w:rPr>
                    <w:t>、规划环评以及产能置换、煤炭消费减量替代和区域污染物消减等要求，对不符合规定的项目坚决停批停建。依法依规淘汰落后产能、化解过剩产能，支持钢铁、水泥、电解铝、玻璃等重点行业进行产能置换、装备大型化改造和重组整合。原则上禁止新增钢铁、电解铝、水泥、平板玻璃、传统煤化工（甲醇、合成氨）、焦化、铝用炭素、砖瓦窑、耐火材料、铅锌冶炼（含再生铅）等行业产能，合理控制煤制油气产能，严控新增炼油产能。以钢铁、铸造、建材、有色、石化、化工、医药、工业涂装、包装印刷、电镀、石油开采、造纸、纺织印染、农副食品加工等行业为重点，开展全流程清洁化、循环化、低碳化改造。加快推进工业产品生态设计和绿色制造研发应用，在重点行业推广先进、适用的绿色生产技术和装备。加快建立以资源节约、环境友好为导向的采购、生产、销售、回收和物流体系，发挥汽车、电子电器、通信、大型成套装备等行业龙头企业、大型零售商及网络平台的示范带头作用，积极应用物联网、大数据和云计算等信息技术，加快构建绿色产业链供应链。</w:t>
                  </w:r>
                </w:p>
              </w:tc>
              <w:tc>
                <w:tcPr>
                  <w:tcW w:w="1657" w:type="pct"/>
                  <w:noWrap w:val="0"/>
                  <w:vAlign w:val="center"/>
                </w:tcPr>
                <w:p w14:paraId="06E78D5E">
                  <w:pPr>
                    <w:keepNext w:val="0"/>
                    <w:keepLines w:val="0"/>
                    <w:pageBreakBefore w:val="0"/>
                    <w:widowControl/>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本项目属于</w:t>
                  </w:r>
                  <w:r>
                    <w:rPr>
                      <w:rFonts w:hint="default" w:ascii="Times New Roman" w:hAnsi="Times New Roman" w:eastAsia="宋体" w:cs="Times New Roman"/>
                      <w:color w:val="auto"/>
                      <w:sz w:val="21"/>
                      <w:szCs w:val="21"/>
                      <w:highlight w:val="none"/>
                      <w:u w:val="none" w:color="auto"/>
                      <w:lang w:val="en-US" w:eastAsia="zh-CN"/>
                    </w:rPr>
                    <w:t>社会事业与服务业</w:t>
                  </w:r>
                  <w:r>
                    <w:rPr>
                      <w:rFonts w:hint="default" w:ascii="Times New Roman" w:hAnsi="Times New Roman" w:eastAsia="宋体" w:cs="Times New Roman"/>
                      <w:color w:val="auto"/>
                      <w:sz w:val="21"/>
                      <w:szCs w:val="21"/>
                      <w:highlight w:val="none"/>
                      <w:u w:val="none" w:color="auto"/>
                    </w:rPr>
                    <w:t>，不属于</w:t>
                  </w:r>
                  <w:r>
                    <w:rPr>
                      <w:rFonts w:hint="eastAsia"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两高</w:t>
                  </w:r>
                  <w:r>
                    <w:rPr>
                      <w:rFonts w:hint="eastAsia"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项目；项目建设满足规划和</w:t>
                  </w:r>
                  <w:r>
                    <w:rPr>
                      <w:rFonts w:hint="eastAsia"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三线一单</w:t>
                  </w:r>
                  <w:r>
                    <w:rPr>
                      <w:rFonts w:hint="eastAsia"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管控要求；项目不属于</w:t>
                  </w:r>
                  <w:r>
                    <w:rPr>
                      <w:rFonts w:hint="default" w:ascii="Times New Roman" w:hAnsi="Times New Roman" w:eastAsia="宋体" w:cs="Times New Roman"/>
                      <w:color w:val="auto"/>
                      <w:kern w:val="0"/>
                      <w:sz w:val="21"/>
                      <w:szCs w:val="21"/>
                      <w:highlight w:val="none"/>
                      <w:u w:val="none" w:color="auto"/>
                      <w:lang w:bidi="ar"/>
                    </w:rPr>
                    <w:t>钢铁、水泥、电解铝、玻璃等重点行业，不属于钢铁、电解铝、水泥、平板玻璃、传统煤化工（甲醇、合成氨）、焦化、铝用炭素、砖瓦窑、耐火材料、铅锌冶炼（含再生铅）等行业。</w:t>
                  </w:r>
                </w:p>
              </w:tc>
              <w:tc>
                <w:tcPr>
                  <w:tcW w:w="291" w:type="pct"/>
                  <w:noWrap w:val="0"/>
                  <w:vAlign w:val="center"/>
                </w:tcPr>
                <w:p w14:paraId="7C53D57D">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7A3AFE3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3" w:type="pct"/>
                  <w:vMerge w:val="continue"/>
                  <w:noWrap w:val="0"/>
                  <w:vAlign w:val="center"/>
                </w:tcPr>
                <w:p w14:paraId="00B40269">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u w:val="none" w:color="auto"/>
                      <w:lang w:bidi="ar"/>
                    </w:rPr>
                  </w:pPr>
                </w:p>
              </w:tc>
              <w:tc>
                <w:tcPr>
                  <w:tcW w:w="472" w:type="pct"/>
                  <w:noWrap w:val="0"/>
                  <w:vAlign w:val="center"/>
                </w:tcPr>
                <w:p w14:paraId="27673A94">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color w:val="auto"/>
                      <w:kern w:val="0"/>
                      <w:sz w:val="21"/>
                      <w:szCs w:val="21"/>
                      <w:highlight w:val="none"/>
                      <w:u w:val="none" w:color="auto"/>
                      <w:lang w:bidi="ar"/>
                    </w:rPr>
                    <w:t>第四章 深入打好污染防治攻坚战，持续改善环境质量</w:t>
                  </w:r>
                </w:p>
                <w:p w14:paraId="2A9F525C">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color w:val="auto"/>
                      <w:kern w:val="0"/>
                      <w:sz w:val="21"/>
                      <w:szCs w:val="21"/>
                      <w:highlight w:val="none"/>
                      <w:u w:val="none" w:color="auto"/>
                      <w:lang w:bidi="ar"/>
                    </w:rPr>
                    <w:t>第一节 深入打好蓝天保卫战</w:t>
                  </w:r>
                </w:p>
              </w:tc>
              <w:tc>
                <w:tcPr>
                  <w:tcW w:w="2124" w:type="pct"/>
                  <w:noWrap w:val="0"/>
                  <w:vAlign w:val="center"/>
                </w:tcPr>
                <w:p w14:paraId="28DBC371">
                  <w:pPr>
                    <w:keepNext w:val="0"/>
                    <w:keepLines w:val="0"/>
                    <w:pageBreakBefore w:val="0"/>
                    <w:widowControl/>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color w:val="auto"/>
                      <w:kern w:val="0"/>
                      <w:sz w:val="21"/>
                      <w:szCs w:val="21"/>
                      <w:highlight w:val="none"/>
                      <w:u w:val="none" w:color="auto"/>
                      <w:lang w:bidi="ar"/>
                    </w:rPr>
                    <w:t>深化重点工业点源污染治理。巩固钢铁、水泥行业超低排放改造成效，推动重点行业超低排放改造。深化重点行业工业炉窑大气污染综合治理，深化垃圾焚烧发电、生物质发电废气提标治理。严格控制铸造、铁合金、水泥、建材、耐火材料、有色金属等行业物料存储、运输及生产工艺过程无组织排放。重点涉气排放企业原则上不得设置烟气旁路，因安全生产无法取消的，安装旁路在线监管系统，有效控制烟气脱硝和氨法脱硫过程中氨逃逸。推进工业烟气中三氧化硫、汞、铅、砷、镉、二噁英、苯并芘等非常规污染物强效脱除技术研发应用。加强生物质锅炉燃料品质及排放管控，淘汰污染物排放不符合要求的生物质锅炉。</w:t>
                  </w:r>
                </w:p>
              </w:tc>
              <w:tc>
                <w:tcPr>
                  <w:tcW w:w="1657" w:type="pct"/>
                  <w:noWrap w:val="0"/>
                  <w:vAlign w:val="center"/>
                </w:tcPr>
                <w:p w14:paraId="66F412E1">
                  <w:pPr>
                    <w:keepNext w:val="0"/>
                    <w:keepLines w:val="0"/>
                    <w:pageBreakBefore w:val="0"/>
                    <w:widowControl/>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color w:val="auto"/>
                      <w:kern w:val="0"/>
                      <w:sz w:val="21"/>
                      <w:szCs w:val="21"/>
                      <w:highlight w:val="none"/>
                      <w:u w:val="none" w:color="auto"/>
                      <w:lang w:bidi="ar"/>
                    </w:rPr>
                    <w:t>项目不属于钢铁、水泥铸造、铁合金、水泥、建材、耐火材料、有色金属等行业，且本项目不涉及锅炉使用。</w:t>
                  </w:r>
                </w:p>
              </w:tc>
              <w:tc>
                <w:tcPr>
                  <w:tcW w:w="291" w:type="pct"/>
                  <w:noWrap w:val="0"/>
                  <w:vAlign w:val="center"/>
                </w:tcPr>
                <w:p w14:paraId="048318DD">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bl>
          <w:p w14:paraId="38CBAE78">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kern w:val="0"/>
                <w:sz w:val="24"/>
                <w:highlight w:val="none"/>
                <w:u w:val="none" w:color="auto"/>
                <w:lang w:bidi="ar"/>
              </w:rPr>
            </w:pPr>
            <w:r>
              <w:rPr>
                <w:rFonts w:hint="default" w:ascii="Times New Roman" w:hAnsi="Times New Roman" w:cs="Times New Roman"/>
                <w:b/>
                <w:bCs/>
                <w:color w:val="auto"/>
                <w:kern w:val="0"/>
                <w:sz w:val="24"/>
                <w:highlight w:val="none"/>
                <w:u w:val="none" w:color="auto"/>
                <w:lang w:bidi="ar"/>
              </w:rPr>
              <w:t>3.2、项目与《关于印发镇平县2024年蓝天保卫战实施方案的通知》(镇环攻坚办【2024】15号)的相符性</w:t>
            </w:r>
          </w:p>
          <w:p w14:paraId="24804233">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highlight w:val="none"/>
                <w:u w:val="none" w:color="auto"/>
                <w:lang w:bidi="ar"/>
              </w:rPr>
            </w:pPr>
            <w:r>
              <w:rPr>
                <w:rFonts w:hint="default" w:ascii="Times New Roman" w:hAnsi="Times New Roman" w:cs="Times New Roman"/>
                <w:color w:val="auto"/>
                <w:kern w:val="0"/>
                <w:sz w:val="24"/>
                <w:highlight w:val="none"/>
                <w:u w:val="none" w:color="auto"/>
                <w:lang w:bidi="ar"/>
              </w:rPr>
              <w:t>2024年5月27日，镇平县污染防治攻坚站领导小组办公室印发了《镇平县2024年蓝天保卫战实施方案》（镇环攻坚办【2024】15号）。与该文件中涉及本项目情况的相关内容对比及相符性分析见下表。</w:t>
            </w:r>
          </w:p>
          <w:p w14:paraId="535B4E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highlight w:val="none"/>
                <w:u w:val="none" w:color="auto"/>
              </w:rPr>
            </w:pPr>
            <w:r>
              <w:rPr>
                <w:rFonts w:hint="default" w:ascii="Times New Roman" w:hAnsi="Times New Roman" w:eastAsia="宋体" w:cs="Times New Roman"/>
                <w:b/>
                <w:bCs/>
                <w:color w:val="auto"/>
                <w:sz w:val="24"/>
                <w:highlight w:val="none"/>
                <w:u w:val="none" w:color="auto"/>
              </w:rPr>
              <w:t>表1-</w:t>
            </w:r>
            <w:r>
              <w:rPr>
                <w:rFonts w:hint="default" w:ascii="Times New Roman" w:hAnsi="Times New Roman" w:eastAsia="宋体" w:cs="Times New Roman"/>
                <w:b/>
                <w:bCs/>
                <w:color w:val="auto"/>
                <w:sz w:val="24"/>
                <w:highlight w:val="none"/>
                <w:u w:val="none" w:color="auto"/>
                <w:lang w:val="en-US" w:eastAsia="zh-CN"/>
              </w:rPr>
              <w:t xml:space="preserve">2    </w:t>
            </w:r>
            <w:r>
              <w:rPr>
                <w:rFonts w:hint="default" w:ascii="Times New Roman" w:hAnsi="Times New Roman" w:eastAsia="宋体" w:cs="Times New Roman"/>
                <w:b/>
                <w:bCs/>
                <w:color w:val="auto"/>
                <w:sz w:val="24"/>
                <w:highlight w:val="none"/>
                <w:u w:val="none" w:color="auto"/>
              </w:rPr>
              <w:t>项目建设与《镇平县2024年蓝天保卫战实施方案》相关内容相符性分析</w:t>
            </w:r>
          </w:p>
          <w:tbl>
            <w:tblPr>
              <w:tblStyle w:val="35"/>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46"/>
              <w:gridCol w:w="1296"/>
              <w:gridCol w:w="2967"/>
              <w:gridCol w:w="1684"/>
              <w:gridCol w:w="710"/>
            </w:tblGrid>
            <w:tr w14:paraId="19B6176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2" w:type="pct"/>
                  <w:noWrap w:val="0"/>
                  <w:vAlign w:val="center"/>
                </w:tcPr>
                <w:p w14:paraId="7B9D9C78">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文件</w:t>
                  </w:r>
                </w:p>
              </w:tc>
              <w:tc>
                <w:tcPr>
                  <w:tcW w:w="2917" w:type="pct"/>
                  <w:gridSpan w:val="2"/>
                  <w:noWrap w:val="0"/>
                  <w:vAlign w:val="center"/>
                </w:tcPr>
                <w:p w14:paraId="68011D3F">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文件要求</w:t>
                  </w:r>
                </w:p>
              </w:tc>
              <w:tc>
                <w:tcPr>
                  <w:tcW w:w="1152" w:type="pct"/>
                  <w:noWrap w:val="0"/>
                  <w:vAlign w:val="center"/>
                </w:tcPr>
                <w:p w14:paraId="76FCFD9F">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本项目</w:t>
                  </w:r>
                </w:p>
              </w:tc>
              <w:tc>
                <w:tcPr>
                  <w:tcW w:w="486" w:type="pct"/>
                  <w:noWrap w:val="0"/>
                  <w:vAlign w:val="center"/>
                </w:tcPr>
                <w:p w14:paraId="49754CD5">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相符性</w:t>
                  </w:r>
                </w:p>
              </w:tc>
            </w:tr>
            <w:tr w14:paraId="092A5A4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2" w:type="pct"/>
                  <w:vMerge w:val="restart"/>
                  <w:noWrap w:val="0"/>
                  <w:vAlign w:val="center"/>
                </w:tcPr>
                <w:p w14:paraId="3D4A3486">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color w:val="auto"/>
                      <w:kern w:val="0"/>
                      <w:sz w:val="21"/>
                      <w:szCs w:val="21"/>
                      <w:highlight w:val="none"/>
                      <w:u w:val="none" w:color="auto"/>
                      <w:lang w:bidi="ar"/>
                    </w:rPr>
                    <w:t>《镇平县2024年蓝天保卫战实施方案》（节选）</w:t>
                  </w:r>
                </w:p>
              </w:tc>
              <w:tc>
                <w:tcPr>
                  <w:tcW w:w="887" w:type="pct"/>
                  <w:vMerge w:val="restart"/>
                  <w:noWrap w:val="0"/>
                  <w:vAlign w:val="center"/>
                </w:tcPr>
                <w:p w14:paraId="3032822E">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(二)工业污染治理减排行动</w:t>
                  </w:r>
                </w:p>
                <w:p w14:paraId="05254618">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2030" w:type="pct"/>
                  <w:noWrap w:val="0"/>
                  <w:vAlign w:val="center"/>
                </w:tcPr>
                <w:p w14:paraId="74714CA4">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7.开展低效失效设施排查整治。制定工业炉窑、锅炉、涉VOCs等重点行业低效失效治理设施排查整治方案，建立整治提 升企业清单，重点关注水喷淋脱硫、简易碱法脱硫、简易氨法脱 硫脱硝、微生物脱硝、单一水膜(浴)除尘、湿法脱硫除尘一体化等脱硫脱硝除尘工艺，单一低温等离子、光氧化、光催化、非水溶性VOCs废气采用单一水喷淋吸收等VOCs治理工艺及上述工艺的组合(异味治理除外),处理机制不明、无法通过药剂或副产物进行污染物脱除效果评估的治理工艺，对无法稳定达标排放的，通过更换适宜高效治理工艺、清洁能源替代、原辅材料源头替代、关停淘汰等方式实施分类整治。对人工投加脱硫脱硝剂的简易设施实施自动化改造，取缔直接向烟道内喷洒脱硫脱硝剂等敷衍式治理工艺。</w:t>
                  </w:r>
                </w:p>
              </w:tc>
              <w:tc>
                <w:tcPr>
                  <w:tcW w:w="1152" w:type="pct"/>
                  <w:noWrap w:val="0"/>
                  <w:vAlign w:val="center"/>
                </w:tcPr>
                <w:p w14:paraId="3680C6BF">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根据下文分析可知，</w:t>
                  </w:r>
                  <w:r>
                    <w:rPr>
                      <w:rFonts w:hint="default" w:ascii="Times New Roman" w:hAnsi="Times New Roman" w:eastAsia="宋体" w:cs="Times New Roman"/>
                      <w:color w:val="auto"/>
                      <w:sz w:val="21"/>
                      <w:szCs w:val="21"/>
                      <w:highlight w:val="none"/>
                      <w:u w:val="none" w:color="auto"/>
                    </w:rPr>
                    <w:t>项目</w:t>
                  </w:r>
                  <w:r>
                    <w:rPr>
                      <w:rFonts w:hint="default" w:ascii="Times New Roman" w:hAnsi="Times New Roman" w:eastAsia="宋体" w:cs="Times New Roman"/>
                      <w:color w:val="auto"/>
                      <w:sz w:val="21"/>
                      <w:szCs w:val="21"/>
                      <w:highlight w:val="none"/>
                      <w:u w:val="none" w:color="auto"/>
                      <w:lang w:val="en-US" w:eastAsia="zh-CN"/>
                    </w:rPr>
                    <w:t>实验室废气</w:t>
                  </w:r>
                  <w:r>
                    <w:rPr>
                      <w:rFonts w:hint="default" w:ascii="Times New Roman" w:hAnsi="Times New Roman" w:eastAsia="宋体" w:cs="Times New Roman"/>
                      <w:color w:val="auto"/>
                      <w:sz w:val="21"/>
                      <w:szCs w:val="21"/>
                      <w:highlight w:val="none"/>
                      <w:u w:val="none" w:color="auto"/>
                      <w:lang w:bidi="ar"/>
                    </w:rPr>
                    <w:t>VOCs</w:t>
                  </w:r>
                  <w:r>
                    <w:rPr>
                      <w:rFonts w:hint="default" w:ascii="Times New Roman" w:hAnsi="Times New Roman" w:eastAsia="宋体" w:cs="Times New Roman"/>
                      <w:color w:val="auto"/>
                      <w:sz w:val="21"/>
                      <w:szCs w:val="21"/>
                      <w:highlight w:val="none"/>
                      <w:u w:val="none" w:color="auto"/>
                      <w:lang w:val="en-US" w:eastAsia="zh-CN" w:bidi="ar"/>
                    </w:rPr>
                    <w:t>产生</w:t>
                  </w:r>
                  <w:r>
                    <w:rPr>
                      <w:rFonts w:hint="default" w:ascii="Times New Roman" w:hAnsi="Times New Roman" w:eastAsia="宋体" w:cs="Times New Roman"/>
                      <w:color w:val="auto"/>
                      <w:sz w:val="21"/>
                      <w:szCs w:val="21"/>
                      <w:highlight w:val="none"/>
                      <w:u w:val="none" w:color="auto"/>
                    </w:rPr>
                    <w:t>源强很低，</w:t>
                  </w:r>
                  <w:r>
                    <w:rPr>
                      <w:rFonts w:hint="default" w:ascii="Times New Roman" w:hAnsi="Times New Roman" w:eastAsia="宋体" w:cs="Times New Roman"/>
                      <w:color w:val="auto"/>
                      <w:sz w:val="21"/>
                      <w:szCs w:val="21"/>
                      <w:highlight w:val="none"/>
                      <w:u w:val="none" w:color="auto"/>
                      <w:lang w:val="en-US" w:eastAsia="zh-CN"/>
                    </w:rPr>
                    <w:t>因此采用二级活性炭处理</w:t>
                  </w:r>
                  <w:r>
                    <w:rPr>
                      <w:rFonts w:hint="default" w:ascii="Times New Roman" w:hAnsi="Times New Roman" w:eastAsia="宋体" w:cs="Times New Roman"/>
                      <w:color w:val="auto"/>
                      <w:sz w:val="21"/>
                      <w:szCs w:val="21"/>
                      <w:highlight w:val="none"/>
                      <w:u w:val="none" w:color="auto"/>
                      <w:lang w:bidi="ar"/>
                    </w:rPr>
                    <w:t>VOCs</w:t>
                  </w:r>
                  <w:r>
                    <w:rPr>
                      <w:rFonts w:hint="default" w:ascii="Times New Roman" w:hAnsi="Times New Roman" w:eastAsia="宋体" w:cs="Times New Roman"/>
                      <w:color w:val="auto"/>
                      <w:sz w:val="21"/>
                      <w:szCs w:val="21"/>
                      <w:highlight w:val="none"/>
                      <w:u w:val="none" w:color="auto"/>
                    </w:rPr>
                    <w:t>。</w:t>
                  </w:r>
                </w:p>
              </w:tc>
              <w:tc>
                <w:tcPr>
                  <w:tcW w:w="486" w:type="pct"/>
                  <w:noWrap w:val="0"/>
                  <w:vAlign w:val="center"/>
                </w:tcPr>
                <w:p w14:paraId="54CD001E">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646E869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2" w:type="pct"/>
                  <w:vMerge w:val="continue"/>
                  <w:noWrap w:val="0"/>
                  <w:vAlign w:val="center"/>
                </w:tcPr>
                <w:p w14:paraId="7C9C7714">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887" w:type="pct"/>
                  <w:vMerge w:val="continue"/>
                  <w:noWrap w:val="0"/>
                  <w:vAlign w:val="center"/>
                </w:tcPr>
                <w:p w14:paraId="4250C11F">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2030" w:type="pct"/>
                  <w:noWrap w:val="0"/>
                  <w:vAlign w:val="center"/>
                </w:tcPr>
                <w:p w14:paraId="70594B4E">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8.实施挥发性有机物综合治理。按照</w:t>
                  </w:r>
                  <w:r>
                    <w:rPr>
                      <w:rFonts w:hint="eastAsia"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可替尽替、应代尽代</w:t>
                  </w:r>
                  <w:r>
                    <w:rPr>
                      <w:rFonts w:hint="eastAsia"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的原则，加快推进低VOCs含量原辅材料替代，加强VOCs全流程综合治理，加大蓄热式氧化燃烧 (RTO)、蓄热式催化燃烧(RCO)、催化燃烧 (CO)、沸石转轮吸附浓缩等高效治理技术推广力度；对企业含VOCs有机废水储罐、装置区集水井(池)实施有机废气收集密闭化改造；对企业活性炭装填量、更换周期实 施编码登记，实现从购买、更换到处置的全过程可回溯管理；对污水处理设施排放的高浓度有机废气实施单独收集处理；具备改造条件的挥发性有机液体储罐改用低泄漏的储罐呼吸阀、紧急泄压阀，汽车罐车改用自封式快速接头；加强火炬燃烧装置监管，火炬系统、煤气放散管安装温度监控、废气流量计、助燃气体流量计，相关数据接入DCS系统；按规定开展VOCs泄露检测与修复。</w:t>
                  </w:r>
                </w:p>
              </w:tc>
              <w:tc>
                <w:tcPr>
                  <w:tcW w:w="1152" w:type="pct"/>
                  <w:noWrap w:val="0"/>
                  <w:vAlign w:val="center"/>
                </w:tcPr>
                <w:p w14:paraId="2D492F43">
                  <w:pPr>
                    <w:keepNext w:val="0"/>
                    <w:keepLines w:val="0"/>
                    <w:pageBreakBefore w:val="0"/>
                    <w:widowControl w:val="0"/>
                    <w:kinsoku/>
                    <w:wordWrap/>
                    <w:overflowPunct/>
                    <w:topLinePunct w:val="0"/>
                    <w:autoSpaceDE/>
                    <w:autoSpaceDN/>
                    <w:bidi w:val="0"/>
                    <w:adjustRightInd w:val="0"/>
                    <w:snapToGrid w:val="0"/>
                    <w:ind w:firstLine="428"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2"/>
                      <w:sz w:val="21"/>
                      <w:szCs w:val="21"/>
                      <w:highlight w:val="none"/>
                      <w:u w:val="none" w:color="auto"/>
                    </w:rPr>
                    <w:t>项目</w:t>
                  </w:r>
                  <w:r>
                    <w:rPr>
                      <w:rFonts w:hint="default" w:ascii="Times New Roman" w:hAnsi="Times New Roman" w:eastAsia="宋体" w:cs="Times New Roman"/>
                      <w:color w:val="auto"/>
                      <w:spacing w:val="2"/>
                      <w:sz w:val="21"/>
                      <w:szCs w:val="21"/>
                      <w:highlight w:val="none"/>
                      <w:u w:val="none" w:color="auto"/>
                      <w:lang w:val="en-US" w:eastAsia="zh-CN"/>
                    </w:rPr>
                    <w:t>实验室废气</w:t>
                  </w:r>
                  <w:r>
                    <w:rPr>
                      <w:rFonts w:hint="default" w:ascii="Times New Roman" w:hAnsi="Times New Roman" w:eastAsia="宋体" w:cs="Times New Roman"/>
                      <w:bCs/>
                      <w:color w:val="auto"/>
                      <w:sz w:val="21"/>
                      <w:szCs w:val="21"/>
                      <w:highlight w:val="none"/>
                      <w:u w:val="none" w:color="auto"/>
                    </w:rPr>
                    <w:t>实验室操作台内安装通风橱，在使用、配备挥发性的试剂时应在通风橱内操作，通风橱进行负压收集，通过通风管道输送到楼顶经二级活性炭吸附装置</w:t>
                  </w:r>
                  <w:r>
                    <w:rPr>
                      <w:rFonts w:hint="default" w:ascii="Times New Roman" w:hAnsi="Times New Roman" w:eastAsia="宋体" w:cs="Times New Roman"/>
                      <w:bCs/>
                      <w:color w:val="auto"/>
                      <w:sz w:val="21"/>
                      <w:szCs w:val="21"/>
                      <w:highlight w:val="none"/>
                      <w:u w:val="none" w:color="auto"/>
                      <w:lang w:eastAsia="zh-CN"/>
                    </w:rPr>
                    <w:t>（</w:t>
                  </w:r>
                  <w:r>
                    <w:rPr>
                      <w:rFonts w:hint="default" w:ascii="Times New Roman" w:hAnsi="Times New Roman" w:eastAsia="宋体" w:cs="Times New Roman"/>
                      <w:bCs/>
                      <w:color w:val="auto"/>
                      <w:sz w:val="21"/>
                      <w:szCs w:val="21"/>
                      <w:highlight w:val="none"/>
                      <w:u w:val="none" w:color="auto"/>
                      <w:lang w:val="en-US" w:eastAsia="zh-CN"/>
                    </w:rPr>
                    <w:t>TA001）处理</w:t>
                  </w:r>
                  <w:r>
                    <w:rPr>
                      <w:rFonts w:hint="default" w:ascii="Times New Roman" w:hAnsi="Times New Roman" w:eastAsia="宋体" w:cs="Times New Roman"/>
                      <w:color w:val="auto"/>
                      <w:spacing w:val="-7"/>
                      <w:sz w:val="21"/>
                      <w:szCs w:val="21"/>
                      <w:highlight w:val="none"/>
                      <w:u w:val="none" w:color="auto"/>
                    </w:rPr>
                    <w:t>。评</w:t>
                  </w:r>
                  <w:r>
                    <w:rPr>
                      <w:rFonts w:hint="default" w:ascii="Times New Roman" w:hAnsi="Times New Roman" w:eastAsia="宋体" w:cs="Times New Roman"/>
                      <w:color w:val="auto"/>
                      <w:spacing w:val="2"/>
                      <w:sz w:val="21"/>
                      <w:szCs w:val="21"/>
                      <w:highlight w:val="none"/>
                      <w:u w:val="none" w:color="auto"/>
                    </w:rPr>
                    <w:t>价要求建设单位使用活性炭时</w:t>
                  </w:r>
                  <w:r>
                    <w:rPr>
                      <w:rFonts w:hint="default" w:ascii="Times New Roman" w:hAnsi="Times New Roman" w:eastAsia="宋体" w:cs="Times New Roman"/>
                      <w:color w:val="auto"/>
                      <w:spacing w:val="-13"/>
                      <w:sz w:val="21"/>
                      <w:szCs w:val="21"/>
                      <w:highlight w:val="none"/>
                      <w:u w:val="none" w:color="auto"/>
                    </w:rPr>
                    <w:t>需满足以下要求：颗粒状、柱状</w:t>
                  </w:r>
                  <w:r>
                    <w:rPr>
                      <w:rFonts w:hint="default" w:ascii="Times New Roman" w:hAnsi="Times New Roman" w:eastAsia="宋体" w:cs="Times New Roman"/>
                      <w:color w:val="auto"/>
                      <w:spacing w:val="4"/>
                      <w:sz w:val="21"/>
                      <w:szCs w:val="21"/>
                      <w:highlight w:val="none"/>
                      <w:u w:val="none" w:color="auto"/>
                    </w:rPr>
                    <w:t>活性炭碘值不低于800毫克/</w:t>
                  </w:r>
                  <w:r>
                    <w:rPr>
                      <w:rFonts w:hint="default" w:ascii="Times New Roman" w:hAnsi="Times New Roman" w:eastAsia="宋体" w:cs="Times New Roman"/>
                      <w:color w:val="auto"/>
                      <w:spacing w:val="2"/>
                      <w:sz w:val="21"/>
                      <w:szCs w:val="21"/>
                      <w:highlight w:val="none"/>
                      <w:u w:val="none" w:color="auto"/>
                    </w:rPr>
                    <w:t>克，蜂窝状活性炭碘值不低于</w:t>
                  </w:r>
                  <w:r>
                    <w:rPr>
                      <w:rFonts w:hint="default" w:ascii="Times New Roman" w:hAnsi="Times New Roman" w:eastAsia="宋体" w:cs="Times New Roman"/>
                      <w:color w:val="auto"/>
                      <w:spacing w:val="-4"/>
                      <w:sz w:val="21"/>
                      <w:szCs w:val="21"/>
                      <w:highlight w:val="none"/>
                      <w:u w:val="none" w:color="auto"/>
                    </w:rPr>
                    <w:t>650毫克/克，活性炭填充量、</w:t>
                  </w:r>
                  <w:r>
                    <w:rPr>
                      <w:rFonts w:hint="default" w:ascii="Times New Roman" w:hAnsi="Times New Roman" w:eastAsia="宋体" w:cs="Times New Roman"/>
                      <w:color w:val="auto"/>
                      <w:spacing w:val="2"/>
                      <w:sz w:val="21"/>
                      <w:szCs w:val="21"/>
                      <w:highlight w:val="none"/>
                      <w:u w:val="none" w:color="auto"/>
                    </w:rPr>
                    <w:t>更换频次满足环评要求，活性</w:t>
                  </w:r>
                  <w:r>
                    <w:rPr>
                      <w:rFonts w:hint="default" w:ascii="Times New Roman" w:hAnsi="Times New Roman" w:eastAsia="宋体" w:cs="Times New Roman"/>
                      <w:color w:val="auto"/>
                      <w:spacing w:val="-13"/>
                      <w:sz w:val="21"/>
                      <w:szCs w:val="21"/>
                      <w:highlight w:val="none"/>
                      <w:u w:val="none" w:color="auto"/>
                    </w:rPr>
                    <w:t>炭购买发票、更换记录、碘值报</w:t>
                  </w:r>
                  <w:r>
                    <w:rPr>
                      <w:rFonts w:hint="default" w:ascii="Times New Roman" w:hAnsi="Times New Roman" w:eastAsia="宋体" w:cs="Times New Roman"/>
                      <w:color w:val="auto"/>
                      <w:spacing w:val="-3"/>
                      <w:sz w:val="21"/>
                      <w:szCs w:val="21"/>
                      <w:highlight w:val="none"/>
                      <w:u w:val="none" w:color="auto"/>
                    </w:rPr>
                    <w:t>告等支撑材料保存</w:t>
                  </w:r>
                  <w:r>
                    <w:rPr>
                      <w:rFonts w:hint="default" w:ascii="Times New Roman" w:hAnsi="Times New Roman" w:eastAsia="宋体" w:cs="Times New Roman"/>
                      <w:color w:val="auto"/>
                      <w:spacing w:val="-32"/>
                      <w:sz w:val="21"/>
                      <w:szCs w:val="21"/>
                      <w:highlight w:val="none"/>
                      <w:u w:val="none" w:color="auto"/>
                    </w:rPr>
                    <w:t xml:space="preserve"> </w:t>
                  </w:r>
                  <w:r>
                    <w:rPr>
                      <w:rFonts w:hint="default" w:ascii="Times New Roman" w:hAnsi="Times New Roman" w:eastAsia="宋体" w:cs="Times New Roman"/>
                      <w:color w:val="auto"/>
                      <w:spacing w:val="-3"/>
                      <w:sz w:val="21"/>
                      <w:szCs w:val="21"/>
                      <w:highlight w:val="none"/>
                      <w:u w:val="none" w:color="auto"/>
                    </w:rPr>
                    <w:t>3年以上。</w:t>
                  </w:r>
                </w:p>
              </w:tc>
              <w:tc>
                <w:tcPr>
                  <w:tcW w:w="486" w:type="pct"/>
                  <w:noWrap w:val="0"/>
                  <w:vAlign w:val="center"/>
                </w:tcPr>
                <w:p w14:paraId="2F8D1D8D">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2B40DA6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2" w:type="pct"/>
                  <w:vMerge w:val="continue"/>
                  <w:noWrap w:val="0"/>
                  <w:vAlign w:val="center"/>
                </w:tcPr>
                <w:p w14:paraId="507BD776">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u w:val="none" w:color="auto"/>
                      <w:lang w:bidi="ar"/>
                    </w:rPr>
                  </w:pPr>
                </w:p>
              </w:tc>
              <w:tc>
                <w:tcPr>
                  <w:tcW w:w="887" w:type="pct"/>
                  <w:noWrap w:val="0"/>
                  <w:vAlign w:val="center"/>
                </w:tcPr>
                <w:p w14:paraId="7DB21050">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color w:val="auto"/>
                      <w:kern w:val="0"/>
                      <w:sz w:val="21"/>
                      <w:szCs w:val="21"/>
                      <w:highlight w:val="none"/>
                      <w:u w:val="none" w:color="auto"/>
                      <w:lang w:bidi="ar"/>
                    </w:rPr>
                    <w:t>（四）面源污染综合防治攻坚行动</w:t>
                  </w:r>
                </w:p>
              </w:tc>
              <w:tc>
                <w:tcPr>
                  <w:tcW w:w="2030" w:type="pct"/>
                  <w:noWrap w:val="0"/>
                  <w:vAlign w:val="center"/>
                </w:tcPr>
                <w:p w14:paraId="123AE273">
                  <w:pPr>
                    <w:keepNext w:val="0"/>
                    <w:keepLines w:val="0"/>
                    <w:pageBreakBefore w:val="0"/>
                    <w:widowControl/>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color w:val="auto"/>
                      <w:kern w:val="0"/>
                      <w:sz w:val="21"/>
                      <w:szCs w:val="21"/>
                      <w:highlight w:val="none"/>
                      <w:u w:val="none" w:color="auto"/>
                      <w:lang w:bidi="ar"/>
                    </w:rPr>
                  </w:pPr>
                  <w:r>
                    <w:rPr>
                      <w:rFonts w:hint="default" w:ascii="Times New Roman" w:hAnsi="Times New Roman" w:eastAsia="宋体" w:cs="Times New Roman"/>
                      <w:color w:val="auto"/>
                      <w:kern w:val="0"/>
                      <w:sz w:val="21"/>
                      <w:szCs w:val="21"/>
                      <w:highlight w:val="none"/>
                      <w:u w:val="none" w:color="auto"/>
                      <w:lang w:bidi="ar"/>
                    </w:rPr>
                    <w:t>14.深化扬尘污染精细化管控。聚焦建筑施工、城市道路.线性工程、矿山开采、车辆运输和裸露地面等重点领域，细化完善全县重点扬尘污染源管控清单，建立施工防尘措施检查制度，按照“谁组织、谁监管”原则，明确监管责任，严格落实扬尘治理“两个标准”要求，加强施工围挡、车辆冲洗、湿法作业、密闭运输、地面硬化、物料覆盖等管理，提升扬尘污染精细化管理水平。推进全县扬尘污染防治智慧化监控平台互联互通，5000平方米及以上建筑工地安装在线监测和视频监控设施，并接入监管平台。市政道路、水务等长距离线性工程实行分段施工。工程项目将防治扬尘污染费用纳入工程造价，作为专项费用用于扬尘治理。严格落实渣土车在施工工地、建筑垃圾消纳场“三不出场”规定。对渣土车密闭不严、带泥出车、沿路遗撒、不按规定时间或路线行驶以及未办理许可手续擅自处置渣土、办理许可手续后擅自委托渣土核准企业以外的黑渣土车运输等违法违规行为依法进行查处。强化道路扬尘综合治理，开展渣土、物料等运输车辆规范化整治，依法查处遗撒滴漏或扬散物料、不按照规定路线、时段行驶等违法行为，城市建成区道路机械化清扫率达到80%以上，对长期未开发建设裸地进行排查整治。</w:t>
                  </w:r>
                </w:p>
              </w:tc>
              <w:tc>
                <w:tcPr>
                  <w:tcW w:w="1152" w:type="pct"/>
                  <w:noWrap w:val="0"/>
                  <w:vAlign w:val="center"/>
                </w:tcPr>
                <w:p w14:paraId="03570F31">
                  <w:pPr>
                    <w:keepNext w:val="0"/>
                    <w:keepLines w:val="0"/>
                    <w:pageBreakBefore w:val="0"/>
                    <w:widowControl/>
                    <w:kinsoku/>
                    <w:wordWrap/>
                    <w:overflowPunct/>
                    <w:topLinePunct w:val="0"/>
                    <w:autoSpaceDE/>
                    <w:autoSpaceDN/>
                    <w:bidi w:val="0"/>
                    <w:adjustRightInd/>
                    <w:snapToGrid/>
                    <w:jc w:val="both"/>
                    <w:textAlignment w:val="auto"/>
                    <w:rPr>
                      <w:rFonts w:hint="eastAsia"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rPr>
                    <w:t>本项目施工期严格落实扬尘治理</w:t>
                  </w:r>
                  <w:r>
                    <w:rPr>
                      <w:rFonts w:hint="eastAsia"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两个标准</w:t>
                  </w:r>
                  <w:r>
                    <w:rPr>
                      <w:rFonts w:hint="eastAsia"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要求，加强施工围挡、车辆冲洗、湿法作业、密闭运输、地面硬化、物料覆盖等管理，提升扬尘污染精细化管理水平</w:t>
                  </w:r>
                  <w:r>
                    <w:rPr>
                      <w:rFonts w:hint="eastAsia" w:ascii="Times New Roman" w:hAnsi="Times New Roman" w:eastAsia="宋体" w:cs="Times New Roman"/>
                      <w:color w:val="auto"/>
                      <w:sz w:val="21"/>
                      <w:szCs w:val="21"/>
                      <w:highlight w:val="none"/>
                      <w:u w:val="none" w:color="auto"/>
                      <w:lang w:eastAsia="zh-CN"/>
                    </w:rPr>
                    <w:t>。</w:t>
                  </w:r>
                </w:p>
              </w:tc>
              <w:tc>
                <w:tcPr>
                  <w:tcW w:w="486" w:type="pct"/>
                  <w:noWrap w:val="0"/>
                  <w:vAlign w:val="center"/>
                </w:tcPr>
                <w:p w14:paraId="17D0FC58">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bl>
          <w:p w14:paraId="702BE6B9">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kern w:val="0"/>
                <w:sz w:val="24"/>
                <w:highlight w:val="none"/>
                <w:u w:val="none" w:color="auto"/>
                <w:lang w:bidi="ar"/>
              </w:rPr>
            </w:pPr>
            <w:r>
              <w:rPr>
                <w:rFonts w:hint="default" w:ascii="Times New Roman" w:hAnsi="Times New Roman" w:cs="Times New Roman"/>
                <w:b/>
                <w:bCs/>
                <w:color w:val="auto"/>
                <w:kern w:val="0"/>
                <w:sz w:val="24"/>
                <w:highlight w:val="none"/>
                <w:u w:val="none" w:color="auto"/>
                <w:lang w:bidi="ar"/>
              </w:rPr>
              <w:t>3.3、项目与关于印发《镇平县2024年碧水保卫战实施方案》《镇平县2024年净土保卫战实施方案》《镇平县2024年柴油货车污染治理攻坚战实施方案》的通知(镇环攻坚办【2024】20号)的相符性</w:t>
            </w:r>
          </w:p>
          <w:p w14:paraId="4F862E7D">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highlight w:val="none"/>
                <w:u w:val="none" w:color="auto"/>
                <w:lang w:bidi="ar"/>
              </w:rPr>
            </w:pPr>
            <w:r>
              <w:rPr>
                <w:rFonts w:hint="default" w:ascii="Times New Roman" w:hAnsi="Times New Roman" w:cs="Times New Roman"/>
                <w:color w:val="auto"/>
                <w:kern w:val="0"/>
                <w:sz w:val="24"/>
                <w:highlight w:val="none"/>
                <w:u w:val="none" w:color="auto"/>
                <w:lang w:bidi="ar"/>
              </w:rPr>
              <w:t>2024年6月7日，镇平县污染防治攻坚站领导小组办公室印发了《镇平县2024年碧水保卫战实施方案》《镇平县2024年净土保卫战实施方案》《镇平县2024年柴油货车污染治理攻坚战实施方案》的通知(镇环攻坚办【2024】20号)。与该文件中涉及本项目情况的相关内容对比及相符性分析见下表。</w:t>
            </w:r>
          </w:p>
          <w:p w14:paraId="1E915B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highlight w:val="none"/>
                <w:u w:val="none" w:color="auto"/>
              </w:rPr>
            </w:pPr>
            <w:r>
              <w:rPr>
                <w:rFonts w:hint="default" w:ascii="Times New Roman" w:hAnsi="Times New Roman" w:eastAsia="宋体" w:cs="Times New Roman"/>
                <w:b/>
                <w:bCs/>
                <w:color w:val="auto"/>
                <w:sz w:val="24"/>
                <w:highlight w:val="none"/>
                <w:u w:val="none" w:color="auto"/>
              </w:rPr>
              <w:t>表1-</w:t>
            </w:r>
            <w:r>
              <w:rPr>
                <w:rFonts w:hint="default" w:ascii="Times New Roman" w:hAnsi="Times New Roman" w:eastAsia="宋体" w:cs="Times New Roman"/>
                <w:b/>
                <w:bCs/>
                <w:color w:val="auto"/>
                <w:sz w:val="24"/>
                <w:highlight w:val="none"/>
                <w:u w:val="none" w:color="auto"/>
                <w:lang w:val="en-US" w:eastAsia="zh-CN"/>
              </w:rPr>
              <w:t xml:space="preserve">3    </w:t>
            </w:r>
            <w:r>
              <w:rPr>
                <w:rFonts w:hint="default" w:ascii="Times New Roman" w:hAnsi="Times New Roman" w:eastAsia="宋体" w:cs="Times New Roman"/>
                <w:b/>
                <w:bCs/>
                <w:color w:val="auto"/>
                <w:sz w:val="24"/>
                <w:highlight w:val="none"/>
                <w:u w:val="none" w:color="auto"/>
              </w:rPr>
              <w:t>项目建设与《镇平县2024年碧水保卫战实施方案》《镇平县2024年净土保卫战实施方案》《镇平县2024年柴油货车污染治理攻坚战实施方案》相关内容相符性分析</w:t>
            </w:r>
          </w:p>
          <w:tbl>
            <w:tblPr>
              <w:tblStyle w:val="35"/>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49"/>
              <w:gridCol w:w="4256"/>
              <w:gridCol w:w="1683"/>
              <w:gridCol w:w="716"/>
            </w:tblGrid>
            <w:tr w14:paraId="5AF4948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4" w:type="pct"/>
                  <w:noWrap w:val="0"/>
                  <w:vAlign w:val="center"/>
                </w:tcPr>
                <w:p w14:paraId="7DDF880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文件</w:t>
                  </w:r>
                </w:p>
              </w:tc>
              <w:tc>
                <w:tcPr>
                  <w:tcW w:w="2913" w:type="pct"/>
                  <w:noWrap w:val="0"/>
                  <w:vAlign w:val="center"/>
                </w:tcPr>
                <w:p w14:paraId="6F12FEE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文件要求</w:t>
                  </w:r>
                </w:p>
              </w:tc>
              <w:tc>
                <w:tcPr>
                  <w:tcW w:w="1152" w:type="pct"/>
                  <w:noWrap w:val="0"/>
                  <w:vAlign w:val="center"/>
                </w:tcPr>
                <w:p w14:paraId="13AA3C3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本项目</w:t>
                  </w:r>
                </w:p>
              </w:tc>
              <w:tc>
                <w:tcPr>
                  <w:tcW w:w="490" w:type="pct"/>
                  <w:noWrap w:val="0"/>
                  <w:vAlign w:val="center"/>
                </w:tcPr>
                <w:p w14:paraId="7D99296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相符性</w:t>
                  </w:r>
                </w:p>
              </w:tc>
            </w:tr>
            <w:tr w14:paraId="0AE6990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4" w:type="pct"/>
                  <w:noWrap w:val="0"/>
                  <w:vAlign w:val="center"/>
                </w:tcPr>
                <w:p w14:paraId="74652C0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lang w:bidi="ar"/>
                    </w:rPr>
                    <w:t>《镇平县2024年净土保卫战实施方案》（节选）</w:t>
                  </w:r>
                </w:p>
              </w:tc>
              <w:tc>
                <w:tcPr>
                  <w:tcW w:w="2913" w:type="pct"/>
                  <w:noWrap w:val="0"/>
                  <w:vAlign w:val="center"/>
                </w:tcPr>
                <w:p w14:paraId="1A47492C">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3.强化在产企业土壤污染源头防控。更新土壤污染重点监管单位名录，并向社会公开。指导新纳入的重点监管单位在本年度内开展一次隐患排查、自行监测。对有色金属冶炼、化工、焦化、电镀、制革、危险废物处置等行业企业开展隐患排查“回头看”工作。</w:t>
                  </w:r>
                </w:p>
              </w:tc>
              <w:tc>
                <w:tcPr>
                  <w:tcW w:w="1152" w:type="pct"/>
                  <w:noWrap w:val="0"/>
                  <w:vAlign w:val="center"/>
                </w:tcPr>
                <w:p w14:paraId="2DD184CB">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本</w:t>
                  </w:r>
                  <w:r>
                    <w:rPr>
                      <w:rFonts w:hint="default" w:ascii="Times New Roman" w:hAnsi="Times New Roman" w:eastAsia="宋体" w:cs="Times New Roman"/>
                      <w:color w:val="auto"/>
                      <w:sz w:val="21"/>
                      <w:szCs w:val="21"/>
                      <w:highlight w:val="none"/>
                      <w:u w:val="none" w:color="auto"/>
                    </w:rPr>
                    <w:t>项目</w:t>
                  </w:r>
                  <w:r>
                    <w:rPr>
                      <w:rFonts w:hint="default" w:ascii="Times New Roman" w:hAnsi="Times New Roman" w:eastAsia="宋体" w:cs="Times New Roman"/>
                      <w:color w:val="auto"/>
                      <w:sz w:val="21"/>
                      <w:szCs w:val="21"/>
                      <w:highlight w:val="none"/>
                      <w:u w:val="none" w:color="auto"/>
                      <w:lang w:val="en-US" w:eastAsia="zh-CN"/>
                    </w:rPr>
                    <w:t>属于社会事业与服务业</w:t>
                  </w:r>
                  <w:r>
                    <w:rPr>
                      <w:rFonts w:hint="default" w:ascii="Times New Roman" w:hAnsi="Times New Roman" w:eastAsia="宋体" w:cs="Times New Roman"/>
                      <w:color w:val="auto"/>
                      <w:sz w:val="21"/>
                      <w:szCs w:val="21"/>
                      <w:highlight w:val="none"/>
                      <w:u w:val="none" w:color="auto"/>
                    </w:rPr>
                    <w:t>，不属于土壤污染重点监管单位，不属于有色金属冶炼、化工、焦化、电镀、制革、危险废物处置等行业。</w:t>
                  </w:r>
                </w:p>
              </w:tc>
              <w:tc>
                <w:tcPr>
                  <w:tcW w:w="490" w:type="pct"/>
                  <w:noWrap w:val="0"/>
                  <w:vAlign w:val="center"/>
                </w:tcPr>
                <w:p w14:paraId="6FCC43C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bl>
          <w:p w14:paraId="2B5A6FF9">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color w:val="auto"/>
                <w:sz w:val="24"/>
                <w:highlight w:val="none"/>
                <w:u w:val="none" w:color="auto"/>
              </w:rPr>
            </w:pPr>
            <w:r>
              <w:rPr>
                <w:rFonts w:hint="default" w:ascii="Times New Roman" w:hAnsi="Times New Roman" w:cs="Times New Roman"/>
                <w:b/>
                <w:color w:val="auto"/>
                <w:sz w:val="24"/>
                <w:highlight w:val="none"/>
                <w:u w:val="none" w:color="auto"/>
              </w:rPr>
              <w:t>3.</w:t>
            </w:r>
            <w:r>
              <w:rPr>
                <w:rFonts w:hint="eastAsia" w:cs="Times New Roman"/>
                <w:b/>
                <w:color w:val="auto"/>
                <w:sz w:val="24"/>
                <w:highlight w:val="none"/>
                <w:u w:val="none" w:color="auto"/>
                <w:lang w:val="en-US" w:eastAsia="zh-CN"/>
              </w:rPr>
              <w:t>4</w:t>
            </w:r>
            <w:r>
              <w:rPr>
                <w:rFonts w:hint="default" w:ascii="Times New Roman" w:hAnsi="Times New Roman" w:cs="Times New Roman"/>
                <w:b/>
                <w:color w:val="auto"/>
                <w:sz w:val="24"/>
                <w:highlight w:val="none"/>
                <w:u w:val="none" w:color="auto"/>
              </w:rPr>
              <w:t xml:space="preserve">、项目与《河南省人民政府关于印发河南省空气质量持续改善行动计划》（豫政〔2024〕12号）的相符性分析 </w:t>
            </w:r>
          </w:p>
          <w:p w14:paraId="1272A1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highlight w:val="none"/>
                <w:u w:val="none" w:color="auto"/>
              </w:rPr>
            </w:pPr>
            <w:r>
              <w:rPr>
                <w:rFonts w:hint="default" w:ascii="Times New Roman" w:hAnsi="Times New Roman" w:eastAsia="宋体" w:cs="Times New Roman"/>
                <w:b/>
                <w:bCs/>
                <w:color w:val="auto"/>
                <w:sz w:val="24"/>
                <w:highlight w:val="none"/>
                <w:u w:val="none" w:color="auto"/>
              </w:rPr>
              <w:t>表1-</w:t>
            </w:r>
            <w:r>
              <w:rPr>
                <w:rFonts w:hint="eastAsia" w:ascii="Times New Roman" w:hAnsi="Times New Roman" w:eastAsia="宋体" w:cs="Times New Roman"/>
                <w:b/>
                <w:bCs/>
                <w:color w:val="auto"/>
                <w:sz w:val="24"/>
                <w:highlight w:val="none"/>
                <w:u w:val="none" w:color="auto"/>
                <w:lang w:val="en-US" w:eastAsia="zh-CN"/>
              </w:rPr>
              <w:t>4</w:t>
            </w:r>
            <w:r>
              <w:rPr>
                <w:rFonts w:hint="default" w:ascii="Times New Roman" w:hAnsi="Times New Roman" w:eastAsia="宋体" w:cs="Times New Roman"/>
                <w:b/>
                <w:bCs/>
                <w:color w:val="auto"/>
                <w:sz w:val="24"/>
                <w:highlight w:val="none"/>
                <w:u w:val="none" w:color="auto"/>
                <w:lang w:val="en-US" w:eastAsia="zh-CN"/>
              </w:rPr>
              <w:t xml:space="preserve">    </w:t>
            </w:r>
            <w:r>
              <w:rPr>
                <w:rFonts w:hint="default" w:ascii="Times New Roman" w:hAnsi="Times New Roman" w:eastAsia="宋体" w:cs="Times New Roman"/>
                <w:b/>
                <w:bCs/>
                <w:color w:val="auto"/>
                <w:sz w:val="24"/>
                <w:highlight w:val="none"/>
                <w:u w:val="none" w:color="auto"/>
              </w:rPr>
              <w:t>项目与《河南省人民政府关于印发河南省空气质量持续改善行动计划》（豫政〔2024〕12号）相符性分析比对表</w:t>
            </w:r>
          </w:p>
          <w:tbl>
            <w:tblPr>
              <w:tblStyle w:val="35"/>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 w:type="dxa"/>
                <w:bottom w:w="0" w:type="dxa"/>
                <w:right w:w="10" w:type="dxa"/>
              </w:tblCellMar>
            </w:tblPr>
            <w:tblGrid>
              <w:gridCol w:w="745"/>
              <w:gridCol w:w="3336"/>
              <w:gridCol w:w="2543"/>
              <w:gridCol w:w="665"/>
            </w:tblGrid>
            <w:tr w14:paraId="4694A3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2799" w:type="pct"/>
                  <w:gridSpan w:val="2"/>
                  <w:tcBorders>
                    <w:top w:val="single" w:color="auto" w:sz="6" w:space="0"/>
                    <w:left w:val="single" w:color="auto" w:sz="6" w:space="0"/>
                    <w:bottom w:val="single" w:color="auto" w:sz="4" w:space="0"/>
                    <w:right w:val="single" w:color="auto" w:sz="4" w:space="0"/>
                  </w:tcBorders>
                  <w:noWrap w:val="0"/>
                  <w:vAlign w:val="center"/>
                </w:tcPr>
                <w:p w14:paraId="0D3AD8AF">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u w:val="none" w:color="auto"/>
                    </w:rPr>
                  </w:pPr>
                  <w:r>
                    <w:rPr>
                      <w:rStyle w:val="173"/>
                      <w:rFonts w:hint="default" w:ascii="Times New Roman" w:hAnsi="Times New Roman" w:eastAsia="宋体" w:cs="Times New Roman"/>
                      <w:color w:val="auto"/>
                      <w:sz w:val="21"/>
                      <w:szCs w:val="21"/>
                      <w:highlight w:val="none"/>
                      <w:u w:val="none" w:color="auto"/>
                    </w:rPr>
                    <w:t>要求</w:t>
                  </w:r>
                </w:p>
              </w:tc>
              <w:tc>
                <w:tcPr>
                  <w:tcW w:w="1744" w:type="pct"/>
                  <w:tcBorders>
                    <w:top w:val="single" w:color="auto" w:sz="6" w:space="0"/>
                    <w:left w:val="single" w:color="auto" w:sz="4" w:space="0"/>
                    <w:bottom w:val="single" w:color="auto" w:sz="4" w:space="0"/>
                    <w:right w:val="single" w:color="auto" w:sz="4" w:space="0"/>
                  </w:tcBorders>
                  <w:noWrap w:val="0"/>
                  <w:vAlign w:val="center"/>
                </w:tcPr>
                <w:p w14:paraId="53719D44">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u w:val="none" w:color="auto"/>
                    </w:rPr>
                  </w:pPr>
                  <w:r>
                    <w:rPr>
                      <w:rStyle w:val="173"/>
                      <w:rFonts w:hint="default" w:ascii="Times New Roman" w:hAnsi="Times New Roman" w:eastAsia="宋体" w:cs="Times New Roman"/>
                      <w:color w:val="auto"/>
                      <w:sz w:val="21"/>
                      <w:szCs w:val="21"/>
                      <w:highlight w:val="none"/>
                      <w:u w:val="none" w:color="auto"/>
                    </w:rPr>
                    <w:t>本项目情况</w:t>
                  </w:r>
                </w:p>
              </w:tc>
              <w:tc>
                <w:tcPr>
                  <w:tcW w:w="456" w:type="pct"/>
                  <w:tcBorders>
                    <w:top w:val="single" w:color="auto" w:sz="6" w:space="0"/>
                    <w:left w:val="single" w:color="auto" w:sz="4" w:space="0"/>
                    <w:bottom w:val="single" w:color="auto" w:sz="4" w:space="0"/>
                    <w:right w:val="single" w:color="auto" w:sz="6" w:space="0"/>
                  </w:tcBorders>
                  <w:noWrap w:val="0"/>
                  <w:vAlign w:val="center"/>
                </w:tcPr>
                <w:p w14:paraId="0630AD4D">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u w:val="none" w:color="auto"/>
                    </w:rPr>
                  </w:pPr>
                  <w:r>
                    <w:rPr>
                      <w:rStyle w:val="173"/>
                      <w:rFonts w:hint="default" w:ascii="Times New Roman" w:hAnsi="Times New Roman" w:eastAsia="宋体" w:cs="Times New Roman"/>
                      <w:color w:val="auto"/>
                      <w:sz w:val="21"/>
                      <w:szCs w:val="21"/>
                      <w:highlight w:val="none"/>
                      <w:u w:val="none" w:color="auto"/>
                    </w:rPr>
                    <w:t>相符性</w:t>
                  </w:r>
                </w:p>
              </w:tc>
            </w:tr>
            <w:tr w14:paraId="7B96D1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1" w:type="pct"/>
                  <w:tcBorders>
                    <w:top w:val="single" w:color="auto" w:sz="4" w:space="0"/>
                    <w:left w:val="single" w:color="auto" w:sz="6" w:space="0"/>
                    <w:right w:val="single" w:color="auto" w:sz="4" w:space="0"/>
                  </w:tcBorders>
                  <w:noWrap w:val="0"/>
                  <w:vAlign w:val="center"/>
                </w:tcPr>
                <w:p w14:paraId="6A2DE254">
                  <w:pPr>
                    <w:keepNext w:val="0"/>
                    <w:keepLines w:val="0"/>
                    <w:pageBreakBefore w:val="0"/>
                    <w:widowControl/>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二、优化产业结构，促进产业绿色发展</w:t>
                  </w:r>
                </w:p>
                <w:p w14:paraId="450E24DC">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2287" w:type="pct"/>
                  <w:tcBorders>
                    <w:top w:val="single" w:color="auto" w:sz="4" w:space="0"/>
                    <w:left w:val="single" w:color="auto" w:sz="4" w:space="0"/>
                    <w:bottom w:val="single" w:color="auto" w:sz="4" w:space="0"/>
                    <w:right w:val="single" w:color="auto" w:sz="4" w:space="0"/>
                  </w:tcBorders>
                  <w:noWrap w:val="0"/>
                  <w:vAlign w:val="center"/>
                </w:tcPr>
                <w:p w14:paraId="5C6AA154">
                  <w:pPr>
                    <w:keepNext w:val="0"/>
                    <w:keepLines w:val="0"/>
                    <w:pageBreakBefore w:val="0"/>
                    <w:widowControl/>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一）严把“两高”项目准入关口。严格落实国家和我省“两高”项目相关要求，严禁新增钢铁产能。严格执行有关行业产能置换政策，被置换产能及其配套设施关停后，新建项目方可投产。国家、省绩效分级重点行业以及涉及锅炉炉窑的其他行业，新（改、扩）建项目原则上达到环境绩效A级或国内清洁生产先进水平。推进钢铁、焦化、烧结一体化布局，大幅减少独立烧结、球团和热轧企业及工序，推动高炉—转炉长流程炼钢转型为电炉短流程炼钢，淘汰落后煤炭洗选产能。统筹落实国家“以钢定焦”有关要求，研究制定焦化行业产能退出实施方案。</w:t>
                  </w:r>
                </w:p>
              </w:tc>
              <w:tc>
                <w:tcPr>
                  <w:tcW w:w="1744" w:type="pct"/>
                  <w:tcBorders>
                    <w:top w:val="single" w:color="auto" w:sz="4" w:space="0"/>
                    <w:left w:val="single" w:color="auto" w:sz="4" w:space="0"/>
                    <w:bottom w:val="single" w:color="auto" w:sz="4" w:space="0"/>
                    <w:right w:val="single" w:color="auto" w:sz="4" w:space="0"/>
                  </w:tcBorders>
                  <w:noWrap w:val="0"/>
                  <w:vAlign w:val="center"/>
                </w:tcPr>
                <w:p w14:paraId="7AC42D5F">
                  <w:pPr>
                    <w:keepNext w:val="0"/>
                    <w:keepLines w:val="0"/>
                    <w:pageBreakBefore w:val="0"/>
                    <w:widowControl/>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bCs/>
                      <w:color w:val="auto"/>
                      <w:kern w:val="0"/>
                      <w:sz w:val="21"/>
                      <w:szCs w:val="21"/>
                      <w:highlight w:val="none"/>
                      <w:u w:val="none" w:color="auto"/>
                    </w:rPr>
                    <w:t>本项目属于</w:t>
                  </w:r>
                  <w:r>
                    <w:rPr>
                      <w:rFonts w:hint="default" w:ascii="Times New Roman" w:hAnsi="Times New Roman" w:eastAsia="宋体" w:cs="Times New Roman"/>
                      <w:bCs/>
                      <w:color w:val="auto"/>
                      <w:kern w:val="0"/>
                      <w:sz w:val="21"/>
                      <w:szCs w:val="21"/>
                      <w:highlight w:val="none"/>
                      <w:u w:val="none" w:color="auto"/>
                      <w:lang w:val="en-US" w:eastAsia="zh-CN"/>
                    </w:rPr>
                    <w:t>社会事业与服务业</w:t>
                  </w:r>
                  <w:r>
                    <w:rPr>
                      <w:rFonts w:hint="default" w:ascii="Times New Roman" w:hAnsi="Times New Roman" w:eastAsia="宋体" w:cs="Times New Roman"/>
                      <w:bCs/>
                      <w:color w:val="auto"/>
                      <w:kern w:val="0"/>
                      <w:sz w:val="21"/>
                      <w:szCs w:val="21"/>
                      <w:highlight w:val="none"/>
                      <w:u w:val="none" w:color="auto"/>
                    </w:rPr>
                    <w:t>，项目不属于“两高”项目；项目不属于新增钢铁产能，符合区域“三线一单”管控要求；</w:t>
                  </w:r>
                </w:p>
              </w:tc>
              <w:tc>
                <w:tcPr>
                  <w:tcW w:w="456" w:type="pct"/>
                  <w:tcBorders>
                    <w:top w:val="single" w:color="auto" w:sz="4" w:space="0"/>
                    <w:left w:val="single" w:color="auto" w:sz="4" w:space="0"/>
                    <w:bottom w:val="single" w:color="auto" w:sz="4" w:space="0"/>
                    <w:right w:val="single" w:color="auto" w:sz="6" w:space="0"/>
                  </w:tcBorders>
                  <w:noWrap w:val="0"/>
                  <w:vAlign w:val="center"/>
                </w:tcPr>
                <w:p w14:paraId="6FAAF923">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u w:val="none" w:color="auto"/>
                    </w:rPr>
                  </w:pPr>
                  <w:r>
                    <w:rPr>
                      <w:rStyle w:val="173"/>
                      <w:rFonts w:hint="default" w:ascii="Times New Roman" w:hAnsi="Times New Roman" w:eastAsia="宋体" w:cs="Times New Roman"/>
                      <w:color w:val="auto"/>
                      <w:sz w:val="21"/>
                      <w:szCs w:val="21"/>
                      <w:highlight w:val="none"/>
                      <w:u w:val="none" w:color="auto"/>
                    </w:rPr>
                    <w:t>相符</w:t>
                  </w:r>
                </w:p>
              </w:tc>
            </w:tr>
            <w:tr w14:paraId="5E5EB6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1" w:type="pct"/>
                  <w:vMerge w:val="restart"/>
                  <w:tcBorders>
                    <w:top w:val="single" w:color="auto" w:sz="4" w:space="0"/>
                    <w:left w:val="single" w:color="auto" w:sz="6" w:space="0"/>
                    <w:right w:val="single" w:color="auto" w:sz="4" w:space="0"/>
                  </w:tcBorders>
                  <w:noWrap w:val="0"/>
                  <w:vAlign w:val="center"/>
                </w:tcPr>
                <w:p w14:paraId="5FCA6D87">
                  <w:pPr>
                    <w:keepNext w:val="0"/>
                    <w:keepLines w:val="0"/>
                    <w:pageBreakBefore w:val="0"/>
                    <w:widowControl/>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三、优化能源结构，加快能源绿色低碳发展</w:t>
                  </w:r>
                </w:p>
              </w:tc>
              <w:tc>
                <w:tcPr>
                  <w:tcW w:w="2287" w:type="pct"/>
                  <w:tcBorders>
                    <w:top w:val="single" w:color="auto" w:sz="4" w:space="0"/>
                    <w:left w:val="single" w:color="auto" w:sz="4" w:space="0"/>
                    <w:bottom w:val="single" w:color="auto" w:sz="4" w:space="0"/>
                    <w:right w:val="single" w:color="auto" w:sz="4" w:space="0"/>
                  </w:tcBorders>
                  <w:noWrap w:val="0"/>
                  <w:vAlign w:val="center"/>
                </w:tcPr>
                <w:p w14:paraId="27DADD32">
                  <w:pPr>
                    <w:keepNext w:val="0"/>
                    <w:keepLines w:val="0"/>
                    <w:pageBreakBefore w:val="0"/>
                    <w:widowControl/>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一）大力发展清洁能源。加快推进风电和集中式光伏规模化开发，开展“光伏+”公共建筑屋顶提速行动，建设一批规模化开发项目；实施地热能利用集中连片开发，建设郑州、开封、周口、濮阳4个千万平方米地热供暖示范区；加快加氢站、氢电油气综合能源站建设，打造郑汴洛濮氢走廊。</w:t>
                  </w:r>
                </w:p>
              </w:tc>
              <w:tc>
                <w:tcPr>
                  <w:tcW w:w="1744" w:type="pct"/>
                  <w:tcBorders>
                    <w:top w:val="single" w:color="auto" w:sz="4" w:space="0"/>
                    <w:left w:val="single" w:color="auto" w:sz="4" w:space="0"/>
                    <w:bottom w:val="single" w:color="auto" w:sz="4" w:space="0"/>
                    <w:right w:val="single" w:color="auto" w:sz="4" w:space="0"/>
                  </w:tcBorders>
                  <w:noWrap w:val="0"/>
                  <w:vAlign w:val="center"/>
                </w:tcPr>
                <w:p w14:paraId="1A6499B4">
                  <w:pPr>
                    <w:keepNext w:val="0"/>
                    <w:keepLines w:val="0"/>
                    <w:pageBreakBefore w:val="0"/>
                    <w:widowControl/>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本项目使用电能，电能为清洁能源。</w:t>
                  </w:r>
                </w:p>
              </w:tc>
              <w:tc>
                <w:tcPr>
                  <w:tcW w:w="456" w:type="pct"/>
                  <w:tcBorders>
                    <w:top w:val="single" w:color="auto" w:sz="4" w:space="0"/>
                    <w:left w:val="single" w:color="auto" w:sz="4" w:space="0"/>
                    <w:bottom w:val="single" w:color="auto" w:sz="4" w:space="0"/>
                    <w:right w:val="single" w:color="auto" w:sz="6" w:space="0"/>
                  </w:tcBorders>
                  <w:noWrap w:val="0"/>
                  <w:vAlign w:val="center"/>
                </w:tcPr>
                <w:p w14:paraId="71A0E656">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u w:val="none" w:color="auto"/>
                    </w:rPr>
                  </w:pPr>
                  <w:r>
                    <w:rPr>
                      <w:rStyle w:val="173"/>
                      <w:rFonts w:hint="default" w:ascii="Times New Roman" w:hAnsi="Times New Roman" w:eastAsia="宋体" w:cs="Times New Roman"/>
                      <w:color w:val="auto"/>
                      <w:sz w:val="21"/>
                      <w:szCs w:val="21"/>
                      <w:highlight w:val="none"/>
                      <w:u w:val="none" w:color="auto"/>
                    </w:rPr>
                    <w:t>相符</w:t>
                  </w:r>
                </w:p>
              </w:tc>
            </w:tr>
            <w:tr w14:paraId="2A108F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1" w:type="pct"/>
                  <w:vMerge w:val="continue"/>
                  <w:tcBorders>
                    <w:left w:val="single" w:color="auto" w:sz="6" w:space="0"/>
                    <w:bottom w:val="single" w:color="auto" w:sz="4" w:space="0"/>
                    <w:right w:val="single" w:color="auto" w:sz="4" w:space="0"/>
                  </w:tcBorders>
                  <w:noWrap w:val="0"/>
                  <w:vAlign w:val="center"/>
                </w:tcPr>
                <w:p w14:paraId="7A094159">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2287" w:type="pct"/>
                  <w:tcBorders>
                    <w:top w:val="single" w:color="auto" w:sz="4" w:space="0"/>
                    <w:left w:val="single" w:color="auto" w:sz="4" w:space="0"/>
                    <w:bottom w:val="single" w:color="auto" w:sz="4" w:space="0"/>
                    <w:right w:val="single" w:color="auto" w:sz="4" w:space="0"/>
                  </w:tcBorders>
                  <w:noWrap w:val="0"/>
                  <w:vAlign w:val="center"/>
                </w:tcPr>
                <w:p w14:paraId="256B8785">
                  <w:pPr>
                    <w:pStyle w:val="7"/>
                    <w:bidi w:val="0"/>
                    <w:rPr>
                      <w:rFonts w:hint="default"/>
                      <w:sz w:val="21"/>
                      <w:szCs w:val="21"/>
                    </w:rPr>
                  </w:pPr>
                  <w:r>
                    <w:rPr>
                      <w:rFonts w:hint="default"/>
                      <w:sz w:val="21"/>
                      <w:szCs w:val="21"/>
                    </w:rPr>
                    <w:t>（四）实施工业炉窑清洁能源替代。全省不再新增燃料类煤气发生炉，新（改、扩）建加热炉、热处理炉、干燥炉、熔化炉原则上采用清洁低碳能源。2024年年底前，分散建设的燃料类煤气发生炉完成清洁能源替代或园区集中供气改造。2025年年底前，使用高污染燃料的加热炉、热处理炉、干燥炉、熔化炉改用清洁低碳能源，淘汰不能稳定达标的燃煤锅炉和以煤、石油焦、渣油、重油等为燃料的工业窑炉，完成固定床间歇式煤气发生炉新型煤气化工艺改造。</w:t>
                  </w:r>
                </w:p>
              </w:tc>
              <w:tc>
                <w:tcPr>
                  <w:tcW w:w="1744" w:type="pct"/>
                  <w:tcBorders>
                    <w:top w:val="single" w:color="auto" w:sz="4" w:space="0"/>
                    <w:left w:val="single" w:color="auto" w:sz="4" w:space="0"/>
                    <w:bottom w:val="single" w:color="auto" w:sz="4" w:space="0"/>
                    <w:right w:val="single" w:color="auto" w:sz="4" w:space="0"/>
                  </w:tcBorders>
                  <w:noWrap w:val="0"/>
                  <w:vAlign w:val="center"/>
                </w:tcPr>
                <w:p w14:paraId="6F53BCF2">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本项目不涉及工业炉窑</w:t>
                  </w:r>
                </w:p>
              </w:tc>
              <w:tc>
                <w:tcPr>
                  <w:tcW w:w="456" w:type="pct"/>
                  <w:tcBorders>
                    <w:top w:val="single" w:color="auto" w:sz="4" w:space="0"/>
                    <w:left w:val="single" w:color="auto" w:sz="4" w:space="0"/>
                    <w:bottom w:val="single" w:color="auto" w:sz="4" w:space="0"/>
                    <w:right w:val="single" w:color="auto" w:sz="6" w:space="0"/>
                  </w:tcBorders>
                  <w:noWrap w:val="0"/>
                  <w:vAlign w:val="center"/>
                </w:tcPr>
                <w:p w14:paraId="79FD825F">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u w:val="none" w:color="auto"/>
                    </w:rPr>
                  </w:pPr>
                  <w:r>
                    <w:rPr>
                      <w:rStyle w:val="173"/>
                      <w:rFonts w:hint="default" w:ascii="Times New Roman" w:hAnsi="Times New Roman" w:eastAsia="宋体" w:cs="Times New Roman"/>
                      <w:color w:val="auto"/>
                      <w:sz w:val="21"/>
                      <w:szCs w:val="21"/>
                      <w:highlight w:val="none"/>
                      <w:u w:val="none" w:color="auto"/>
                    </w:rPr>
                    <w:t>相符</w:t>
                  </w:r>
                </w:p>
              </w:tc>
            </w:tr>
            <w:tr w14:paraId="0560F8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1" w:type="pct"/>
                  <w:tcBorders>
                    <w:top w:val="single" w:color="auto" w:sz="4" w:space="0"/>
                    <w:left w:val="single" w:color="auto" w:sz="6" w:space="0"/>
                    <w:bottom w:val="single" w:color="auto" w:sz="4" w:space="0"/>
                    <w:right w:val="single" w:color="auto" w:sz="4" w:space="0"/>
                  </w:tcBorders>
                  <w:noWrap w:val="0"/>
                  <w:vAlign w:val="center"/>
                </w:tcPr>
                <w:p w14:paraId="35F8124D">
                  <w:pPr>
                    <w:keepNext w:val="0"/>
                    <w:keepLines w:val="0"/>
                    <w:pageBreakBefore w:val="0"/>
                    <w:widowControl/>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五、强化面源污染治理，提升精细化管理水平</w:t>
                  </w:r>
                </w:p>
              </w:tc>
              <w:tc>
                <w:tcPr>
                  <w:tcW w:w="2287" w:type="pct"/>
                  <w:tcBorders>
                    <w:top w:val="single" w:color="auto" w:sz="4" w:space="0"/>
                    <w:left w:val="single" w:color="auto" w:sz="4" w:space="0"/>
                    <w:bottom w:val="single" w:color="auto" w:sz="4" w:space="0"/>
                    <w:right w:val="single" w:color="auto" w:sz="4" w:space="0"/>
                  </w:tcBorders>
                  <w:noWrap w:val="0"/>
                  <w:vAlign w:val="center"/>
                </w:tcPr>
                <w:p w14:paraId="72622ADA">
                  <w:pPr>
                    <w:keepNext w:val="0"/>
                    <w:keepLines w:val="0"/>
                    <w:pageBreakBefore w:val="0"/>
                    <w:widowControl w:val="0"/>
                    <w:kinsoku/>
                    <w:wordWrap/>
                    <w:overflowPunct/>
                    <w:topLinePunct w:val="0"/>
                    <w:autoSpaceDE/>
                    <w:autoSpaceDN/>
                    <w:bidi w:val="0"/>
                    <w:adjustRightInd/>
                    <w:snapToGrid w:val="0"/>
                    <w:ind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一）深化扬尘污染综合治理。严格落实扬尘治理“两个标准”要求，加强施工围挡、车辆冲洗、湿法作业、密闭运输、地面硬化、物料覆盖等精细化管理，鼓励建筑项目积极采用装配式建造等绿色施工技术。市政道路、水务等长距离线性工程实行分段施工，逐步推动5000平方米以上建筑工地安装在线监测和视频监控设施并接入当地监管平台。将防治扬尘污染费用纳入工程造价。持续开展城市清洁行动，强化道路扬尘综合整治，对长期未开发的建设裸地进行排查整治。</w:t>
                  </w:r>
                </w:p>
              </w:tc>
              <w:tc>
                <w:tcPr>
                  <w:tcW w:w="1744" w:type="pct"/>
                  <w:tcBorders>
                    <w:top w:val="single" w:color="auto" w:sz="4" w:space="0"/>
                    <w:left w:val="single" w:color="auto" w:sz="4" w:space="0"/>
                    <w:bottom w:val="single" w:color="auto" w:sz="4" w:space="0"/>
                    <w:right w:val="single" w:color="auto" w:sz="4" w:space="0"/>
                  </w:tcBorders>
                  <w:noWrap w:val="0"/>
                  <w:vAlign w:val="center"/>
                </w:tcPr>
                <w:p w14:paraId="2F31CEF2">
                  <w:pPr>
                    <w:keepNext w:val="0"/>
                    <w:keepLines w:val="0"/>
                    <w:pageBreakBefore w:val="0"/>
                    <w:kinsoku/>
                    <w:wordWrap/>
                    <w:overflowPunct/>
                    <w:topLinePunct w:val="0"/>
                    <w:autoSpaceDE/>
                    <w:autoSpaceDN/>
                    <w:bidi w:val="0"/>
                    <w:adjustRightInd/>
                    <w:snapToGrid w:val="0"/>
                    <w:ind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rPr>
                    <w:t>本项目施工期</w:t>
                  </w:r>
                  <w:r>
                    <w:rPr>
                      <w:rFonts w:hint="default" w:ascii="Times New Roman" w:hAnsi="Times New Roman" w:eastAsia="宋体" w:cs="Times New Roman"/>
                      <w:bCs/>
                      <w:color w:val="auto"/>
                      <w:kern w:val="0"/>
                      <w:sz w:val="21"/>
                      <w:szCs w:val="21"/>
                      <w:highlight w:val="none"/>
                      <w:u w:val="none" w:color="auto"/>
                    </w:rPr>
                    <w:t>严格落实扬尘污染防治</w:t>
                  </w:r>
                  <w:r>
                    <w:rPr>
                      <w:rFonts w:hint="eastAsia" w:ascii="Times New Roman" w:hAnsi="Times New Roman" w:eastAsia="宋体" w:cs="Times New Roman"/>
                      <w:bCs/>
                      <w:color w:val="auto"/>
                      <w:kern w:val="0"/>
                      <w:sz w:val="21"/>
                      <w:szCs w:val="21"/>
                      <w:highlight w:val="none"/>
                      <w:u w:val="none" w:color="auto"/>
                      <w:lang w:eastAsia="zh-CN"/>
                    </w:rPr>
                    <w:t>“</w:t>
                  </w:r>
                  <w:r>
                    <w:rPr>
                      <w:rFonts w:hint="default" w:ascii="Times New Roman" w:hAnsi="Times New Roman" w:eastAsia="宋体" w:cs="Times New Roman"/>
                      <w:bCs/>
                      <w:color w:val="auto"/>
                      <w:kern w:val="0"/>
                      <w:sz w:val="21"/>
                      <w:szCs w:val="21"/>
                      <w:highlight w:val="none"/>
                      <w:u w:val="none" w:color="auto"/>
                    </w:rPr>
                    <w:t>两个标准</w:t>
                  </w:r>
                  <w:r>
                    <w:rPr>
                      <w:rFonts w:hint="eastAsia" w:ascii="Times New Roman" w:hAnsi="Times New Roman" w:eastAsia="宋体" w:cs="Times New Roman"/>
                      <w:bCs/>
                      <w:color w:val="auto"/>
                      <w:kern w:val="0"/>
                      <w:sz w:val="21"/>
                      <w:szCs w:val="21"/>
                      <w:highlight w:val="none"/>
                      <w:u w:val="none" w:color="auto"/>
                      <w:lang w:eastAsia="zh-CN"/>
                    </w:rPr>
                    <w:t>”</w:t>
                  </w:r>
                  <w:r>
                    <w:rPr>
                      <w:rFonts w:hint="default" w:ascii="Times New Roman" w:hAnsi="Times New Roman" w:eastAsia="宋体" w:cs="Times New Roman"/>
                      <w:bCs/>
                      <w:color w:val="auto"/>
                      <w:kern w:val="0"/>
                      <w:sz w:val="21"/>
                      <w:szCs w:val="21"/>
                      <w:highlight w:val="none"/>
                      <w:u w:val="none" w:color="auto"/>
                    </w:rPr>
                    <w:t>要求，</w:t>
                  </w:r>
                  <w:r>
                    <w:rPr>
                      <w:rFonts w:hint="default" w:ascii="Times New Roman" w:hAnsi="Times New Roman" w:eastAsia="宋体" w:cs="Times New Roman"/>
                      <w:color w:val="auto"/>
                      <w:sz w:val="21"/>
                      <w:szCs w:val="21"/>
                      <w:highlight w:val="none"/>
                      <w:u w:val="none" w:color="auto"/>
                    </w:rPr>
                    <w:t>加强施工围挡、车辆冲洗、湿法作业、密闭运输、地面硬化、物料覆盖等精细化管理</w:t>
                  </w:r>
                  <w:r>
                    <w:rPr>
                      <w:rFonts w:hint="default" w:ascii="Times New Roman" w:hAnsi="Times New Roman" w:eastAsia="宋体" w:cs="Times New Roman"/>
                      <w:bCs/>
                      <w:color w:val="auto"/>
                      <w:kern w:val="0"/>
                      <w:sz w:val="21"/>
                      <w:szCs w:val="21"/>
                      <w:highlight w:val="none"/>
                      <w:u w:val="none" w:color="auto"/>
                    </w:rPr>
                    <w:t>。</w:t>
                  </w:r>
                </w:p>
              </w:tc>
              <w:tc>
                <w:tcPr>
                  <w:tcW w:w="456" w:type="pct"/>
                  <w:tcBorders>
                    <w:top w:val="single" w:color="auto" w:sz="4" w:space="0"/>
                    <w:left w:val="single" w:color="auto" w:sz="4" w:space="0"/>
                    <w:bottom w:val="single" w:color="auto" w:sz="4" w:space="0"/>
                    <w:right w:val="single" w:color="auto" w:sz="6" w:space="0"/>
                  </w:tcBorders>
                  <w:noWrap w:val="0"/>
                  <w:vAlign w:val="center"/>
                </w:tcPr>
                <w:p w14:paraId="45D0541B">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u w:val="none" w:color="auto"/>
                    </w:rPr>
                  </w:pPr>
                  <w:r>
                    <w:rPr>
                      <w:rStyle w:val="173"/>
                      <w:rFonts w:hint="default" w:ascii="Times New Roman" w:hAnsi="Times New Roman" w:eastAsia="宋体" w:cs="Times New Roman"/>
                      <w:color w:val="auto"/>
                      <w:sz w:val="21"/>
                      <w:szCs w:val="21"/>
                      <w:highlight w:val="none"/>
                      <w:u w:val="none" w:color="auto"/>
                    </w:rPr>
                    <w:t>相符</w:t>
                  </w:r>
                </w:p>
              </w:tc>
            </w:tr>
          </w:tbl>
          <w:p w14:paraId="6BD518FF">
            <w:pPr>
              <w:pStyle w:val="129"/>
              <w:keepNext w:val="0"/>
              <w:keepLines w:val="0"/>
              <w:pageBreakBefore w:val="0"/>
              <w:widowControl w:val="0"/>
              <w:kinsoku/>
              <w:wordWrap/>
              <w:overflowPunct/>
              <w:topLinePunct w:val="0"/>
              <w:autoSpaceDE/>
              <w:autoSpaceDN/>
              <w:bidi w:val="0"/>
              <w:adjustRightInd w:val="0"/>
              <w:snapToGrid w:val="0"/>
              <w:ind w:firstLine="480" w:firstLineChars="200"/>
              <w:rPr>
                <w:rFonts w:hint="default" w:ascii="Times New Roman" w:hAnsi="Times New Roman" w:cs="Times New Roman"/>
                <w:color w:val="auto"/>
                <w:szCs w:val="24"/>
                <w:highlight w:val="none"/>
                <w:u w:val="none" w:color="auto"/>
              </w:rPr>
            </w:pPr>
            <w:r>
              <w:rPr>
                <w:rFonts w:hint="default" w:ascii="Times New Roman" w:hAnsi="Times New Roman" w:cs="Times New Roman"/>
                <w:color w:val="auto"/>
                <w:szCs w:val="24"/>
                <w:highlight w:val="none"/>
                <w:u w:val="none" w:color="auto"/>
              </w:rPr>
              <w:t>由上表分析可知，项目建设符合《河南省人民政府关于印发河南省空气质量持续改善行动计划》（豫政〔2024〕12号）中相关要求。</w:t>
            </w:r>
          </w:p>
          <w:p w14:paraId="5F540C6E">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2" w:firstLineChars="200"/>
              <w:rPr>
                <w:rFonts w:hint="default" w:ascii="Times New Roman" w:hAnsi="Times New Roman" w:cs="Times New Roman"/>
                <w:b/>
                <w:color w:val="auto"/>
                <w:sz w:val="24"/>
                <w:szCs w:val="24"/>
                <w:highlight w:val="none"/>
                <w:u w:val="none" w:color="auto"/>
              </w:rPr>
            </w:pPr>
            <w:r>
              <w:rPr>
                <w:rFonts w:hint="eastAsia" w:ascii="Times New Roman" w:hAnsi="Times New Roman" w:cs="Times New Roman"/>
                <w:b/>
                <w:color w:val="auto"/>
                <w:sz w:val="24"/>
                <w:szCs w:val="24"/>
                <w:highlight w:val="none"/>
                <w:u w:val="none" w:color="auto"/>
                <w:lang w:val="en-US" w:eastAsia="zh-CN"/>
              </w:rPr>
              <w:t>3.</w:t>
            </w:r>
            <w:r>
              <w:rPr>
                <w:rFonts w:hint="eastAsia" w:cs="Times New Roman"/>
                <w:b/>
                <w:color w:val="auto"/>
                <w:sz w:val="24"/>
                <w:szCs w:val="24"/>
                <w:highlight w:val="none"/>
                <w:u w:val="none" w:color="auto"/>
                <w:lang w:val="en-US" w:eastAsia="zh-CN"/>
              </w:rPr>
              <w:t>5</w:t>
            </w:r>
            <w:r>
              <w:rPr>
                <w:rFonts w:hint="default" w:ascii="Times New Roman" w:hAnsi="Times New Roman" w:cs="Times New Roman"/>
                <w:b/>
                <w:color w:val="auto"/>
                <w:sz w:val="24"/>
                <w:szCs w:val="24"/>
                <w:highlight w:val="none"/>
                <w:u w:val="none" w:color="auto"/>
              </w:rPr>
              <w:t xml:space="preserve">、项目与《南阳市人民政府办公室关于印发南阳市环境空气质量限期达标行动实施方案（2024—2025年）的通知》（宛政办〔2024〕3号）的相符性分析 </w:t>
            </w:r>
          </w:p>
          <w:p w14:paraId="09A7A3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highlight w:val="none"/>
                <w:u w:val="none" w:color="auto"/>
              </w:rPr>
            </w:pPr>
            <w:r>
              <w:rPr>
                <w:rFonts w:hint="default" w:ascii="Times New Roman" w:hAnsi="Times New Roman" w:eastAsia="宋体" w:cs="Times New Roman"/>
                <w:b/>
                <w:bCs/>
                <w:color w:val="auto"/>
                <w:sz w:val="24"/>
                <w:highlight w:val="none"/>
                <w:u w:val="none" w:color="auto"/>
              </w:rPr>
              <w:t>表1-</w:t>
            </w:r>
            <w:r>
              <w:rPr>
                <w:rFonts w:hint="eastAsia" w:ascii="Times New Roman" w:hAnsi="Times New Roman" w:eastAsia="宋体" w:cs="Times New Roman"/>
                <w:b/>
                <w:bCs/>
                <w:color w:val="auto"/>
                <w:sz w:val="24"/>
                <w:highlight w:val="none"/>
                <w:u w:val="none" w:color="auto"/>
                <w:lang w:val="en-US" w:eastAsia="zh-CN"/>
              </w:rPr>
              <w:t>5</w:t>
            </w:r>
            <w:r>
              <w:rPr>
                <w:rFonts w:hint="default" w:ascii="Times New Roman" w:hAnsi="Times New Roman" w:eastAsia="宋体" w:cs="Times New Roman"/>
                <w:b/>
                <w:bCs/>
                <w:color w:val="auto"/>
                <w:sz w:val="24"/>
                <w:highlight w:val="none"/>
                <w:u w:val="none" w:color="auto"/>
                <w:lang w:val="en-US" w:eastAsia="zh-CN"/>
              </w:rPr>
              <w:t xml:space="preserve">    </w:t>
            </w:r>
            <w:r>
              <w:rPr>
                <w:rFonts w:hint="default" w:ascii="Times New Roman" w:hAnsi="Times New Roman" w:eastAsia="宋体" w:cs="Times New Roman"/>
                <w:b/>
                <w:bCs/>
                <w:color w:val="auto"/>
                <w:sz w:val="24"/>
                <w:highlight w:val="none"/>
                <w:u w:val="none" w:color="auto"/>
              </w:rPr>
              <w:t>项目与</w:t>
            </w:r>
            <w:r>
              <w:rPr>
                <w:rFonts w:hint="default" w:ascii="Times New Roman" w:hAnsi="Times New Roman" w:eastAsia="宋体" w:cs="Times New Roman"/>
                <w:b/>
                <w:bCs/>
                <w:color w:val="auto"/>
                <w:sz w:val="24"/>
                <w:highlight w:val="none"/>
                <w:u w:val="none" w:color="auto"/>
                <w:lang w:eastAsia="zh-CN"/>
              </w:rPr>
              <w:t>《</w:t>
            </w:r>
            <w:r>
              <w:rPr>
                <w:rFonts w:hint="default" w:ascii="Times New Roman" w:hAnsi="Times New Roman" w:eastAsia="宋体" w:cs="Times New Roman"/>
                <w:b/>
                <w:bCs/>
                <w:color w:val="auto"/>
                <w:sz w:val="24"/>
                <w:highlight w:val="none"/>
                <w:u w:val="none" w:color="auto"/>
              </w:rPr>
              <w:t>南阳市人民政府办公室关于印发南阳市环境空气质量限期达标行动实施方案（2024—2025年）的通知》（宛政办〔2024〕3号）相符性分析比对表</w:t>
            </w:r>
          </w:p>
          <w:tbl>
            <w:tblPr>
              <w:tblStyle w:val="35"/>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 w:type="dxa"/>
                <w:bottom w:w="0" w:type="dxa"/>
                <w:right w:w="10" w:type="dxa"/>
              </w:tblCellMar>
            </w:tblPr>
            <w:tblGrid>
              <w:gridCol w:w="745"/>
              <w:gridCol w:w="3334"/>
              <w:gridCol w:w="2543"/>
              <w:gridCol w:w="667"/>
            </w:tblGrid>
            <w:tr w14:paraId="5BB8A3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2798" w:type="pct"/>
                  <w:gridSpan w:val="2"/>
                  <w:tcBorders>
                    <w:top w:val="single" w:color="auto" w:sz="6" w:space="0"/>
                    <w:left w:val="single" w:color="auto" w:sz="6" w:space="0"/>
                    <w:bottom w:val="single" w:color="auto" w:sz="4" w:space="0"/>
                    <w:right w:val="single" w:color="auto" w:sz="4" w:space="0"/>
                  </w:tcBorders>
                  <w:noWrap w:val="0"/>
                  <w:vAlign w:val="center"/>
                </w:tcPr>
                <w:p w14:paraId="407DC2ED">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u w:val="none" w:color="auto"/>
                    </w:rPr>
                  </w:pPr>
                  <w:r>
                    <w:rPr>
                      <w:rStyle w:val="173"/>
                      <w:rFonts w:hint="default" w:ascii="Times New Roman" w:hAnsi="Times New Roman" w:eastAsia="宋体" w:cs="Times New Roman"/>
                      <w:color w:val="auto"/>
                      <w:sz w:val="21"/>
                      <w:szCs w:val="21"/>
                      <w:highlight w:val="none"/>
                      <w:u w:val="none" w:color="auto"/>
                    </w:rPr>
                    <w:t>要求</w:t>
                  </w:r>
                </w:p>
              </w:tc>
              <w:tc>
                <w:tcPr>
                  <w:tcW w:w="1744" w:type="pct"/>
                  <w:tcBorders>
                    <w:top w:val="single" w:color="auto" w:sz="6" w:space="0"/>
                    <w:left w:val="single" w:color="auto" w:sz="4" w:space="0"/>
                    <w:bottom w:val="single" w:color="auto" w:sz="4" w:space="0"/>
                    <w:right w:val="single" w:color="auto" w:sz="4" w:space="0"/>
                  </w:tcBorders>
                  <w:noWrap w:val="0"/>
                  <w:vAlign w:val="center"/>
                </w:tcPr>
                <w:p w14:paraId="68F92E74">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u w:val="none" w:color="auto"/>
                    </w:rPr>
                  </w:pPr>
                  <w:r>
                    <w:rPr>
                      <w:rStyle w:val="173"/>
                      <w:rFonts w:hint="default" w:ascii="Times New Roman" w:hAnsi="Times New Roman" w:eastAsia="宋体" w:cs="Times New Roman"/>
                      <w:color w:val="auto"/>
                      <w:sz w:val="21"/>
                      <w:szCs w:val="21"/>
                      <w:highlight w:val="none"/>
                      <w:u w:val="none" w:color="auto"/>
                    </w:rPr>
                    <w:t>本项目情况</w:t>
                  </w:r>
                </w:p>
              </w:tc>
              <w:tc>
                <w:tcPr>
                  <w:tcW w:w="457" w:type="pct"/>
                  <w:tcBorders>
                    <w:top w:val="single" w:color="auto" w:sz="6" w:space="0"/>
                    <w:left w:val="single" w:color="auto" w:sz="4" w:space="0"/>
                    <w:bottom w:val="single" w:color="auto" w:sz="4" w:space="0"/>
                    <w:right w:val="single" w:color="auto" w:sz="6" w:space="0"/>
                  </w:tcBorders>
                  <w:noWrap w:val="0"/>
                  <w:vAlign w:val="center"/>
                </w:tcPr>
                <w:p w14:paraId="5ABEBE39">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u w:val="none" w:color="auto"/>
                    </w:rPr>
                  </w:pPr>
                  <w:r>
                    <w:rPr>
                      <w:rStyle w:val="173"/>
                      <w:rFonts w:hint="default" w:ascii="Times New Roman" w:hAnsi="Times New Roman" w:eastAsia="宋体" w:cs="Times New Roman"/>
                      <w:color w:val="auto"/>
                      <w:sz w:val="21"/>
                      <w:szCs w:val="21"/>
                      <w:highlight w:val="none"/>
                      <w:u w:val="none" w:color="auto"/>
                    </w:rPr>
                    <w:t>相符性</w:t>
                  </w:r>
                </w:p>
              </w:tc>
            </w:tr>
            <w:tr w14:paraId="0D12EB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1" w:type="pct"/>
                  <w:tcBorders>
                    <w:top w:val="single" w:color="auto" w:sz="4" w:space="0"/>
                    <w:left w:val="single" w:color="auto" w:sz="6" w:space="0"/>
                    <w:right w:val="single" w:color="auto" w:sz="4" w:space="0"/>
                  </w:tcBorders>
                  <w:noWrap w:val="0"/>
                  <w:vAlign w:val="center"/>
                </w:tcPr>
                <w:p w14:paraId="74C83725">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（一）持续推进产业结构优化调整</w:t>
                  </w:r>
                </w:p>
              </w:tc>
              <w:tc>
                <w:tcPr>
                  <w:tcW w:w="2286" w:type="pct"/>
                  <w:tcBorders>
                    <w:top w:val="single" w:color="auto" w:sz="4" w:space="0"/>
                    <w:left w:val="single" w:color="auto" w:sz="4" w:space="0"/>
                    <w:bottom w:val="single" w:color="auto" w:sz="4" w:space="0"/>
                    <w:right w:val="single" w:color="auto" w:sz="4" w:space="0"/>
                  </w:tcBorders>
                  <w:noWrap w:val="0"/>
                  <w:vAlign w:val="center"/>
                </w:tcPr>
                <w:p w14:paraId="3B59FB0A">
                  <w:pPr>
                    <w:keepNext w:val="0"/>
                    <w:keepLines w:val="0"/>
                    <w:pageBreakBefore w:val="0"/>
                    <w:widowControl/>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2.坚决遏制两高项目盲目发展。严格落实国家和省、市产业规划、产业政策、</w:t>
                  </w:r>
                  <w:r>
                    <w:rPr>
                      <w:rFonts w:hint="eastAsia"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三线一单</w:t>
                  </w:r>
                  <w:r>
                    <w:rPr>
                      <w:rFonts w:hint="eastAsia"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、规划环评，以及产能置换、煤炭消费减量替代、区域污染物削减等要求，严把高耗能、高排放、低水平项目准入关口。</w:t>
                  </w:r>
                </w:p>
              </w:tc>
              <w:tc>
                <w:tcPr>
                  <w:tcW w:w="1744" w:type="pct"/>
                  <w:tcBorders>
                    <w:top w:val="single" w:color="auto" w:sz="4" w:space="0"/>
                    <w:left w:val="single" w:color="auto" w:sz="4" w:space="0"/>
                    <w:bottom w:val="single" w:color="auto" w:sz="4" w:space="0"/>
                    <w:right w:val="single" w:color="auto" w:sz="4" w:space="0"/>
                  </w:tcBorders>
                  <w:noWrap w:val="0"/>
                  <w:vAlign w:val="center"/>
                </w:tcPr>
                <w:p w14:paraId="2666251D">
                  <w:pPr>
                    <w:keepNext w:val="0"/>
                    <w:keepLines w:val="0"/>
                    <w:pageBreakBefore w:val="0"/>
                    <w:widowControl/>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default" w:ascii="Times New Roman" w:hAnsi="Times New Roman" w:eastAsia="宋体" w:cs="Times New Roman"/>
                      <w:bCs/>
                      <w:color w:val="auto"/>
                      <w:kern w:val="0"/>
                      <w:sz w:val="21"/>
                      <w:szCs w:val="21"/>
                      <w:highlight w:val="none"/>
                      <w:u w:val="none" w:color="auto"/>
                    </w:rPr>
                    <w:t>本项目属于</w:t>
                  </w:r>
                  <w:r>
                    <w:rPr>
                      <w:rFonts w:hint="default" w:ascii="Times New Roman" w:hAnsi="Times New Roman" w:eastAsia="宋体" w:cs="Times New Roman"/>
                      <w:bCs/>
                      <w:color w:val="auto"/>
                      <w:kern w:val="0"/>
                      <w:sz w:val="21"/>
                      <w:szCs w:val="21"/>
                      <w:highlight w:val="none"/>
                      <w:u w:val="none" w:color="auto"/>
                      <w:lang w:val="en-US" w:eastAsia="zh-CN"/>
                    </w:rPr>
                    <w:t>社会事业与服务业</w:t>
                  </w:r>
                  <w:r>
                    <w:rPr>
                      <w:rFonts w:hint="default" w:ascii="Times New Roman" w:hAnsi="Times New Roman" w:eastAsia="宋体" w:cs="Times New Roman"/>
                      <w:bCs/>
                      <w:color w:val="auto"/>
                      <w:kern w:val="0"/>
                      <w:sz w:val="21"/>
                      <w:szCs w:val="21"/>
                      <w:highlight w:val="none"/>
                      <w:u w:val="none" w:color="auto"/>
                    </w:rPr>
                    <w:t>，项目不属于</w:t>
                  </w:r>
                  <w:r>
                    <w:rPr>
                      <w:rFonts w:hint="eastAsia" w:ascii="Times New Roman" w:hAnsi="Times New Roman" w:eastAsia="宋体" w:cs="Times New Roman"/>
                      <w:bCs/>
                      <w:color w:val="auto"/>
                      <w:kern w:val="0"/>
                      <w:sz w:val="21"/>
                      <w:szCs w:val="21"/>
                      <w:highlight w:val="none"/>
                      <w:u w:val="none" w:color="auto"/>
                      <w:lang w:eastAsia="zh-CN"/>
                    </w:rPr>
                    <w:t>“</w:t>
                  </w:r>
                  <w:r>
                    <w:rPr>
                      <w:rFonts w:hint="default" w:ascii="Times New Roman" w:hAnsi="Times New Roman" w:eastAsia="宋体" w:cs="Times New Roman"/>
                      <w:bCs/>
                      <w:color w:val="auto"/>
                      <w:kern w:val="0"/>
                      <w:sz w:val="21"/>
                      <w:szCs w:val="21"/>
                      <w:highlight w:val="none"/>
                      <w:u w:val="none" w:color="auto"/>
                    </w:rPr>
                    <w:t>两高</w:t>
                  </w:r>
                  <w:r>
                    <w:rPr>
                      <w:rFonts w:hint="eastAsia" w:ascii="Times New Roman" w:hAnsi="Times New Roman" w:eastAsia="宋体" w:cs="Times New Roman"/>
                      <w:bCs/>
                      <w:color w:val="auto"/>
                      <w:kern w:val="0"/>
                      <w:sz w:val="21"/>
                      <w:szCs w:val="21"/>
                      <w:highlight w:val="none"/>
                      <w:u w:val="none" w:color="auto"/>
                      <w:lang w:eastAsia="zh-CN"/>
                    </w:rPr>
                    <w:t>”</w:t>
                  </w:r>
                  <w:r>
                    <w:rPr>
                      <w:rFonts w:hint="default" w:ascii="Times New Roman" w:hAnsi="Times New Roman" w:eastAsia="宋体" w:cs="Times New Roman"/>
                      <w:bCs/>
                      <w:color w:val="auto"/>
                      <w:kern w:val="0"/>
                      <w:sz w:val="21"/>
                      <w:szCs w:val="21"/>
                      <w:highlight w:val="none"/>
                      <w:u w:val="none" w:color="auto"/>
                    </w:rPr>
                    <w:t>项目；项目不属于新增钢铁产能，符合区域</w:t>
                  </w:r>
                  <w:r>
                    <w:rPr>
                      <w:rFonts w:hint="eastAsia" w:ascii="Times New Roman" w:hAnsi="Times New Roman" w:eastAsia="宋体" w:cs="Times New Roman"/>
                      <w:bCs/>
                      <w:color w:val="auto"/>
                      <w:kern w:val="0"/>
                      <w:sz w:val="21"/>
                      <w:szCs w:val="21"/>
                      <w:highlight w:val="none"/>
                      <w:u w:val="none" w:color="auto"/>
                      <w:lang w:eastAsia="zh-CN"/>
                    </w:rPr>
                    <w:t>“</w:t>
                  </w:r>
                  <w:r>
                    <w:rPr>
                      <w:rFonts w:hint="default" w:ascii="Times New Roman" w:hAnsi="Times New Roman" w:eastAsia="宋体" w:cs="Times New Roman"/>
                      <w:bCs/>
                      <w:color w:val="auto"/>
                      <w:kern w:val="0"/>
                      <w:sz w:val="21"/>
                      <w:szCs w:val="21"/>
                      <w:highlight w:val="none"/>
                      <w:u w:val="none" w:color="auto"/>
                    </w:rPr>
                    <w:t>三线一单</w:t>
                  </w:r>
                  <w:r>
                    <w:rPr>
                      <w:rFonts w:hint="eastAsia" w:ascii="Times New Roman" w:hAnsi="Times New Roman" w:eastAsia="宋体" w:cs="Times New Roman"/>
                      <w:bCs/>
                      <w:color w:val="auto"/>
                      <w:kern w:val="0"/>
                      <w:sz w:val="21"/>
                      <w:szCs w:val="21"/>
                      <w:highlight w:val="none"/>
                      <w:u w:val="none" w:color="auto"/>
                      <w:lang w:eastAsia="zh-CN"/>
                    </w:rPr>
                    <w:t>”</w:t>
                  </w:r>
                  <w:r>
                    <w:rPr>
                      <w:rFonts w:hint="default" w:ascii="Times New Roman" w:hAnsi="Times New Roman" w:eastAsia="宋体" w:cs="Times New Roman"/>
                      <w:bCs/>
                      <w:color w:val="auto"/>
                      <w:kern w:val="0"/>
                      <w:sz w:val="21"/>
                      <w:szCs w:val="21"/>
                      <w:highlight w:val="none"/>
                      <w:u w:val="none" w:color="auto"/>
                    </w:rPr>
                    <w:t>管控要求</w:t>
                  </w:r>
                  <w:r>
                    <w:rPr>
                      <w:rFonts w:hint="default" w:ascii="Times New Roman" w:hAnsi="Times New Roman" w:eastAsia="宋体" w:cs="Times New Roman"/>
                      <w:bCs/>
                      <w:color w:val="auto"/>
                      <w:kern w:val="0"/>
                      <w:sz w:val="21"/>
                      <w:szCs w:val="21"/>
                      <w:highlight w:val="none"/>
                      <w:u w:val="none" w:color="auto"/>
                      <w:lang w:eastAsia="zh-CN"/>
                    </w:rPr>
                    <w:t>，</w:t>
                  </w:r>
                  <w:r>
                    <w:rPr>
                      <w:rFonts w:hint="default" w:ascii="Times New Roman" w:hAnsi="Times New Roman" w:eastAsia="宋体" w:cs="Times New Roman"/>
                      <w:bCs/>
                      <w:color w:val="auto"/>
                      <w:kern w:val="0"/>
                      <w:sz w:val="21"/>
                      <w:szCs w:val="21"/>
                      <w:highlight w:val="none"/>
                      <w:u w:val="none" w:color="auto"/>
                      <w:lang w:val="en-US" w:eastAsia="zh-CN"/>
                    </w:rPr>
                    <w:t>符合规划环评要求。</w:t>
                  </w:r>
                </w:p>
              </w:tc>
              <w:tc>
                <w:tcPr>
                  <w:tcW w:w="457" w:type="pct"/>
                  <w:tcBorders>
                    <w:top w:val="single" w:color="auto" w:sz="4" w:space="0"/>
                    <w:left w:val="single" w:color="auto" w:sz="4" w:space="0"/>
                    <w:bottom w:val="single" w:color="auto" w:sz="4" w:space="0"/>
                    <w:right w:val="single" w:color="auto" w:sz="6" w:space="0"/>
                  </w:tcBorders>
                  <w:noWrap w:val="0"/>
                  <w:vAlign w:val="center"/>
                </w:tcPr>
                <w:p w14:paraId="6956F4F4">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u w:val="none" w:color="auto"/>
                    </w:rPr>
                  </w:pPr>
                  <w:r>
                    <w:rPr>
                      <w:rStyle w:val="173"/>
                      <w:rFonts w:hint="default" w:ascii="Times New Roman" w:hAnsi="Times New Roman" w:eastAsia="宋体" w:cs="Times New Roman"/>
                      <w:color w:val="auto"/>
                      <w:sz w:val="21"/>
                      <w:szCs w:val="21"/>
                      <w:highlight w:val="none"/>
                      <w:u w:val="none" w:color="auto"/>
                    </w:rPr>
                    <w:t>相符</w:t>
                  </w:r>
                </w:p>
              </w:tc>
            </w:tr>
            <w:tr w14:paraId="0F0E2F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1" w:type="pct"/>
                  <w:vMerge w:val="restart"/>
                  <w:tcBorders>
                    <w:top w:val="single" w:color="auto" w:sz="4" w:space="0"/>
                    <w:left w:val="single" w:color="auto" w:sz="6" w:space="0"/>
                    <w:right w:val="single" w:color="auto" w:sz="4" w:space="0"/>
                  </w:tcBorders>
                  <w:noWrap w:val="0"/>
                  <w:vAlign w:val="center"/>
                </w:tcPr>
                <w:p w14:paraId="36BC8F7C">
                  <w:pPr>
                    <w:keepNext w:val="0"/>
                    <w:keepLines w:val="0"/>
                    <w:pageBreakBefore w:val="0"/>
                    <w:widowControl/>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（二）深入推进能源结构优化调整</w:t>
                  </w:r>
                </w:p>
              </w:tc>
              <w:tc>
                <w:tcPr>
                  <w:tcW w:w="2286" w:type="pct"/>
                  <w:tcBorders>
                    <w:top w:val="single" w:color="auto" w:sz="4" w:space="0"/>
                    <w:left w:val="single" w:color="auto" w:sz="4" w:space="0"/>
                    <w:bottom w:val="single" w:color="auto" w:sz="4" w:space="0"/>
                    <w:right w:val="single" w:color="auto" w:sz="4" w:space="0"/>
                  </w:tcBorders>
                  <w:noWrap w:val="0"/>
                  <w:vAlign w:val="center"/>
                </w:tcPr>
                <w:p w14:paraId="51719F7C">
                  <w:pPr>
                    <w:keepNext w:val="0"/>
                    <w:keepLines w:val="0"/>
                    <w:pageBreakBefore w:val="0"/>
                    <w:widowControl/>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5.大力发展清洁能源。加快非化石能源发展，以光伏发电、风电为重点，以生物质、抽水蓄能、地热能、氢能等为补充，因地制宜推动可再生能源多元化、协同化发展。优先支持</w:t>
                  </w:r>
                  <w:r>
                    <w:rPr>
                      <w:rFonts w:hint="eastAsia"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源网荷储一体化</w:t>
                  </w:r>
                  <w:r>
                    <w:rPr>
                      <w:rFonts w:hint="eastAsia"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风电＋高比例储能</w:t>
                  </w:r>
                  <w:r>
                    <w:rPr>
                      <w:rFonts w:hint="eastAsia"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光伏＋高比例储能</w:t>
                  </w:r>
                  <w:r>
                    <w:rPr>
                      <w:rFonts w:hint="eastAsia"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风光火储一体化</w:t>
                  </w:r>
                  <w:r>
                    <w:rPr>
                      <w:rFonts w:hint="eastAsia"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等项目建设，到2025年，风电装机容量达到260万千瓦以上，光伏发电装机容量达到430万千瓦以上，全市可再生能源发电装机容量达到850万千瓦以上，新能源发电全部市内自用，不外输。</w:t>
                  </w:r>
                </w:p>
              </w:tc>
              <w:tc>
                <w:tcPr>
                  <w:tcW w:w="1744" w:type="pct"/>
                  <w:tcBorders>
                    <w:top w:val="single" w:color="auto" w:sz="4" w:space="0"/>
                    <w:left w:val="single" w:color="auto" w:sz="4" w:space="0"/>
                    <w:bottom w:val="single" w:color="auto" w:sz="4" w:space="0"/>
                    <w:right w:val="single" w:color="auto" w:sz="4" w:space="0"/>
                  </w:tcBorders>
                  <w:noWrap w:val="0"/>
                  <w:vAlign w:val="center"/>
                </w:tcPr>
                <w:p w14:paraId="2EFEB519">
                  <w:pPr>
                    <w:keepNext w:val="0"/>
                    <w:keepLines w:val="0"/>
                    <w:pageBreakBefore w:val="0"/>
                    <w:widowControl/>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本项目使用电，电</w:t>
                  </w:r>
                  <w:r>
                    <w:rPr>
                      <w:rFonts w:hint="eastAsia" w:cs="Times New Roman"/>
                      <w:color w:val="auto"/>
                      <w:sz w:val="21"/>
                      <w:szCs w:val="21"/>
                      <w:highlight w:val="none"/>
                      <w:u w:val="none" w:color="auto"/>
                      <w:lang w:val="en-US" w:eastAsia="zh-CN"/>
                    </w:rPr>
                    <w:t>能</w:t>
                  </w:r>
                  <w:r>
                    <w:rPr>
                      <w:rFonts w:hint="default" w:ascii="Times New Roman" w:hAnsi="Times New Roman" w:eastAsia="宋体" w:cs="Times New Roman"/>
                      <w:color w:val="auto"/>
                      <w:sz w:val="21"/>
                      <w:szCs w:val="21"/>
                      <w:highlight w:val="none"/>
                      <w:u w:val="none" w:color="auto"/>
                    </w:rPr>
                    <w:t>为清洁能源。</w:t>
                  </w:r>
                </w:p>
              </w:tc>
              <w:tc>
                <w:tcPr>
                  <w:tcW w:w="457" w:type="pct"/>
                  <w:tcBorders>
                    <w:top w:val="single" w:color="auto" w:sz="4" w:space="0"/>
                    <w:left w:val="single" w:color="auto" w:sz="4" w:space="0"/>
                    <w:bottom w:val="single" w:color="auto" w:sz="4" w:space="0"/>
                    <w:right w:val="single" w:color="auto" w:sz="6" w:space="0"/>
                  </w:tcBorders>
                  <w:noWrap w:val="0"/>
                  <w:vAlign w:val="center"/>
                </w:tcPr>
                <w:p w14:paraId="5C7C2C7A">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u w:val="none" w:color="auto"/>
                    </w:rPr>
                  </w:pPr>
                  <w:r>
                    <w:rPr>
                      <w:rStyle w:val="173"/>
                      <w:rFonts w:hint="default" w:ascii="Times New Roman" w:hAnsi="Times New Roman" w:eastAsia="宋体" w:cs="Times New Roman"/>
                      <w:color w:val="auto"/>
                      <w:sz w:val="21"/>
                      <w:szCs w:val="21"/>
                      <w:highlight w:val="none"/>
                      <w:u w:val="none" w:color="auto"/>
                    </w:rPr>
                    <w:t>相符</w:t>
                  </w:r>
                </w:p>
              </w:tc>
            </w:tr>
            <w:tr w14:paraId="77675E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1" w:type="pct"/>
                  <w:vMerge w:val="continue"/>
                  <w:tcBorders>
                    <w:left w:val="single" w:color="auto" w:sz="6" w:space="0"/>
                    <w:bottom w:val="single" w:color="auto" w:sz="4" w:space="0"/>
                    <w:right w:val="single" w:color="auto" w:sz="4" w:space="0"/>
                  </w:tcBorders>
                  <w:noWrap w:val="0"/>
                  <w:vAlign w:val="center"/>
                </w:tcPr>
                <w:p w14:paraId="2E17749E">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2286" w:type="pct"/>
                  <w:tcBorders>
                    <w:top w:val="single" w:color="auto" w:sz="4" w:space="0"/>
                    <w:left w:val="single" w:color="auto" w:sz="4" w:space="0"/>
                    <w:bottom w:val="single" w:color="auto" w:sz="4" w:space="0"/>
                    <w:right w:val="single" w:color="auto" w:sz="4" w:space="0"/>
                  </w:tcBorders>
                  <w:noWrap w:val="0"/>
                  <w:vAlign w:val="center"/>
                </w:tcPr>
                <w:p w14:paraId="7A91F331">
                  <w:pPr>
                    <w:keepNext w:val="0"/>
                    <w:keepLines w:val="0"/>
                    <w:pageBreakBefore w:val="0"/>
                    <w:widowControl w:val="0"/>
                    <w:kinsoku/>
                    <w:wordWrap/>
                    <w:overflowPunct/>
                    <w:topLinePunct w:val="0"/>
                    <w:autoSpaceDE/>
                    <w:autoSpaceDN/>
                    <w:bidi w:val="0"/>
                    <w:adjustRightInd/>
                    <w:snapToGrid w:val="0"/>
                    <w:ind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7.加快推进工业炉窑清洁能源替代。大力推进电能替代煤炭，稳妥推进以气代煤。2024年年底前，全市分散建设的燃料类煤气发生炉完成清洁能源替代，或者园区（集群）集中供气、分散使用。到2025年，现有使用高污染燃料的加热炉、热处理炉、干燥炉、熔化炉等工业炉窑改用清洁低碳能源。</w:t>
                  </w:r>
                </w:p>
              </w:tc>
              <w:tc>
                <w:tcPr>
                  <w:tcW w:w="1744" w:type="pct"/>
                  <w:tcBorders>
                    <w:top w:val="single" w:color="auto" w:sz="4" w:space="0"/>
                    <w:left w:val="single" w:color="auto" w:sz="4" w:space="0"/>
                    <w:bottom w:val="single" w:color="auto" w:sz="4" w:space="0"/>
                    <w:right w:val="single" w:color="auto" w:sz="4" w:space="0"/>
                  </w:tcBorders>
                  <w:noWrap w:val="0"/>
                  <w:vAlign w:val="center"/>
                </w:tcPr>
                <w:p w14:paraId="60EEA972">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本项目不涉及工业炉窑</w:t>
                  </w:r>
                </w:p>
              </w:tc>
              <w:tc>
                <w:tcPr>
                  <w:tcW w:w="457" w:type="pct"/>
                  <w:tcBorders>
                    <w:top w:val="single" w:color="auto" w:sz="4" w:space="0"/>
                    <w:left w:val="single" w:color="auto" w:sz="4" w:space="0"/>
                    <w:bottom w:val="single" w:color="auto" w:sz="4" w:space="0"/>
                    <w:right w:val="single" w:color="auto" w:sz="6" w:space="0"/>
                  </w:tcBorders>
                  <w:noWrap w:val="0"/>
                  <w:vAlign w:val="center"/>
                </w:tcPr>
                <w:p w14:paraId="31C87D3C">
                  <w:pPr>
                    <w:keepNext w:val="0"/>
                    <w:keepLines w:val="0"/>
                    <w:pageBreakBefore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u w:val="none" w:color="auto"/>
                    </w:rPr>
                  </w:pPr>
                  <w:r>
                    <w:rPr>
                      <w:rStyle w:val="173"/>
                      <w:rFonts w:hint="default" w:ascii="Times New Roman" w:hAnsi="Times New Roman" w:eastAsia="宋体" w:cs="Times New Roman"/>
                      <w:color w:val="auto"/>
                      <w:sz w:val="21"/>
                      <w:szCs w:val="21"/>
                      <w:highlight w:val="none"/>
                      <w:u w:val="none" w:color="auto"/>
                    </w:rPr>
                    <w:t>相符</w:t>
                  </w:r>
                </w:p>
              </w:tc>
            </w:tr>
          </w:tbl>
          <w:p w14:paraId="0A7BE18B">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由上表分析可知，项目建设符合《南阳市人民政府办公室关于印发南阳市环境空气质量限期达标行动实施方案（2024—2025年）的通知》（宛政办〔2024〕3号）中相关要求。</w:t>
            </w:r>
          </w:p>
          <w:p w14:paraId="1845AD1F">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firstLine="482" w:firstLineChars="200"/>
              <w:textAlignment w:val="auto"/>
              <w:rPr>
                <w:rFonts w:hint="eastAsia" w:cs="Times New Roman"/>
                <w:b/>
                <w:bCs/>
                <w:color w:val="auto"/>
                <w:sz w:val="24"/>
                <w:szCs w:val="24"/>
                <w:highlight w:val="none"/>
                <w:u w:val="none" w:color="auto"/>
                <w:lang w:val="en-US" w:eastAsia="zh-CN"/>
              </w:rPr>
            </w:pPr>
            <w:r>
              <w:rPr>
                <w:rFonts w:hint="eastAsia" w:cs="Times New Roman"/>
                <w:b/>
                <w:bCs/>
                <w:color w:val="auto"/>
                <w:kern w:val="2"/>
                <w:sz w:val="24"/>
                <w:szCs w:val="24"/>
                <w:u w:val="none" w:color="auto"/>
                <w:lang w:val="en-US" w:eastAsia="zh-CN" w:bidi="ar-SA"/>
              </w:rPr>
              <w:t>3.6</w:t>
            </w:r>
            <w:r>
              <w:rPr>
                <w:rFonts w:hint="eastAsia" w:ascii="Times New Roman" w:hAnsi="Times New Roman" w:eastAsia="宋体" w:cs="Times New Roman"/>
                <w:b/>
                <w:bCs/>
                <w:color w:val="auto"/>
                <w:kern w:val="2"/>
                <w:sz w:val="24"/>
                <w:szCs w:val="24"/>
                <w:u w:val="none" w:color="auto"/>
                <w:lang w:val="en-US" w:eastAsia="zh-CN" w:bidi="ar-SA"/>
              </w:rPr>
              <w:t>、</w:t>
            </w:r>
            <w:r>
              <w:rPr>
                <w:rFonts w:hint="eastAsia" w:cs="Times New Roman"/>
                <w:b/>
                <w:bCs/>
                <w:color w:val="auto"/>
                <w:sz w:val="24"/>
                <w:szCs w:val="24"/>
                <w:highlight w:val="none"/>
                <w:u w:val="none" w:color="auto"/>
                <w:lang w:val="en-US" w:eastAsia="zh-CN"/>
              </w:rPr>
              <w:t>项目与《关于镇平县雪枫中学扩建项目可行性研究报告的批复》（镇发改审批〔2024〕56号）相符性分析</w:t>
            </w:r>
          </w:p>
          <w:p w14:paraId="5D04B3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color w:val="auto"/>
                <w:sz w:val="24"/>
                <w:highlight w:val="none"/>
                <w:u w:val="none" w:color="auto"/>
                <w:lang w:val="en-US" w:eastAsia="zh-CN"/>
              </w:rPr>
            </w:pPr>
            <w:r>
              <w:rPr>
                <w:rFonts w:hint="eastAsia" w:ascii="Times New Roman" w:hAnsi="Times New Roman" w:eastAsia="宋体" w:cs="Times New Roman"/>
                <w:b/>
                <w:bCs/>
                <w:color w:val="auto"/>
                <w:sz w:val="24"/>
                <w:highlight w:val="none"/>
                <w:u w:val="none" w:color="auto"/>
                <w:lang w:val="en-US" w:eastAsia="zh-CN"/>
              </w:rPr>
              <w:t>表1-6   项目与可行性研究报告相符性分析一览表</w:t>
            </w:r>
          </w:p>
          <w:tbl>
            <w:tblPr>
              <w:tblStyle w:val="36"/>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4"/>
              <w:gridCol w:w="1412"/>
              <w:gridCol w:w="1978"/>
              <w:gridCol w:w="1934"/>
              <w:gridCol w:w="993"/>
            </w:tblGrid>
            <w:tr w14:paraId="304F0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0" w:type="pct"/>
                  <w:vAlign w:val="center"/>
                </w:tcPr>
                <w:p w14:paraId="7840BB46">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5"/>
                      <w:sz w:val="21"/>
                      <w:szCs w:val="21"/>
                      <w:u w:val="none" w:color="auto"/>
                    </w:rPr>
                    <w:t>序号</w:t>
                  </w:r>
                </w:p>
              </w:tc>
              <w:tc>
                <w:tcPr>
                  <w:tcW w:w="965" w:type="pct"/>
                  <w:vAlign w:val="center"/>
                </w:tcPr>
                <w:p w14:paraId="491F0C78">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8"/>
                      <w:sz w:val="21"/>
                      <w:szCs w:val="21"/>
                      <w:u w:val="none" w:color="auto"/>
                    </w:rPr>
                    <w:t>内容</w:t>
                  </w:r>
                </w:p>
              </w:tc>
              <w:tc>
                <w:tcPr>
                  <w:tcW w:w="1352" w:type="pct"/>
                  <w:vAlign w:val="center"/>
                </w:tcPr>
                <w:p w14:paraId="088102CE">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8"/>
                      <w:sz w:val="21"/>
                      <w:szCs w:val="21"/>
                      <w:u w:val="none" w:color="auto"/>
                    </w:rPr>
                    <w:t>可行性研究报告</w:t>
                  </w:r>
                </w:p>
              </w:tc>
              <w:tc>
                <w:tcPr>
                  <w:tcW w:w="1322" w:type="pct"/>
                  <w:vAlign w:val="center"/>
                </w:tcPr>
                <w:p w14:paraId="141652B1">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7"/>
                      <w:sz w:val="21"/>
                      <w:szCs w:val="21"/>
                      <w:u w:val="none" w:color="auto"/>
                    </w:rPr>
                    <w:t>本项目情况</w:t>
                  </w:r>
                </w:p>
              </w:tc>
              <w:tc>
                <w:tcPr>
                  <w:tcW w:w="679" w:type="pct"/>
                  <w:vAlign w:val="center"/>
                </w:tcPr>
                <w:p w14:paraId="59195572">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6"/>
                      <w:sz w:val="21"/>
                      <w:szCs w:val="21"/>
                      <w:u w:val="none" w:color="auto"/>
                    </w:rPr>
                    <w:t>相符性</w:t>
                  </w:r>
                </w:p>
              </w:tc>
            </w:tr>
            <w:tr w14:paraId="1884D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0" w:type="pct"/>
                  <w:vAlign w:val="center"/>
                </w:tcPr>
                <w:p w14:paraId="1C48F8DB">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z w:val="21"/>
                      <w:szCs w:val="21"/>
                      <w:u w:val="none" w:color="auto"/>
                    </w:rPr>
                    <w:t>1</w:t>
                  </w:r>
                </w:p>
              </w:tc>
              <w:tc>
                <w:tcPr>
                  <w:tcW w:w="965" w:type="pct"/>
                  <w:vAlign w:val="center"/>
                </w:tcPr>
                <w:p w14:paraId="46E378E5">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6"/>
                      <w:sz w:val="21"/>
                      <w:szCs w:val="21"/>
                      <w:u w:val="none" w:color="auto"/>
                    </w:rPr>
                    <w:t>项目名称</w:t>
                  </w:r>
                </w:p>
              </w:tc>
              <w:tc>
                <w:tcPr>
                  <w:tcW w:w="1352" w:type="pct"/>
                  <w:vAlign w:val="center"/>
                </w:tcPr>
                <w:p w14:paraId="5DA355AD">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镇平县雪枫中学扩建项目</w:t>
                  </w:r>
                </w:p>
              </w:tc>
              <w:tc>
                <w:tcPr>
                  <w:tcW w:w="1322" w:type="pct"/>
                  <w:vAlign w:val="center"/>
                </w:tcPr>
                <w:p w14:paraId="09BE7F3F">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镇平县雪枫中学扩建项目</w:t>
                  </w:r>
                </w:p>
              </w:tc>
              <w:tc>
                <w:tcPr>
                  <w:tcW w:w="679" w:type="pct"/>
                  <w:vAlign w:val="center"/>
                </w:tcPr>
                <w:p w14:paraId="274C12D8">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4"/>
                      <w:sz w:val="21"/>
                      <w:szCs w:val="21"/>
                      <w:u w:val="none" w:color="auto"/>
                    </w:rPr>
                    <w:t>相符</w:t>
                  </w:r>
                </w:p>
              </w:tc>
            </w:tr>
            <w:tr w14:paraId="01937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0" w:type="pct"/>
                  <w:vAlign w:val="center"/>
                </w:tcPr>
                <w:p w14:paraId="054E7B1B">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z w:val="21"/>
                      <w:szCs w:val="21"/>
                      <w:u w:val="none" w:color="auto"/>
                    </w:rPr>
                    <w:t>2</w:t>
                  </w:r>
                </w:p>
              </w:tc>
              <w:tc>
                <w:tcPr>
                  <w:tcW w:w="965" w:type="pct"/>
                  <w:vAlign w:val="center"/>
                </w:tcPr>
                <w:p w14:paraId="236DFF71">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6"/>
                      <w:sz w:val="21"/>
                      <w:szCs w:val="21"/>
                      <w:u w:val="none" w:color="auto"/>
                    </w:rPr>
                    <w:t>项目地点</w:t>
                  </w:r>
                </w:p>
              </w:tc>
              <w:tc>
                <w:tcPr>
                  <w:tcW w:w="1352" w:type="pct"/>
                  <w:vAlign w:val="center"/>
                </w:tcPr>
                <w:p w14:paraId="0221BCB3">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镇平县涅阳街道中山街东段北侧，镇平县雪枫中学西侧</w:t>
                  </w:r>
                </w:p>
              </w:tc>
              <w:tc>
                <w:tcPr>
                  <w:tcW w:w="1322" w:type="pct"/>
                  <w:vAlign w:val="center"/>
                </w:tcPr>
                <w:p w14:paraId="65567116">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镇平县涅阳街道中山街东段北侧，镇平县雪枫中学西侧</w:t>
                  </w:r>
                </w:p>
              </w:tc>
              <w:tc>
                <w:tcPr>
                  <w:tcW w:w="679" w:type="pct"/>
                  <w:vAlign w:val="center"/>
                </w:tcPr>
                <w:p w14:paraId="1D46030B">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4"/>
                      <w:sz w:val="21"/>
                      <w:szCs w:val="21"/>
                      <w:u w:val="none" w:color="auto"/>
                    </w:rPr>
                    <w:t>相符</w:t>
                  </w:r>
                </w:p>
              </w:tc>
            </w:tr>
            <w:tr w14:paraId="6BF20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0" w:type="pct"/>
                  <w:vAlign w:val="center"/>
                </w:tcPr>
                <w:p w14:paraId="1B904428">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z w:val="21"/>
                      <w:szCs w:val="21"/>
                      <w:u w:val="none" w:color="auto"/>
                    </w:rPr>
                    <w:t>3</w:t>
                  </w:r>
                </w:p>
              </w:tc>
              <w:tc>
                <w:tcPr>
                  <w:tcW w:w="965" w:type="pct"/>
                  <w:vAlign w:val="center"/>
                </w:tcPr>
                <w:p w14:paraId="346DF9DC">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6"/>
                      <w:sz w:val="21"/>
                      <w:szCs w:val="21"/>
                      <w:u w:val="none" w:color="auto"/>
                    </w:rPr>
                    <w:t>项目面积</w:t>
                  </w:r>
                </w:p>
              </w:tc>
              <w:tc>
                <w:tcPr>
                  <w:tcW w:w="1352" w:type="pct"/>
                  <w:vAlign w:val="center"/>
                </w:tcPr>
                <w:p w14:paraId="25DA21C4">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2"/>
                      <w:sz w:val="21"/>
                      <w:szCs w:val="21"/>
                      <w:u w:val="none" w:color="auto"/>
                      <w:lang w:val="en-US" w:eastAsia="zh-CN"/>
                    </w:rPr>
                    <w:t>10097.38</w:t>
                  </w:r>
                  <w:r>
                    <w:rPr>
                      <w:rFonts w:hint="default" w:ascii="Times New Roman" w:hAnsi="Times New Roman" w:eastAsia="宋体" w:cs="Times New Roman"/>
                      <w:color w:val="auto"/>
                      <w:spacing w:val="2"/>
                      <w:sz w:val="21"/>
                      <w:szCs w:val="21"/>
                      <w:u w:val="none" w:color="auto"/>
                    </w:rPr>
                    <w:t>平方米</w:t>
                  </w:r>
                </w:p>
              </w:tc>
              <w:tc>
                <w:tcPr>
                  <w:tcW w:w="1322" w:type="pct"/>
                  <w:vAlign w:val="center"/>
                </w:tcPr>
                <w:p w14:paraId="552607F6">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2"/>
                      <w:sz w:val="21"/>
                      <w:szCs w:val="21"/>
                      <w:u w:val="none" w:color="auto"/>
                      <w:lang w:val="en-US" w:eastAsia="zh-CN"/>
                    </w:rPr>
                    <w:t>10097.38</w:t>
                  </w:r>
                  <w:r>
                    <w:rPr>
                      <w:rFonts w:hint="default" w:ascii="Times New Roman" w:hAnsi="Times New Roman" w:eastAsia="宋体" w:cs="Times New Roman"/>
                      <w:color w:val="auto"/>
                      <w:spacing w:val="2"/>
                      <w:sz w:val="21"/>
                      <w:szCs w:val="21"/>
                      <w:u w:val="none" w:color="auto"/>
                    </w:rPr>
                    <w:t>平方米</w:t>
                  </w:r>
                </w:p>
              </w:tc>
              <w:tc>
                <w:tcPr>
                  <w:tcW w:w="679" w:type="pct"/>
                  <w:vAlign w:val="center"/>
                </w:tcPr>
                <w:p w14:paraId="59C62A06">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4"/>
                      <w:sz w:val="21"/>
                      <w:szCs w:val="21"/>
                      <w:u w:val="none" w:color="auto"/>
                    </w:rPr>
                    <w:t>相符</w:t>
                  </w:r>
                </w:p>
              </w:tc>
            </w:tr>
            <w:tr w14:paraId="6BD62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0" w:type="pct"/>
                  <w:vAlign w:val="center"/>
                </w:tcPr>
                <w:p w14:paraId="1D556D50">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1"/>
                      <w:sz w:val="21"/>
                      <w:szCs w:val="21"/>
                      <w:u w:val="none" w:color="auto"/>
                    </w:rPr>
                    <w:t>4</w:t>
                  </w:r>
                </w:p>
              </w:tc>
              <w:tc>
                <w:tcPr>
                  <w:tcW w:w="965" w:type="pct"/>
                  <w:vAlign w:val="center"/>
                </w:tcPr>
                <w:p w14:paraId="3E742D73">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6"/>
                      <w:sz w:val="21"/>
                      <w:szCs w:val="21"/>
                      <w:u w:val="none" w:color="auto"/>
                    </w:rPr>
                    <w:t>建设规模</w:t>
                  </w:r>
                </w:p>
              </w:tc>
              <w:tc>
                <w:tcPr>
                  <w:tcW w:w="1352" w:type="pct"/>
                  <w:vAlign w:val="center"/>
                </w:tcPr>
                <w:p w14:paraId="660A5969">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4"/>
                      <w:sz w:val="21"/>
                      <w:szCs w:val="21"/>
                      <w:u w:val="none" w:color="auto"/>
                    </w:rPr>
                    <w:t>5</w:t>
                  </w:r>
                  <w:r>
                    <w:rPr>
                      <w:rFonts w:hint="default" w:ascii="Times New Roman" w:hAnsi="Times New Roman" w:eastAsia="宋体" w:cs="Times New Roman"/>
                      <w:color w:val="auto"/>
                      <w:spacing w:val="4"/>
                      <w:sz w:val="21"/>
                      <w:szCs w:val="21"/>
                      <w:u w:val="none" w:color="auto"/>
                      <w:lang w:val="en-US" w:eastAsia="zh-CN"/>
                    </w:rPr>
                    <w:t>8</w:t>
                  </w:r>
                  <w:r>
                    <w:rPr>
                      <w:rFonts w:hint="default" w:ascii="Times New Roman" w:hAnsi="Times New Roman" w:eastAsia="宋体" w:cs="Times New Roman"/>
                      <w:color w:val="auto"/>
                      <w:spacing w:val="4"/>
                      <w:sz w:val="21"/>
                      <w:szCs w:val="21"/>
                      <w:u w:val="none" w:color="auto"/>
                    </w:rPr>
                    <w:t>个教学班、</w:t>
                  </w:r>
                  <w:r>
                    <w:rPr>
                      <w:rFonts w:hint="default" w:ascii="Times New Roman" w:hAnsi="Times New Roman" w:eastAsia="宋体" w:cs="Times New Roman"/>
                      <w:color w:val="auto"/>
                      <w:spacing w:val="4"/>
                      <w:sz w:val="21"/>
                      <w:szCs w:val="21"/>
                      <w:u w:val="none" w:color="auto"/>
                      <w:lang w:val="en-US" w:eastAsia="zh-CN"/>
                    </w:rPr>
                    <w:t>2900</w:t>
                  </w:r>
                  <w:r>
                    <w:rPr>
                      <w:rFonts w:hint="default" w:ascii="Times New Roman" w:hAnsi="Times New Roman" w:eastAsia="宋体" w:cs="Times New Roman"/>
                      <w:color w:val="auto"/>
                      <w:spacing w:val="4"/>
                      <w:sz w:val="21"/>
                      <w:szCs w:val="21"/>
                      <w:u w:val="none" w:color="auto"/>
                    </w:rPr>
                    <w:t>名在校</w:t>
                  </w:r>
                  <w:r>
                    <w:rPr>
                      <w:rFonts w:hint="default" w:ascii="Times New Roman" w:hAnsi="Times New Roman" w:eastAsia="宋体" w:cs="Times New Roman"/>
                      <w:color w:val="auto"/>
                      <w:sz w:val="21"/>
                      <w:szCs w:val="21"/>
                      <w:u w:val="none" w:color="auto"/>
                    </w:rPr>
                    <w:t>生</w:t>
                  </w:r>
                </w:p>
              </w:tc>
              <w:tc>
                <w:tcPr>
                  <w:tcW w:w="1322" w:type="pct"/>
                  <w:vAlign w:val="center"/>
                </w:tcPr>
                <w:p w14:paraId="209039CE">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4"/>
                      <w:sz w:val="21"/>
                      <w:szCs w:val="21"/>
                      <w:u w:val="none" w:color="auto"/>
                    </w:rPr>
                    <w:t>5</w:t>
                  </w:r>
                  <w:r>
                    <w:rPr>
                      <w:rFonts w:hint="default" w:ascii="Times New Roman" w:hAnsi="Times New Roman" w:eastAsia="宋体" w:cs="Times New Roman"/>
                      <w:color w:val="auto"/>
                      <w:spacing w:val="4"/>
                      <w:sz w:val="21"/>
                      <w:szCs w:val="21"/>
                      <w:u w:val="none" w:color="auto"/>
                      <w:lang w:val="en-US" w:eastAsia="zh-CN"/>
                    </w:rPr>
                    <w:t>8</w:t>
                  </w:r>
                  <w:r>
                    <w:rPr>
                      <w:rFonts w:hint="default" w:ascii="Times New Roman" w:hAnsi="Times New Roman" w:eastAsia="宋体" w:cs="Times New Roman"/>
                      <w:color w:val="auto"/>
                      <w:spacing w:val="4"/>
                      <w:sz w:val="21"/>
                      <w:szCs w:val="21"/>
                      <w:u w:val="none" w:color="auto"/>
                    </w:rPr>
                    <w:t>个教学班、</w:t>
                  </w:r>
                  <w:r>
                    <w:rPr>
                      <w:rFonts w:hint="default" w:ascii="Times New Roman" w:hAnsi="Times New Roman" w:eastAsia="宋体" w:cs="Times New Roman"/>
                      <w:color w:val="auto"/>
                      <w:spacing w:val="4"/>
                      <w:sz w:val="21"/>
                      <w:szCs w:val="21"/>
                      <w:u w:val="none" w:color="auto"/>
                      <w:lang w:val="en-US" w:eastAsia="zh-CN"/>
                    </w:rPr>
                    <w:t>2900</w:t>
                  </w:r>
                  <w:r>
                    <w:rPr>
                      <w:rFonts w:hint="default" w:ascii="Times New Roman" w:hAnsi="Times New Roman" w:eastAsia="宋体" w:cs="Times New Roman"/>
                      <w:color w:val="auto"/>
                      <w:spacing w:val="4"/>
                      <w:sz w:val="21"/>
                      <w:szCs w:val="21"/>
                      <w:u w:val="none" w:color="auto"/>
                    </w:rPr>
                    <w:t>名在校</w:t>
                  </w:r>
                  <w:r>
                    <w:rPr>
                      <w:rFonts w:hint="default" w:ascii="Times New Roman" w:hAnsi="Times New Roman" w:eastAsia="宋体" w:cs="Times New Roman"/>
                      <w:color w:val="auto"/>
                      <w:sz w:val="21"/>
                      <w:szCs w:val="21"/>
                      <w:u w:val="none" w:color="auto"/>
                    </w:rPr>
                    <w:t>生</w:t>
                  </w:r>
                </w:p>
              </w:tc>
              <w:tc>
                <w:tcPr>
                  <w:tcW w:w="679" w:type="pct"/>
                  <w:vAlign w:val="center"/>
                </w:tcPr>
                <w:p w14:paraId="7E68D054">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4"/>
                      <w:sz w:val="21"/>
                      <w:szCs w:val="21"/>
                      <w:u w:val="none" w:color="auto"/>
                    </w:rPr>
                    <w:t>相符</w:t>
                  </w:r>
                </w:p>
              </w:tc>
            </w:tr>
            <w:tr w14:paraId="5C55A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0" w:type="pct"/>
                  <w:vAlign w:val="center"/>
                </w:tcPr>
                <w:p w14:paraId="45C47089">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z w:val="21"/>
                      <w:szCs w:val="21"/>
                      <w:u w:val="none" w:color="auto"/>
                    </w:rPr>
                    <w:t>5</w:t>
                  </w:r>
                </w:p>
              </w:tc>
              <w:tc>
                <w:tcPr>
                  <w:tcW w:w="965" w:type="pct"/>
                  <w:vAlign w:val="center"/>
                </w:tcPr>
                <w:p w14:paraId="578D4C05">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6"/>
                      <w:sz w:val="21"/>
                      <w:szCs w:val="21"/>
                      <w:u w:val="none" w:color="auto"/>
                    </w:rPr>
                    <w:t>建设内容</w:t>
                  </w:r>
                </w:p>
              </w:tc>
              <w:tc>
                <w:tcPr>
                  <w:tcW w:w="1352" w:type="pct"/>
                  <w:vAlign w:val="center"/>
                </w:tcPr>
                <w:p w14:paraId="10088768">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3"/>
                      <w:sz w:val="21"/>
                      <w:szCs w:val="21"/>
                      <w:u w:val="none" w:color="auto"/>
                    </w:rPr>
                    <w:t>项目总用地面积</w:t>
                  </w:r>
                  <w:r>
                    <w:rPr>
                      <w:rFonts w:hint="default" w:ascii="Times New Roman" w:hAnsi="Times New Roman" w:eastAsia="宋体" w:cs="Times New Roman"/>
                      <w:color w:val="auto"/>
                      <w:spacing w:val="3"/>
                      <w:sz w:val="21"/>
                      <w:szCs w:val="21"/>
                      <w:u w:val="none" w:color="auto"/>
                      <w:lang w:val="en-US" w:eastAsia="zh-CN"/>
                    </w:rPr>
                    <w:t>1</w:t>
                  </w:r>
                  <w:r>
                    <w:rPr>
                      <w:rFonts w:hint="default" w:ascii="Times New Roman" w:hAnsi="Times New Roman" w:eastAsia="宋体" w:cs="Times New Roman"/>
                      <w:color w:val="auto"/>
                      <w:spacing w:val="3"/>
                      <w:sz w:val="21"/>
                      <w:szCs w:val="21"/>
                      <w:u w:val="none" w:color="auto"/>
                    </w:rPr>
                    <w:t>0097.38平方米，总建筑面积19494.72平方米，其中</w:t>
                  </w:r>
                  <w:r>
                    <w:rPr>
                      <w:rFonts w:hint="default" w:ascii="Times New Roman" w:hAnsi="Times New Roman" w:eastAsia="宋体" w:cs="Times New Roman"/>
                      <w:color w:val="auto"/>
                      <w:spacing w:val="3"/>
                      <w:sz w:val="21"/>
                      <w:szCs w:val="21"/>
                      <w:u w:val="none" w:color="auto"/>
                      <w:lang w:eastAsia="zh-CN"/>
                    </w:rPr>
                    <w:t>：</w:t>
                  </w:r>
                  <w:r>
                    <w:rPr>
                      <w:rFonts w:hint="default" w:ascii="Times New Roman" w:hAnsi="Times New Roman" w:eastAsia="宋体" w:cs="Times New Roman"/>
                      <w:color w:val="auto"/>
                      <w:spacing w:val="3"/>
                      <w:sz w:val="21"/>
                      <w:szCs w:val="21"/>
                      <w:u w:val="none" w:color="auto"/>
                    </w:rPr>
                    <w:t>地上建筑面积为18019.53平方米，包括综合楼面积12371.12平方米，实验楼建筑面积5633.76平方米</w:t>
                  </w:r>
                  <w:r>
                    <w:rPr>
                      <w:rFonts w:hint="default" w:ascii="Times New Roman" w:hAnsi="Times New Roman" w:eastAsia="宋体" w:cs="Times New Roman"/>
                      <w:color w:val="auto"/>
                      <w:spacing w:val="3"/>
                      <w:sz w:val="21"/>
                      <w:szCs w:val="21"/>
                      <w:u w:val="none" w:color="auto"/>
                      <w:lang w:eastAsia="zh-CN"/>
                    </w:rPr>
                    <w:t>，</w:t>
                  </w:r>
                  <w:r>
                    <w:rPr>
                      <w:rFonts w:hint="default" w:ascii="Times New Roman" w:hAnsi="Times New Roman" w:eastAsia="宋体" w:cs="Times New Roman"/>
                      <w:color w:val="auto"/>
                      <w:spacing w:val="3"/>
                      <w:sz w:val="21"/>
                      <w:szCs w:val="21"/>
                      <w:u w:val="none" w:color="auto"/>
                    </w:rPr>
                    <w:t>大门 16.45平方米</w:t>
                  </w:r>
                  <w:r>
                    <w:rPr>
                      <w:rFonts w:hint="default" w:ascii="Times New Roman" w:hAnsi="Times New Roman" w:eastAsia="宋体" w:cs="Times New Roman"/>
                      <w:color w:val="auto"/>
                      <w:spacing w:val="3"/>
                      <w:sz w:val="21"/>
                      <w:szCs w:val="21"/>
                      <w:u w:val="none" w:color="auto"/>
                      <w:lang w:eastAsia="zh-CN"/>
                    </w:rPr>
                    <w:t>；</w:t>
                  </w:r>
                  <w:r>
                    <w:rPr>
                      <w:rFonts w:hint="default" w:ascii="Times New Roman" w:hAnsi="Times New Roman" w:eastAsia="宋体" w:cs="Times New Roman"/>
                      <w:color w:val="auto"/>
                      <w:spacing w:val="3"/>
                      <w:sz w:val="21"/>
                      <w:szCs w:val="21"/>
                      <w:u w:val="none" w:color="auto"/>
                    </w:rPr>
                    <w:t>地下建筑面积为1475.19平方米</w:t>
                  </w:r>
                </w:p>
              </w:tc>
              <w:tc>
                <w:tcPr>
                  <w:tcW w:w="1322" w:type="pct"/>
                  <w:vAlign w:val="center"/>
                </w:tcPr>
                <w:p w14:paraId="4D9B8123">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3"/>
                      <w:sz w:val="21"/>
                      <w:szCs w:val="21"/>
                      <w:u w:val="none" w:color="auto"/>
                    </w:rPr>
                    <w:t>项目总用地面积</w:t>
                  </w:r>
                  <w:r>
                    <w:rPr>
                      <w:rFonts w:hint="default" w:ascii="Times New Roman" w:hAnsi="Times New Roman" w:eastAsia="宋体" w:cs="Times New Roman"/>
                      <w:color w:val="auto"/>
                      <w:spacing w:val="3"/>
                      <w:sz w:val="21"/>
                      <w:szCs w:val="21"/>
                      <w:u w:val="none" w:color="auto"/>
                      <w:lang w:val="en-US" w:eastAsia="zh-CN"/>
                    </w:rPr>
                    <w:t>1</w:t>
                  </w:r>
                  <w:r>
                    <w:rPr>
                      <w:rFonts w:hint="default" w:ascii="Times New Roman" w:hAnsi="Times New Roman" w:eastAsia="宋体" w:cs="Times New Roman"/>
                      <w:color w:val="auto"/>
                      <w:spacing w:val="3"/>
                      <w:sz w:val="21"/>
                      <w:szCs w:val="21"/>
                      <w:u w:val="none" w:color="auto"/>
                    </w:rPr>
                    <w:t>0097.38平方米，总建筑面积19494.72平方米，其中</w:t>
                  </w:r>
                  <w:r>
                    <w:rPr>
                      <w:rFonts w:hint="default" w:ascii="Times New Roman" w:hAnsi="Times New Roman" w:eastAsia="宋体" w:cs="Times New Roman"/>
                      <w:color w:val="auto"/>
                      <w:spacing w:val="3"/>
                      <w:sz w:val="21"/>
                      <w:szCs w:val="21"/>
                      <w:u w:val="none" w:color="auto"/>
                      <w:lang w:eastAsia="zh-CN"/>
                    </w:rPr>
                    <w:t>：</w:t>
                  </w:r>
                  <w:r>
                    <w:rPr>
                      <w:rFonts w:hint="default" w:ascii="Times New Roman" w:hAnsi="Times New Roman" w:eastAsia="宋体" w:cs="Times New Roman"/>
                      <w:color w:val="auto"/>
                      <w:spacing w:val="3"/>
                      <w:sz w:val="21"/>
                      <w:szCs w:val="21"/>
                      <w:u w:val="none" w:color="auto"/>
                    </w:rPr>
                    <w:t>地上建筑面积为18019.53平方米，包括综合楼面积12371.12平方米，实验楼建筑面积5633.76平方米</w:t>
                  </w:r>
                  <w:r>
                    <w:rPr>
                      <w:rFonts w:hint="default" w:ascii="Times New Roman" w:hAnsi="Times New Roman" w:eastAsia="宋体" w:cs="Times New Roman"/>
                      <w:color w:val="auto"/>
                      <w:spacing w:val="3"/>
                      <w:sz w:val="21"/>
                      <w:szCs w:val="21"/>
                      <w:u w:val="none" w:color="auto"/>
                      <w:lang w:eastAsia="zh-CN"/>
                    </w:rPr>
                    <w:t>，</w:t>
                  </w:r>
                  <w:r>
                    <w:rPr>
                      <w:rFonts w:hint="default" w:ascii="Times New Roman" w:hAnsi="Times New Roman" w:eastAsia="宋体" w:cs="Times New Roman"/>
                      <w:color w:val="auto"/>
                      <w:spacing w:val="3"/>
                      <w:sz w:val="21"/>
                      <w:szCs w:val="21"/>
                      <w:u w:val="none" w:color="auto"/>
                    </w:rPr>
                    <w:t>大门16.45平方米</w:t>
                  </w:r>
                  <w:r>
                    <w:rPr>
                      <w:rFonts w:hint="default" w:ascii="Times New Roman" w:hAnsi="Times New Roman" w:eastAsia="宋体" w:cs="Times New Roman"/>
                      <w:color w:val="auto"/>
                      <w:spacing w:val="3"/>
                      <w:sz w:val="21"/>
                      <w:szCs w:val="21"/>
                      <w:u w:val="none" w:color="auto"/>
                      <w:lang w:eastAsia="zh-CN"/>
                    </w:rPr>
                    <w:t>；</w:t>
                  </w:r>
                  <w:r>
                    <w:rPr>
                      <w:rFonts w:hint="default" w:ascii="Times New Roman" w:hAnsi="Times New Roman" w:eastAsia="宋体" w:cs="Times New Roman"/>
                      <w:color w:val="auto"/>
                      <w:spacing w:val="3"/>
                      <w:sz w:val="21"/>
                      <w:szCs w:val="21"/>
                      <w:u w:val="none" w:color="auto"/>
                    </w:rPr>
                    <w:t>地下建筑面积为1475.19平方米</w:t>
                  </w:r>
                </w:p>
              </w:tc>
              <w:tc>
                <w:tcPr>
                  <w:tcW w:w="679" w:type="pct"/>
                  <w:vAlign w:val="center"/>
                </w:tcPr>
                <w:p w14:paraId="14771717">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4"/>
                      <w:sz w:val="21"/>
                      <w:szCs w:val="21"/>
                      <w:u w:val="none" w:color="auto"/>
                    </w:rPr>
                    <w:t>相符</w:t>
                  </w:r>
                </w:p>
              </w:tc>
            </w:tr>
            <w:tr w14:paraId="55648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0" w:type="pct"/>
                  <w:vAlign w:val="center"/>
                </w:tcPr>
                <w:p w14:paraId="0D201516">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z w:val="21"/>
                      <w:szCs w:val="21"/>
                      <w:u w:val="none" w:color="auto"/>
                    </w:rPr>
                    <w:t>6</w:t>
                  </w:r>
                </w:p>
              </w:tc>
              <w:tc>
                <w:tcPr>
                  <w:tcW w:w="965" w:type="pct"/>
                  <w:vAlign w:val="center"/>
                </w:tcPr>
                <w:p w14:paraId="1BE95B97">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5"/>
                      <w:sz w:val="21"/>
                      <w:szCs w:val="21"/>
                      <w:u w:val="none" w:color="auto"/>
                    </w:rPr>
                    <w:t>总投资</w:t>
                  </w:r>
                </w:p>
              </w:tc>
              <w:tc>
                <w:tcPr>
                  <w:tcW w:w="1352" w:type="pct"/>
                  <w:vAlign w:val="center"/>
                </w:tcPr>
                <w:p w14:paraId="7CDCA635">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2"/>
                      <w:sz w:val="21"/>
                      <w:szCs w:val="21"/>
                      <w:u w:val="none" w:color="auto"/>
                      <w:lang w:val="en-US" w:eastAsia="zh-CN"/>
                    </w:rPr>
                    <w:t>6440.06</w:t>
                  </w:r>
                  <w:r>
                    <w:rPr>
                      <w:rFonts w:hint="default" w:ascii="Times New Roman" w:hAnsi="Times New Roman" w:eastAsia="宋体" w:cs="Times New Roman"/>
                      <w:color w:val="auto"/>
                      <w:spacing w:val="2"/>
                      <w:sz w:val="21"/>
                      <w:szCs w:val="21"/>
                      <w:u w:val="none" w:color="auto"/>
                    </w:rPr>
                    <w:t>万元</w:t>
                  </w:r>
                </w:p>
              </w:tc>
              <w:tc>
                <w:tcPr>
                  <w:tcW w:w="1322" w:type="pct"/>
                  <w:vAlign w:val="center"/>
                </w:tcPr>
                <w:p w14:paraId="2F6F6A80">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2"/>
                      <w:sz w:val="21"/>
                      <w:szCs w:val="21"/>
                      <w:u w:val="none" w:color="auto"/>
                      <w:lang w:val="en-US" w:eastAsia="zh-CN"/>
                    </w:rPr>
                    <w:t>6440.06</w:t>
                  </w:r>
                  <w:r>
                    <w:rPr>
                      <w:rFonts w:hint="default" w:ascii="Times New Roman" w:hAnsi="Times New Roman" w:eastAsia="宋体" w:cs="Times New Roman"/>
                      <w:color w:val="auto"/>
                      <w:spacing w:val="2"/>
                      <w:sz w:val="21"/>
                      <w:szCs w:val="21"/>
                      <w:u w:val="none" w:color="auto"/>
                    </w:rPr>
                    <w:t>万元</w:t>
                  </w:r>
                </w:p>
              </w:tc>
              <w:tc>
                <w:tcPr>
                  <w:tcW w:w="679" w:type="pct"/>
                  <w:vAlign w:val="center"/>
                </w:tcPr>
                <w:p w14:paraId="54034499">
                  <w:pPr>
                    <w:pStyle w:val="170"/>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4"/>
                      <w:sz w:val="21"/>
                      <w:szCs w:val="21"/>
                      <w:u w:val="none" w:color="auto"/>
                    </w:rPr>
                    <w:t>相符</w:t>
                  </w:r>
                </w:p>
              </w:tc>
            </w:tr>
          </w:tbl>
          <w:p w14:paraId="0DC0EB5E">
            <w:pPr>
              <w:keepNext w:val="0"/>
              <w:keepLines w:val="0"/>
              <w:pageBreakBefore w:val="0"/>
              <w:tabs>
                <w:tab w:val="left" w:pos="1081"/>
              </w:tabs>
              <w:wordWrap/>
              <w:overflowPunct/>
              <w:topLinePunct w:val="0"/>
              <w:bidi w:val="0"/>
              <w:adjustRightInd w:val="0"/>
              <w:snapToGrid w:val="0"/>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由上表分析可知，项目建设符合</w:t>
            </w:r>
            <w:r>
              <w:rPr>
                <w:rFonts w:hint="default" w:ascii="Times New Roman" w:hAnsi="Times New Roman" w:eastAsia="宋体" w:cs="Times New Roman"/>
                <w:color w:val="auto"/>
                <w:sz w:val="24"/>
                <w:szCs w:val="24"/>
                <w:highlight w:val="none"/>
                <w:u w:val="none" w:color="auto"/>
                <w:lang w:val="en-US" w:eastAsia="zh-CN"/>
              </w:rPr>
              <w:t>《关于镇平县雪枫中学扩建项目可行性研究报告的批复》（镇发改审批〔2024〕56号）</w:t>
            </w:r>
            <w:r>
              <w:rPr>
                <w:rFonts w:hint="default" w:ascii="Times New Roman" w:hAnsi="Times New Roman" w:eastAsia="宋体" w:cs="Times New Roman"/>
                <w:color w:val="auto"/>
                <w:sz w:val="24"/>
                <w:szCs w:val="24"/>
                <w:highlight w:val="none"/>
                <w:u w:val="none" w:color="auto"/>
              </w:rPr>
              <w:t>中相关要求。</w:t>
            </w:r>
          </w:p>
          <w:p w14:paraId="5ED18731">
            <w:pPr>
              <w:keepNext w:val="0"/>
              <w:keepLines w:val="0"/>
              <w:pageBreakBefore w:val="0"/>
              <w:wordWrap/>
              <w:overflowPunct/>
              <w:topLinePunct w:val="0"/>
              <w:bidi w:val="0"/>
              <w:adjustRightInd w:val="0"/>
              <w:snapToGrid w:val="0"/>
              <w:spacing w:line="360" w:lineRule="auto"/>
              <w:ind w:firstLine="482" w:firstLineChars="200"/>
              <w:textAlignment w:val="baseline"/>
              <w:rPr>
                <w:rFonts w:hint="default" w:ascii="Times New Roman" w:hAnsi="Times New Roman" w:cs="Times New Roman"/>
                <w:b/>
                <w:bCs/>
                <w:color w:val="auto"/>
                <w:kern w:val="0"/>
                <w:sz w:val="24"/>
                <w:highlight w:val="none"/>
                <w:u w:val="none" w:color="auto"/>
              </w:rPr>
            </w:pPr>
            <w:r>
              <w:rPr>
                <w:rFonts w:hint="eastAsia" w:cs="Times New Roman"/>
                <w:b/>
                <w:bCs/>
                <w:color w:val="auto"/>
                <w:kern w:val="0"/>
                <w:sz w:val="24"/>
                <w:highlight w:val="none"/>
                <w:u w:val="none" w:color="auto"/>
                <w:lang w:val="en-US" w:eastAsia="zh-CN"/>
              </w:rPr>
              <w:t>4</w:t>
            </w:r>
            <w:r>
              <w:rPr>
                <w:rFonts w:hint="default" w:ascii="Times New Roman" w:hAnsi="Times New Roman" w:cs="Times New Roman"/>
                <w:b/>
                <w:bCs/>
                <w:color w:val="auto"/>
                <w:kern w:val="0"/>
                <w:sz w:val="24"/>
                <w:highlight w:val="none"/>
                <w:u w:val="none" w:color="auto"/>
              </w:rPr>
              <w:t>、项目建设与“三线一单”符合性分析</w:t>
            </w:r>
          </w:p>
          <w:p w14:paraId="15E173D6">
            <w:pPr>
              <w:keepNext w:val="0"/>
              <w:keepLines w:val="0"/>
              <w:pageBreakBefore w:val="0"/>
              <w:wordWrap/>
              <w:overflowPunct/>
              <w:topLinePunct w:val="0"/>
              <w:bidi w:val="0"/>
              <w:adjustRightInd w:val="0"/>
              <w:snapToGrid w:val="0"/>
              <w:spacing w:line="360" w:lineRule="auto"/>
              <w:ind w:firstLine="480" w:firstLineChars="200"/>
              <w:rPr>
                <w:rFonts w:hint="default" w:ascii="Times New Roman" w:hAnsi="Times New Roman" w:cs="Times New Roman"/>
                <w:bCs/>
                <w:color w:val="auto"/>
                <w:kern w:val="0"/>
                <w:sz w:val="24"/>
                <w:highlight w:val="none"/>
                <w:u w:val="none" w:color="auto"/>
              </w:rPr>
            </w:pPr>
            <w:r>
              <w:rPr>
                <w:rFonts w:hint="default" w:ascii="Times New Roman" w:hAnsi="Times New Roman" w:cs="Times New Roman"/>
                <w:bCs/>
                <w:color w:val="auto"/>
                <w:kern w:val="0"/>
                <w:sz w:val="24"/>
                <w:highlight w:val="none"/>
                <w:u w:val="none" w:color="auto"/>
              </w:rPr>
              <w:t>根据环保部发布的《关于以改善环境质量为核心加强环境影响评价管理的通知》（以下简称《通知》），《通知》要求切实加强环境影响评价管理，落实“生态保护红线、环境质量底线、资源利用上线和环境准入负面清单”约束，建立项目环评审批与规划环评、现有项目环境管理、区域环境质量联动机制，更好地发挥环评制度从源头防范环境污染和生态破坏的作用，加快推进改善环境质量。</w:t>
            </w:r>
          </w:p>
          <w:p w14:paraId="2AA7B60C">
            <w:pPr>
              <w:keepNext w:val="0"/>
              <w:keepLines w:val="0"/>
              <w:pageBreakBefore w:val="0"/>
              <w:wordWrap/>
              <w:overflowPunct/>
              <w:topLinePunct w:val="0"/>
              <w:bidi w:val="0"/>
              <w:adjustRightInd w:val="0"/>
              <w:snapToGrid w:val="0"/>
              <w:spacing w:line="360" w:lineRule="auto"/>
              <w:ind w:firstLine="480" w:firstLineChars="200"/>
              <w:rPr>
                <w:rFonts w:hint="default" w:ascii="Times New Roman" w:hAnsi="Times New Roman" w:cs="Times New Roman"/>
                <w:bCs/>
                <w:color w:val="auto"/>
                <w:kern w:val="0"/>
                <w:sz w:val="24"/>
                <w:highlight w:val="none"/>
                <w:u w:val="none" w:color="auto"/>
              </w:rPr>
            </w:pPr>
            <w:r>
              <w:rPr>
                <w:rFonts w:hint="default" w:ascii="Times New Roman" w:hAnsi="Times New Roman" w:cs="Times New Roman"/>
                <w:bCs/>
                <w:color w:val="auto"/>
                <w:kern w:val="0"/>
                <w:sz w:val="24"/>
                <w:highlight w:val="none"/>
                <w:u w:val="none" w:color="auto"/>
              </w:rPr>
              <w:t>（1）生态保护红线</w:t>
            </w:r>
          </w:p>
          <w:p w14:paraId="7809559A">
            <w:pPr>
              <w:keepNext w:val="0"/>
              <w:keepLines w:val="0"/>
              <w:pageBreakBefore w:val="0"/>
              <w:wordWrap/>
              <w:overflowPunct/>
              <w:topLinePunct w:val="0"/>
              <w:bidi w:val="0"/>
              <w:adjustRightInd w:val="0"/>
              <w:snapToGrid w:val="0"/>
              <w:spacing w:line="360" w:lineRule="auto"/>
              <w:ind w:firstLine="480" w:firstLineChars="200"/>
              <w:rPr>
                <w:rFonts w:hint="default" w:ascii="Times New Roman" w:hAnsi="Times New Roman" w:cs="Times New Roman"/>
                <w:bCs/>
                <w:color w:val="auto"/>
                <w:kern w:val="0"/>
                <w:sz w:val="24"/>
                <w:highlight w:val="none"/>
                <w:u w:val="none" w:color="auto"/>
              </w:rPr>
            </w:pPr>
            <w:r>
              <w:rPr>
                <w:rFonts w:hint="default" w:ascii="Times New Roman" w:hAnsi="Times New Roman" w:cs="Times New Roman"/>
                <w:bCs/>
                <w:color w:val="auto"/>
                <w:kern w:val="0"/>
                <w:sz w:val="24"/>
                <w:highlight w:val="none"/>
                <w:u w:val="none" w:color="auto"/>
              </w:rPr>
              <w:t>“生态保护红线”是“生态空间范围内具有特殊重要生态功能必须实行强制性严格保护的区域。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需依法在重点生态功能区、生态环境敏感区和脆弱区等区域划定的严格管控边界，是国家和区域生态安全的底线，对于维护生态安全格局、保障生态服务功能、支撑经济社会可持续发展具有重要作用。</w:t>
            </w:r>
          </w:p>
          <w:p w14:paraId="4AF1FE09">
            <w:pPr>
              <w:keepNext w:val="0"/>
              <w:keepLines w:val="0"/>
              <w:pageBreakBefore w:val="0"/>
              <w:wordWrap/>
              <w:overflowPunct/>
              <w:topLinePunct w:val="0"/>
              <w:bidi w:val="0"/>
              <w:adjustRightInd w:val="0"/>
              <w:snapToGrid w:val="0"/>
              <w:spacing w:line="360" w:lineRule="auto"/>
              <w:ind w:firstLine="480" w:firstLineChars="200"/>
              <w:rPr>
                <w:bCs/>
                <w:color w:val="auto"/>
                <w:kern w:val="0"/>
                <w:sz w:val="24"/>
                <w:u w:val="none" w:color="auto"/>
              </w:rPr>
            </w:pPr>
            <w:r>
              <w:rPr>
                <w:rFonts w:hint="default" w:ascii="Times New Roman" w:hAnsi="Times New Roman" w:cs="Times New Roman"/>
                <w:bCs/>
                <w:color w:val="auto"/>
                <w:kern w:val="0"/>
                <w:sz w:val="24"/>
                <w:highlight w:val="none"/>
                <w:u w:val="none" w:color="auto"/>
              </w:rPr>
              <w:t>本项目位于</w:t>
            </w:r>
            <w:r>
              <w:rPr>
                <w:rFonts w:hint="default" w:ascii="Times New Roman" w:hAnsi="Times New Roman" w:cs="Times New Roman"/>
                <w:bCs/>
                <w:color w:val="auto"/>
                <w:kern w:val="0"/>
                <w:sz w:val="24"/>
                <w:highlight w:val="none"/>
                <w:u w:val="none" w:color="auto"/>
                <w:lang w:val="en-US" w:eastAsia="zh-CN"/>
              </w:rPr>
              <w:t>镇平县涅阳街道中山街东段北侧，镇平县雪枫中学西侧</w:t>
            </w:r>
            <w:r>
              <w:rPr>
                <w:rFonts w:hint="default" w:ascii="Times New Roman" w:hAnsi="Times New Roman" w:cs="Times New Roman"/>
                <w:bCs/>
                <w:color w:val="auto"/>
                <w:kern w:val="0"/>
                <w:sz w:val="24"/>
                <w:highlight w:val="none"/>
                <w:u w:val="none" w:color="auto"/>
              </w:rPr>
              <w:t>，</w:t>
            </w:r>
            <w:r>
              <w:rPr>
                <w:bCs/>
                <w:color w:val="auto"/>
                <w:kern w:val="0"/>
                <w:sz w:val="24"/>
                <w:u w:val="none" w:color="auto"/>
              </w:rPr>
              <w:t>项目选址不在自然保护区、镇平县饮用水源保护区、南水北调中线工程总干渠两侧水源保护区等生态保护目标范围内，距离自然保护区、水源保护区等生态保护目标较远，不在区域生态红线范围内，因此项目建设符合区域生态保护红线要求。</w:t>
            </w:r>
          </w:p>
          <w:p w14:paraId="6C57C7F2">
            <w:pPr>
              <w:keepNext w:val="0"/>
              <w:keepLines w:val="0"/>
              <w:pageBreakBefore w:val="0"/>
              <w:wordWrap/>
              <w:overflowPunct/>
              <w:topLinePunct w:val="0"/>
              <w:bidi w:val="0"/>
              <w:adjustRightInd w:val="0"/>
              <w:snapToGrid w:val="0"/>
              <w:spacing w:line="360" w:lineRule="auto"/>
              <w:ind w:firstLine="480" w:firstLineChars="200"/>
              <w:rPr>
                <w:rFonts w:hint="default" w:ascii="Times New Roman" w:hAnsi="Times New Roman" w:cs="Times New Roman"/>
                <w:bCs/>
                <w:color w:val="auto"/>
                <w:kern w:val="0"/>
                <w:sz w:val="24"/>
                <w:highlight w:val="none"/>
                <w:u w:val="none" w:color="auto"/>
              </w:rPr>
            </w:pPr>
            <w:r>
              <w:rPr>
                <w:rFonts w:hint="default" w:ascii="Times New Roman" w:hAnsi="Times New Roman" w:cs="Times New Roman"/>
                <w:bCs/>
                <w:color w:val="auto"/>
                <w:kern w:val="0"/>
                <w:sz w:val="24"/>
                <w:highlight w:val="none"/>
                <w:u w:val="none" w:color="auto"/>
              </w:rPr>
              <w:t>（2）环境质量底线</w:t>
            </w:r>
          </w:p>
          <w:p w14:paraId="5B15FC20">
            <w:pPr>
              <w:keepNext w:val="0"/>
              <w:keepLines w:val="0"/>
              <w:pageBreakBefore w:val="0"/>
              <w:wordWrap/>
              <w:overflowPunct/>
              <w:topLinePunct w:val="0"/>
              <w:bidi w:val="0"/>
              <w:adjustRightInd w:val="0"/>
              <w:snapToGrid w:val="0"/>
              <w:spacing w:line="360" w:lineRule="auto"/>
              <w:ind w:firstLine="480" w:firstLineChars="200"/>
              <w:rPr>
                <w:rFonts w:hint="default" w:ascii="Times New Roman" w:hAnsi="Times New Roman" w:cs="Times New Roman"/>
                <w:bCs/>
                <w:color w:val="auto"/>
                <w:kern w:val="0"/>
                <w:sz w:val="24"/>
                <w:highlight w:val="none"/>
                <w:u w:val="none" w:color="auto"/>
              </w:rPr>
            </w:pPr>
            <w:r>
              <w:rPr>
                <w:rFonts w:hint="default" w:ascii="Times New Roman" w:hAnsi="Times New Roman" w:cs="Times New Roman"/>
                <w:bCs/>
                <w:color w:val="auto"/>
                <w:kern w:val="0"/>
                <w:sz w:val="24"/>
                <w:highlight w:val="none"/>
                <w:u w:val="none" w:color="auto"/>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p w14:paraId="6E56DBC6">
            <w:pPr>
              <w:keepNext w:val="0"/>
              <w:keepLines w:val="0"/>
              <w:pageBreakBefore w:val="0"/>
              <w:tabs>
                <w:tab w:val="left" w:pos="1081"/>
              </w:tabs>
              <w:wordWrap/>
              <w:overflowPunct/>
              <w:topLinePunct w:val="0"/>
              <w:bidi w:val="0"/>
              <w:adjustRightInd w:val="0"/>
              <w:snapToGrid w:val="0"/>
              <w:spacing w:line="360" w:lineRule="auto"/>
              <w:ind w:firstLine="480" w:firstLineChars="200"/>
              <w:rPr>
                <w:rFonts w:hint="default" w:ascii="Times New Roman" w:hAnsi="Times New Roman" w:cs="Times New Roman"/>
                <w:bCs/>
                <w:color w:val="auto"/>
                <w:sz w:val="24"/>
                <w:highlight w:val="none"/>
                <w:u w:val="none" w:color="auto"/>
              </w:rPr>
            </w:pPr>
            <w:r>
              <w:rPr>
                <w:rFonts w:hint="default" w:ascii="Times New Roman" w:hAnsi="Times New Roman" w:cs="Times New Roman"/>
                <w:bCs/>
                <w:color w:val="auto"/>
                <w:sz w:val="24"/>
                <w:highlight w:val="none"/>
                <w:u w:val="none" w:color="auto"/>
              </w:rPr>
              <w:t>项目选址区域环境空气功能为二类区，执行《环境空气质量标准》（GB3095-2012）二级标准。根据《202</w:t>
            </w:r>
            <w:r>
              <w:rPr>
                <w:rFonts w:hint="default" w:ascii="Times New Roman" w:hAnsi="Times New Roman" w:cs="Times New Roman"/>
                <w:bCs/>
                <w:color w:val="auto"/>
                <w:sz w:val="24"/>
                <w:highlight w:val="none"/>
                <w:u w:val="none" w:color="auto"/>
                <w:lang w:val="en-US" w:eastAsia="zh-CN"/>
              </w:rPr>
              <w:t>3</w:t>
            </w:r>
            <w:r>
              <w:rPr>
                <w:rFonts w:hint="default" w:ascii="Times New Roman" w:hAnsi="Times New Roman" w:cs="Times New Roman"/>
                <w:bCs/>
                <w:color w:val="auto"/>
                <w:sz w:val="24"/>
                <w:highlight w:val="none"/>
                <w:u w:val="none" w:color="auto"/>
              </w:rPr>
              <w:t>年河南省南阳市生态环境质量报告》中</w:t>
            </w:r>
            <w:r>
              <w:rPr>
                <w:rFonts w:hint="eastAsia" w:cs="Times New Roman"/>
                <w:bCs/>
                <w:color w:val="auto"/>
                <w:sz w:val="24"/>
                <w:highlight w:val="none"/>
                <w:u w:val="none" w:color="auto"/>
                <w:lang w:eastAsia="zh-CN"/>
              </w:rPr>
              <w:t>“</w:t>
            </w:r>
            <w:r>
              <w:rPr>
                <w:rFonts w:hint="default" w:ascii="Times New Roman" w:hAnsi="Times New Roman" w:cs="Times New Roman"/>
                <w:bCs/>
                <w:color w:val="auto"/>
                <w:sz w:val="24"/>
                <w:highlight w:val="none"/>
                <w:u w:val="none" w:color="auto"/>
              </w:rPr>
              <w:t>202</w:t>
            </w:r>
            <w:r>
              <w:rPr>
                <w:rFonts w:hint="default" w:ascii="Times New Roman" w:hAnsi="Times New Roman" w:cs="Times New Roman"/>
                <w:bCs/>
                <w:color w:val="auto"/>
                <w:sz w:val="24"/>
                <w:highlight w:val="none"/>
                <w:u w:val="none" w:color="auto"/>
                <w:lang w:val="en-US" w:eastAsia="zh-CN"/>
              </w:rPr>
              <w:t>3</w:t>
            </w:r>
            <w:r>
              <w:rPr>
                <w:rFonts w:hint="default" w:ascii="Times New Roman" w:hAnsi="Times New Roman" w:cs="Times New Roman"/>
                <w:bCs/>
                <w:color w:val="auto"/>
                <w:sz w:val="24"/>
                <w:highlight w:val="none"/>
                <w:u w:val="none" w:color="auto"/>
              </w:rPr>
              <w:t>年南阳市各县（市、区）环境空气主要项目监测结果统计</w:t>
            </w:r>
            <w:r>
              <w:rPr>
                <w:rFonts w:hint="eastAsia" w:cs="Times New Roman"/>
                <w:bCs/>
                <w:color w:val="auto"/>
                <w:sz w:val="24"/>
                <w:highlight w:val="none"/>
                <w:u w:val="none" w:color="auto"/>
                <w:lang w:eastAsia="zh-CN"/>
              </w:rPr>
              <w:t>”</w:t>
            </w:r>
            <w:r>
              <w:rPr>
                <w:rFonts w:hint="default" w:ascii="Times New Roman" w:hAnsi="Times New Roman" w:cs="Times New Roman"/>
                <w:bCs/>
                <w:color w:val="auto"/>
                <w:sz w:val="24"/>
                <w:highlight w:val="none"/>
                <w:u w:val="none" w:color="auto"/>
              </w:rPr>
              <w:t>中镇平县的数据，区域环境质量状况一般，属于不达标区域。</w:t>
            </w:r>
          </w:p>
          <w:p w14:paraId="06027B7F">
            <w:pPr>
              <w:keepNext w:val="0"/>
              <w:keepLines w:val="0"/>
              <w:pageBreakBefore w:val="0"/>
              <w:tabs>
                <w:tab w:val="left" w:pos="1081"/>
              </w:tabs>
              <w:wordWrap/>
              <w:overflowPunct/>
              <w:topLinePunct w:val="0"/>
              <w:bidi w:val="0"/>
              <w:adjustRightInd w:val="0"/>
              <w:snapToGrid w:val="0"/>
              <w:spacing w:line="360" w:lineRule="auto"/>
              <w:ind w:firstLine="480" w:firstLineChars="200"/>
              <w:rPr>
                <w:rFonts w:hint="default" w:ascii="Times New Roman" w:hAnsi="Times New Roman" w:cs="Times New Roman"/>
                <w:bCs/>
                <w:color w:val="auto"/>
                <w:sz w:val="24"/>
                <w:highlight w:val="none"/>
                <w:u w:val="none" w:color="auto"/>
              </w:rPr>
            </w:pPr>
            <w:r>
              <w:rPr>
                <w:rFonts w:hint="default" w:ascii="Times New Roman" w:hAnsi="Times New Roman" w:cs="Times New Roman"/>
                <w:bCs/>
                <w:color w:val="auto"/>
                <w:sz w:val="24"/>
                <w:highlight w:val="none"/>
                <w:u w:val="none" w:color="auto"/>
              </w:rPr>
              <w:t>为此，南阳市生态环境保护委员会已经制定了《南阳市2024年蓝天保卫战实施方案》（宛环委办〔2024〕21号），南阳市将坚持稳中求进工作总基调，以改善环境空气质量为核心，以降低细颗粒物（PM</w:t>
            </w:r>
            <w:r>
              <w:rPr>
                <w:rFonts w:hint="default" w:ascii="Times New Roman" w:hAnsi="Times New Roman" w:cs="Times New Roman"/>
                <w:bCs/>
                <w:color w:val="auto"/>
                <w:sz w:val="24"/>
                <w:highlight w:val="none"/>
                <w:u w:val="none" w:color="auto"/>
                <w:vertAlign w:val="subscript"/>
              </w:rPr>
              <w:t>2.5</w:t>
            </w:r>
            <w:r>
              <w:rPr>
                <w:rFonts w:hint="default" w:ascii="Times New Roman" w:hAnsi="Times New Roman" w:cs="Times New Roman"/>
                <w:bCs/>
                <w:color w:val="auto"/>
                <w:sz w:val="24"/>
                <w:highlight w:val="none"/>
                <w:u w:val="none" w:color="auto"/>
              </w:rPr>
              <w:t>）浓度为主线，协同推进降碳、减污、扩绿、增长，以更高标准打好秋冬季重污染天气消除、夏季臭氧污染防治和柴油货车污染治理攻坚战，扎实抓好减污降碳协同增效、工业污染治理减排、移动源污染控制、面源污染综合治理、重污染天气联合应对、科技支撑能力建设六个攻坚行动，加快推动发展方式绿色低碳转型，完成省定年度空气质量改善目标任务，为推进美丽南阳建设贡献力量,为高水平建强省域副中心城市提供生态保障。</w:t>
            </w:r>
          </w:p>
          <w:p w14:paraId="174D450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bCs/>
                <w:color w:val="auto"/>
                <w:kern w:val="0"/>
                <w:sz w:val="24"/>
                <w:u w:val="none" w:color="auto"/>
              </w:rPr>
            </w:pPr>
            <w:r>
              <w:rPr>
                <w:rFonts w:hint="default" w:ascii="Times New Roman" w:hAnsi="Times New Roman" w:cs="Times New Roman"/>
                <w:bCs/>
                <w:color w:val="auto"/>
                <w:sz w:val="24"/>
                <w:highlight w:val="none"/>
                <w:u w:val="none" w:color="auto"/>
              </w:rPr>
              <w:t>①</w:t>
            </w:r>
            <w:r>
              <w:rPr>
                <w:rFonts w:hint="default" w:ascii="Times New Roman" w:hAnsi="Times New Roman" w:eastAsia="宋体" w:cs="Times New Roman"/>
                <w:bCs/>
                <w:color w:val="auto"/>
                <w:kern w:val="0"/>
                <w:sz w:val="24"/>
                <w:u w:val="none" w:color="auto"/>
              </w:rPr>
              <w:t>项目</w:t>
            </w:r>
            <w:r>
              <w:rPr>
                <w:rFonts w:hint="eastAsia" w:cs="Times New Roman"/>
                <w:bCs/>
                <w:color w:val="auto"/>
                <w:kern w:val="0"/>
                <w:sz w:val="24"/>
                <w:u w:val="none" w:color="auto"/>
                <w:lang w:eastAsia="zh-CN"/>
              </w:rPr>
              <w:t>餐厅</w:t>
            </w:r>
            <w:r>
              <w:rPr>
                <w:rFonts w:hint="default" w:ascii="Times New Roman" w:hAnsi="Times New Roman" w:eastAsia="宋体" w:cs="Times New Roman"/>
                <w:bCs/>
                <w:color w:val="auto"/>
                <w:kern w:val="0"/>
                <w:sz w:val="24"/>
                <w:u w:val="none" w:color="auto"/>
              </w:rPr>
              <w:t>油烟</w:t>
            </w:r>
            <w:r>
              <w:rPr>
                <w:rFonts w:hint="default" w:ascii="Times New Roman" w:hAnsi="Times New Roman" w:eastAsia="宋体" w:cs="Times New Roman"/>
                <w:bCs/>
                <w:color w:val="auto"/>
                <w:kern w:val="0"/>
                <w:sz w:val="24"/>
                <w:u w:val="none" w:color="auto"/>
                <w:lang w:val="en-US" w:eastAsia="zh-CN"/>
              </w:rPr>
              <w:t>经现有8套</w:t>
            </w:r>
            <w:r>
              <w:rPr>
                <w:rFonts w:hint="default" w:ascii="Times New Roman" w:hAnsi="Times New Roman" w:eastAsia="宋体" w:cs="Times New Roman"/>
                <w:bCs/>
                <w:color w:val="auto"/>
                <w:kern w:val="0"/>
                <w:sz w:val="24"/>
                <w:u w:val="none" w:color="auto"/>
              </w:rPr>
              <w:t>油烟净化器</w:t>
            </w:r>
            <w:r>
              <w:rPr>
                <w:rFonts w:hint="default" w:ascii="Times New Roman" w:hAnsi="Times New Roman" w:eastAsia="宋体" w:cs="Times New Roman"/>
                <w:bCs/>
                <w:color w:val="auto"/>
                <w:kern w:val="0"/>
                <w:sz w:val="24"/>
                <w:u w:val="none" w:color="auto"/>
                <w:lang w:val="en-US" w:eastAsia="zh-CN"/>
              </w:rPr>
              <w:t>处理后通过1根专用烟道（DA002）排放</w:t>
            </w:r>
            <w:r>
              <w:rPr>
                <w:rFonts w:hint="default" w:ascii="Times New Roman" w:hAnsi="Times New Roman" w:eastAsia="宋体" w:cs="Times New Roman"/>
                <w:bCs/>
                <w:color w:val="auto"/>
                <w:kern w:val="0"/>
                <w:sz w:val="24"/>
                <w:u w:val="none" w:color="auto"/>
              </w:rPr>
              <w:t>，油烟处理后排放浓度为0.1</w:t>
            </w:r>
            <w:r>
              <w:rPr>
                <w:rFonts w:hint="default" w:ascii="Times New Roman" w:hAnsi="Times New Roman" w:eastAsia="宋体" w:cs="Times New Roman"/>
                <w:bCs/>
                <w:color w:val="auto"/>
                <w:kern w:val="0"/>
                <w:sz w:val="24"/>
                <w:u w:val="none" w:color="auto"/>
                <w:lang w:val="en-US" w:eastAsia="zh-CN"/>
              </w:rPr>
              <w:t>85</w:t>
            </w:r>
            <w:r>
              <w:rPr>
                <w:rFonts w:hint="default" w:ascii="Times New Roman" w:hAnsi="Times New Roman" w:eastAsia="宋体" w:cs="Times New Roman"/>
                <w:bCs/>
                <w:color w:val="auto"/>
                <w:kern w:val="0"/>
                <w:sz w:val="24"/>
                <w:u w:val="none" w:color="auto"/>
              </w:rPr>
              <w:t>mg/m</w:t>
            </w:r>
            <w:r>
              <w:rPr>
                <w:rFonts w:hint="default" w:ascii="Times New Roman" w:hAnsi="Times New Roman" w:eastAsia="宋体" w:cs="Times New Roman"/>
                <w:bCs/>
                <w:color w:val="auto"/>
                <w:kern w:val="0"/>
                <w:sz w:val="24"/>
                <w:u w:val="none" w:color="auto"/>
                <w:vertAlign w:val="superscript"/>
              </w:rPr>
              <w:t>3</w:t>
            </w:r>
            <w:r>
              <w:rPr>
                <w:rFonts w:hint="default" w:ascii="Times New Roman" w:hAnsi="Times New Roman" w:eastAsia="宋体" w:cs="Times New Roman"/>
                <w:bCs/>
                <w:color w:val="auto"/>
                <w:kern w:val="0"/>
                <w:sz w:val="24"/>
                <w:u w:val="none" w:color="auto"/>
              </w:rPr>
              <w:t>，排放速率为0.0</w:t>
            </w:r>
            <w:r>
              <w:rPr>
                <w:rFonts w:hint="default" w:ascii="Times New Roman" w:hAnsi="Times New Roman" w:eastAsia="宋体" w:cs="Times New Roman"/>
                <w:bCs/>
                <w:color w:val="auto"/>
                <w:kern w:val="0"/>
                <w:sz w:val="24"/>
                <w:u w:val="none" w:color="auto"/>
                <w:lang w:val="en-US" w:eastAsia="zh-CN"/>
              </w:rPr>
              <w:t>27</w:t>
            </w:r>
            <w:r>
              <w:rPr>
                <w:rFonts w:hint="default" w:ascii="Times New Roman" w:hAnsi="Times New Roman" w:eastAsia="宋体" w:cs="Times New Roman"/>
                <w:bCs/>
                <w:color w:val="auto"/>
                <w:kern w:val="0"/>
                <w:sz w:val="24"/>
                <w:u w:val="none" w:color="auto"/>
              </w:rPr>
              <w:t>kg/h，</w:t>
            </w:r>
            <w:r>
              <w:rPr>
                <w:rFonts w:hint="default" w:ascii="Times New Roman" w:hAnsi="Times New Roman" w:eastAsia="宋体" w:cs="Times New Roman"/>
                <w:bCs/>
                <w:color w:val="auto"/>
                <w:kern w:val="0"/>
                <w:sz w:val="24"/>
                <w:u w:val="none" w:color="auto"/>
                <w:lang w:val="en-US" w:eastAsia="zh-CN"/>
              </w:rPr>
              <w:t>非甲烷总烃</w:t>
            </w:r>
            <w:r>
              <w:rPr>
                <w:rFonts w:hint="default" w:ascii="Times New Roman" w:hAnsi="Times New Roman" w:eastAsia="宋体" w:cs="Times New Roman"/>
                <w:bCs/>
                <w:color w:val="auto"/>
                <w:kern w:val="0"/>
                <w:sz w:val="24"/>
                <w:u w:val="none" w:color="auto"/>
              </w:rPr>
              <w:t>处理后排放浓度为</w:t>
            </w:r>
            <w:r>
              <w:rPr>
                <w:rFonts w:hint="default" w:ascii="Times New Roman" w:hAnsi="Times New Roman" w:eastAsia="宋体" w:cs="Times New Roman"/>
                <w:bCs/>
                <w:color w:val="auto"/>
                <w:kern w:val="0"/>
                <w:sz w:val="24"/>
                <w:u w:val="none" w:color="auto"/>
                <w:lang w:val="en-US" w:eastAsia="zh-CN"/>
              </w:rPr>
              <w:t>4.73</w:t>
            </w:r>
            <w:r>
              <w:rPr>
                <w:rFonts w:hint="default" w:ascii="Times New Roman" w:hAnsi="Times New Roman" w:eastAsia="宋体" w:cs="Times New Roman"/>
                <w:bCs/>
                <w:color w:val="auto"/>
                <w:kern w:val="0"/>
                <w:sz w:val="24"/>
                <w:u w:val="none" w:color="auto"/>
              </w:rPr>
              <w:t>mg/m</w:t>
            </w:r>
            <w:r>
              <w:rPr>
                <w:rFonts w:hint="default" w:ascii="Times New Roman" w:hAnsi="Times New Roman" w:eastAsia="宋体" w:cs="Times New Roman"/>
                <w:bCs/>
                <w:color w:val="auto"/>
                <w:kern w:val="0"/>
                <w:sz w:val="24"/>
                <w:u w:val="none" w:color="auto"/>
                <w:vertAlign w:val="superscript"/>
              </w:rPr>
              <w:t>3</w:t>
            </w:r>
            <w:r>
              <w:rPr>
                <w:rFonts w:hint="default" w:ascii="Times New Roman" w:hAnsi="Times New Roman" w:eastAsia="宋体" w:cs="Times New Roman"/>
                <w:bCs/>
                <w:color w:val="auto"/>
                <w:kern w:val="0"/>
                <w:sz w:val="24"/>
                <w:u w:val="none" w:color="auto"/>
              </w:rPr>
              <w:t>，排放速率为</w:t>
            </w:r>
            <w:r>
              <w:rPr>
                <w:rFonts w:hint="default" w:ascii="Times New Roman" w:hAnsi="Times New Roman" w:eastAsia="宋体" w:cs="Times New Roman"/>
                <w:bCs/>
                <w:color w:val="auto"/>
                <w:kern w:val="0"/>
                <w:sz w:val="24"/>
                <w:u w:val="none" w:color="auto"/>
                <w:lang w:val="en-US" w:eastAsia="zh-CN"/>
              </w:rPr>
              <w:t>0.15</w:t>
            </w:r>
            <w:r>
              <w:rPr>
                <w:rFonts w:hint="default" w:ascii="Times New Roman" w:hAnsi="Times New Roman" w:eastAsia="宋体" w:cs="Times New Roman"/>
                <w:bCs/>
                <w:color w:val="auto"/>
                <w:kern w:val="0"/>
                <w:sz w:val="24"/>
                <w:u w:val="none" w:color="auto"/>
              </w:rPr>
              <w:t>kg/h，经处理后的</w:t>
            </w:r>
            <w:r>
              <w:rPr>
                <w:rFonts w:hint="default" w:ascii="Times New Roman" w:hAnsi="Times New Roman" w:eastAsia="宋体" w:cs="Times New Roman"/>
                <w:bCs/>
                <w:color w:val="auto"/>
                <w:kern w:val="0"/>
                <w:sz w:val="24"/>
                <w:u w:val="none" w:color="auto"/>
                <w:lang w:val="en-US" w:eastAsia="zh-CN"/>
              </w:rPr>
              <w:t>废气</w:t>
            </w:r>
            <w:r>
              <w:rPr>
                <w:rFonts w:hint="default" w:ascii="Times New Roman" w:hAnsi="Times New Roman" w:eastAsia="宋体" w:cs="Times New Roman"/>
                <w:bCs/>
                <w:color w:val="auto"/>
                <w:kern w:val="0"/>
                <w:sz w:val="24"/>
                <w:u w:val="none" w:color="auto"/>
              </w:rPr>
              <w:t>排放浓度可以满足《餐饮业油烟污染物排放标准》（DB41/1604-2018）</w:t>
            </w:r>
            <w:r>
              <w:rPr>
                <w:rFonts w:hint="default" w:ascii="Times New Roman" w:hAnsi="Times New Roman" w:eastAsia="宋体" w:cs="Times New Roman"/>
                <w:bCs/>
                <w:color w:val="auto"/>
                <w:kern w:val="0"/>
                <w:sz w:val="24"/>
                <w:u w:val="none" w:color="auto"/>
                <w:lang w:val="en-US" w:eastAsia="zh-CN"/>
              </w:rPr>
              <w:t>表1中</w:t>
            </w:r>
            <w:r>
              <w:rPr>
                <w:rFonts w:hint="default" w:ascii="Times New Roman" w:hAnsi="Times New Roman" w:eastAsia="宋体" w:cs="Times New Roman"/>
                <w:bCs/>
                <w:color w:val="auto"/>
                <w:kern w:val="0"/>
                <w:sz w:val="24"/>
                <w:u w:val="none" w:color="auto"/>
              </w:rPr>
              <w:t>相关排放限值要求，废气处理措施可行。</w:t>
            </w:r>
          </w:p>
          <w:p w14:paraId="57A6B98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eastAsia" w:ascii="Times New Roman" w:hAnsi="Times New Roman" w:eastAsia="宋体" w:cs="Times New Roman"/>
                <w:bCs/>
                <w:color w:val="auto"/>
                <w:kern w:val="0"/>
                <w:sz w:val="24"/>
                <w:u w:val="none" w:color="auto"/>
                <w:lang w:val="en-US" w:eastAsia="zh-CN"/>
              </w:rPr>
            </w:pPr>
            <w:r>
              <w:rPr>
                <w:rFonts w:hint="eastAsia" w:eastAsia="宋体" w:cs="Times New Roman"/>
                <w:bCs/>
                <w:color w:val="auto"/>
                <w:kern w:val="0"/>
                <w:sz w:val="24"/>
                <w:u w:val="none" w:color="auto"/>
                <w:lang w:val="en-US" w:eastAsia="zh-CN"/>
              </w:rPr>
              <w:t>②本项目</w:t>
            </w:r>
            <w:r>
              <w:rPr>
                <w:rFonts w:hint="default" w:ascii="Times New Roman" w:hAnsi="Times New Roman" w:eastAsia="宋体" w:cs="Times New Roman"/>
                <w:color w:val="auto"/>
                <w:spacing w:val="1"/>
                <w:sz w:val="24"/>
                <w:szCs w:val="24"/>
                <w:u w:val="none" w:color="auto"/>
              </w:rPr>
              <w:t>实验室排放的废气量较小，成分较简单，主要为氯化氢、硫酸雾、硝酸雾等挥发性气体，且为间断性排放。本项目通过加强收集并经活性炭处理后排放，对周围的环境影响较小。</w:t>
            </w:r>
          </w:p>
          <w:p w14:paraId="00C366B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cs="Times New Roman"/>
                <w:bCs/>
                <w:color w:val="auto"/>
                <w:sz w:val="24"/>
                <w:highlight w:val="none"/>
                <w:u w:val="none" w:color="auto"/>
              </w:rPr>
            </w:pPr>
            <w:r>
              <w:rPr>
                <w:rFonts w:hint="default" w:ascii="Times New Roman" w:hAnsi="Times New Roman" w:cs="Times New Roman"/>
                <w:bCs/>
                <w:color w:val="auto"/>
                <w:sz w:val="24"/>
                <w:highlight w:val="none"/>
                <w:u w:val="none" w:color="auto"/>
              </w:rPr>
              <w:t xml:space="preserve">因此，项目建设对区域大气环境质量不会产生明显不良影响。 </w:t>
            </w:r>
          </w:p>
          <w:p w14:paraId="0FF4C3A4">
            <w:pPr>
              <w:pStyle w:val="129"/>
              <w:keepNext w:val="0"/>
              <w:keepLines w:val="0"/>
              <w:pageBreakBefore w:val="0"/>
              <w:wordWrap/>
              <w:overflowPunct/>
              <w:topLinePunct w:val="0"/>
              <w:bidi w:val="0"/>
              <w:adjustRightInd w:val="0"/>
              <w:snapToGrid w:val="0"/>
              <w:ind w:firstLine="480" w:firstLineChars="200"/>
              <w:rPr>
                <w:rFonts w:hint="default" w:ascii="Times New Roman" w:hAnsi="Times New Roman" w:cs="Times New Roman"/>
                <w:b/>
                <w:bCs w:val="0"/>
                <w:color w:val="auto"/>
                <w:szCs w:val="24"/>
                <w:highlight w:val="none"/>
                <w:u w:val="none" w:color="auto"/>
              </w:rPr>
            </w:pPr>
            <w:r>
              <w:rPr>
                <w:rFonts w:hint="default" w:ascii="Times New Roman" w:hAnsi="Times New Roman" w:cs="Times New Roman"/>
                <w:bCs/>
                <w:color w:val="auto"/>
                <w:kern w:val="0"/>
                <w:sz w:val="24"/>
                <w:highlight w:val="none"/>
                <w:u w:val="none" w:color="auto"/>
              </w:rPr>
              <w:t>项目周围的地表水体主要为项目</w:t>
            </w:r>
            <w:r>
              <w:rPr>
                <w:rFonts w:hint="eastAsia" w:cs="Times New Roman"/>
                <w:bCs/>
                <w:color w:val="auto"/>
                <w:kern w:val="0"/>
                <w:sz w:val="24"/>
                <w:highlight w:val="none"/>
                <w:u w:val="none" w:color="auto"/>
                <w:lang w:val="en-US" w:eastAsia="zh-CN"/>
              </w:rPr>
              <w:t>东</w:t>
            </w:r>
            <w:r>
              <w:rPr>
                <w:rFonts w:hint="default" w:ascii="Times New Roman" w:hAnsi="Times New Roman" w:cs="Times New Roman"/>
                <w:bCs/>
                <w:color w:val="auto"/>
                <w:kern w:val="0"/>
                <w:sz w:val="24"/>
                <w:highlight w:val="none"/>
                <w:u w:val="none" w:color="auto"/>
              </w:rPr>
              <w:t>侧约</w:t>
            </w:r>
            <w:r>
              <w:rPr>
                <w:rFonts w:hint="eastAsia" w:cs="Times New Roman"/>
                <w:bCs/>
                <w:color w:val="auto"/>
                <w:kern w:val="0"/>
                <w:sz w:val="24"/>
                <w:highlight w:val="none"/>
                <w:u w:val="none" w:color="auto"/>
                <w:lang w:val="en-US" w:eastAsia="zh-CN"/>
              </w:rPr>
              <w:t>276</w:t>
            </w:r>
            <w:r>
              <w:rPr>
                <w:rFonts w:hint="default" w:ascii="Times New Roman" w:hAnsi="Times New Roman" w:cs="Times New Roman"/>
                <w:bCs/>
                <w:color w:val="auto"/>
                <w:kern w:val="0"/>
                <w:sz w:val="24"/>
                <w:highlight w:val="none"/>
                <w:u w:val="none" w:color="auto"/>
              </w:rPr>
              <w:t>m的</w:t>
            </w:r>
            <w:r>
              <w:rPr>
                <w:rFonts w:hint="eastAsia" w:cs="Times New Roman"/>
                <w:bCs/>
                <w:color w:val="auto"/>
                <w:kern w:val="0"/>
                <w:sz w:val="24"/>
                <w:highlight w:val="none"/>
                <w:u w:val="none" w:color="auto"/>
                <w:lang w:val="en-US" w:eastAsia="zh-CN"/>
              </w:rPr>
              <w:t>三</w:t>
            </w:r>
            <w:r>
              <w:rPr>
                <w:rFonts w:hint="default" w:ascii="Times New Roman" w:hAnsi="Times New Roman" w:cs="Times New Roman"/>
                <w:bCs/>
                <w:color w:val="auto"/>
                <w:kern w:val="0"/>
                <w:sz w:val="24"/>
                <w:highlight w:val="none"/>
                <w:u w:val="none" w:color="auto"/>
              </w:rPr>
              <w:t>里河，项目采用雨污分流排水系统，项目区雨水经市政雨水管网向</w:t>
            </w:r>
            <w:r>
              <w:rPr>
                <w:rFonts w:hint="eastAsia" w:cs="Times New Roman"/>
                <w:bCs/>
                <w:color w:val="auto"/>
                <w:kern w:val="0"/>
                <w:sz w:val="24"/>
                <w:highlight w:val="none"/>
                <w:u w:val="none" w:color="auto"/>
                <w:lang w:val="en-US" w:eastAsia="zh-CN"/>
              </w:rPr>
              <w:t>东</w:t>
            </w:r>
            <w:r>
              <w:rPr>
                <w:rFonts w:hint="default" w:ascii="Times New Roman" w:hAnsi="Times New Roman" w:cs="Times New Roman"/>
                <w:bCs/>
                <w:color w:val="auto"/>
                <w:kern w:val="0"/>
                <w:sz w:val="24"/>
                <w:highlight w:val="none"/>
                <w:u w:val="none" w:color="auto"/>
              </w:rPr>
              <w:t>排入</w:t>
            </w:r>
            <w:r>
              <w:rPr>
                <w:rFonts w:hint="eastAsia" w:cs="Times New Roman"/>
                <w:bCs/>
                <w:color w:val="auto"/>
                <w:kern w:val="0"/>
                <w:sz w:val="24"/>
                <w:highlight w:val="none"/>
                <w:u w:val="none" w:color="auto"/>
                <w:lang w:val="en-US" w:eastAsia="zh-CN"/>
              </w:rPr>
              <w:t>三里河，向南流入淇河</w:t>
            </w:r>
            <w:r>
              <w:rPr>
                <w:rFonts w:hint="default" w:ascii="Times New Roman" w:hAnsi="Times New Roman" w:cs="Times New Roman"/>
                <w:bCs/>
                <w:color w:val="auto"/>
                <w:kern w:val="0"/>
                <w:sz w:val="24"/>
                <w:highlight w:val="none"/>
                <w:u w:val="none" w:color="auto"/>
              </w:rPr>
              <w:t>，汇入赵河</w:t>
            </w:r>
            <w:r>
              <w:rPr>
                <w:rFonts w:hint="default" w:ascii="Times New Roman" w:hAnsi="Times New Roman" w:cs="Times New Roman"/>
                <w:color w:val="auto"/>
                <w:sz w:val="24"/>
                <w:highlight w:val="none"/>
                <w:u w:val="none" w:color="auto"/>
              </w:rPr>
              <w:t>。</w:t>
            </w:r>
            <w:r>
              <w:rPr>
                <w:rFonts w:hint="default" w:ascii="Times New Roman" w:hAnsi="Times New Roman" w:eastAsia="宋体" w:cs="Times New Roman"/>
                <w:color w:val="auto"/>
                <w:sz w:val="24"/>
                <w:szCs w:val="24"/>
                <w:highlight w:val="none"/>
                <w:u w:val="none" w:color="auto"/>
              </w:rPr>
              <w:t>本项目</w:t>
            </w:r>
            <w:r>
              <w:rPr>
                <w:rFonts w:hint="default" w:ascii="Times New Roman" w:hAnsi="Times New Roman" w:eastAsia="宋体" w:cs="Times New Roman"/>
                <w:color w:val="auto"/>
                <w:sz w:val="24"/>
                <w:szCs w:val="24"/>
                <w:highlight w:val="none"/>
                <w:u w:val="none" w:color="auto"/>
                <w:lang w:val="en-US" w:eastAsia="zh-CN"/>
              </w:rPr>
              <w:t>营运期师生日常生活污水与经现有地埋式隔油池（1座，地埋式，容积230m</w:t>
            </w:r>
            <w:r>
              <w:rPr>
                <w:rFonts w:hint="default" w:ascii="Times New Roman" w:hAnsi="Times New Roman" w:eastAsia="宋体" w:cs="Times New Roman"/>
                <w:color w:val="auto"/>
                <w:sz w:val="24"/>
                <w:szCs w:val="24"/>
                <w:highlight w:val="none"/>
                <w:u w:val="none" w:color="auto"/>
                <w:vertAlign w:val="superscript"/>
                <w:lang w:val="en-US" w:eastAsia="zh-CN"/>
              </w:rPr>
              <w:t>3</w:t>
            </w:r>
            <w:r>
              <w:rPr>
                <w:rFonts w:hint="default" w:ascii="Times New Roman" w:hAnsi="Times New Roman" w:eastAsia="宋体" w:cs="Times New Roman"/>
                <w:color w:val="auto"/>
                <w:sz w:val="24"/>
                <w:szCs w:val="24"/>
                <w:highlight w:val="none"/>
                <w:u w:val="none" w:color="auto"/>
                <w:lang w:val="en-US" w:eastAsia="zh-CN"/>
              </w:rPr>
              <w:t>）处理后的</w:t>
            </w:r>
            <w:r>
              <w:rPr>
                <w:rFonts w:hint="eastAsia" w:ascii="Times New Roman" w:cs="Times New Roman"/>
                <w:color w:val="auto"/>
                <w:sz w:val="24"/>
                <w:szCs w:val="24"/>
                <w:highlight w:val="none"/>
                <w:u w:val="none" w:color="auto"/>
                <w:lang w:val="en-US" w:eastAsia="zh-CN"/>
              </w:rPr>
              <w:t>餐厅</w:t>
            </w:r>
            <w:r>
              <w:rPr>
                <w:rFonts w:hint="default" w:ascii="Times New Roman" w:hAnsi="Times New Roman" w:eastAsia="宋体" w:cs="Times New Roman"/>
                <w:color w:val="auto"/>
                <w:sz w:val="24"/>
                <w:szCs w:val="24"/>
                <w:highlight w:val="none"/>
                <w:u w:val="none" w:color="auto"/>
                <w:lang w:val="en-US" w:eastAsia="zh-CN"/>
              </w:rPr>
              <w:t>废水以及经中和池（新建，1座，地埋式，容积5m</w:t>
            </w:r>
            <w:r>
              <w:rPr>
                <w:rFonts w:hint="default" w:ascii="Times New Roman" w:hAnsi="Times New Roman" w:eastAsia="宋体" w:cs="Times New Roman"/>
                <w:color w:val="auto"/>
                <w:sz w:val="24"/>
                <w:szCs w:val="24"/>
                <w:highlight w:val="none"/>
                <w:u w:val="none" w:color="auto"/>
                <w:vertAlign w:val="superscript"/>
                <w:lang w:val="en-US" w:eastAsia="zh-CN"/>
              </w:rPr>
              <w:t>3</w:t>
            </w:r>
            <w:r>
              <w:rPr>
                <w:rFonts w:hint="default" w:ascii="Times New Roman" w:hAnsi="Times New Roman" w:eastAsia="宋体" w:cs="Times New Roman"/>
                <w:color w:val="auto"/>
                <w:sz w:val="24"/>
                <w:szCs w:val="24"/>
                <w:highlight w:val="none"/>
                <w:u w:val="none" w:color="auto"/>
                <w:lang w:val="en-US" w:eastAsia="zh-CN"/>
              </w:rPr>
              <w:t>）处理后的实验室废水一起进入现有地埋式化粪池（1座，地埋式，现有容积650m</w:t>
            </w:r>
            <w:r>
              <w:rPr>
                <w:rFonts w:hint="default" w:ascii="Times New Roman" w:hAnsi="Times New Roman" w:eastAsia="宋体" w:cs="Times New Roman"/>
                <w:color w:val="auto"/>
                <w:sz w:val="24"/>
                <w:szCs w:val="24"/>
                <w:highlight w:val="none"/>
                <w:u w:val="none" w:color="auto"/>
                <w:vertAlign w:val="superscript"/>
                <w:lang w:val="en-US" w:eastAsia="zh-CN"/>
              </w:rPr>
              <w:t>3</w:t>
            </w:r>
            <w:r>
              <w:rPr>
                <w:rFonts w:hint="default" w:ascii="Times New Roman" w:hAnsi="Times New Roman" w:eastAsia="宋体" w:cs="Times New Roman"/>
                <w:color w:val="auto"/>
                <w:sz w:val="24"/>
                <w:szCs w:val="24"/>
                <w:highlight w:val="none"/>
                <w:u w:val="none" w:color="auto"/>
                <w:lang w:val="en-US" w:eastAsia="zh-CN"/>
              </w:rPr>
              <w:t>）处理后</w:t>
            </w:r>
            <w:r>
              <w:rPr>
                <w:rFonts w:hint="default" w:ascii="Times New Roman" w:hAnsi="Times New Roman" w:eastAsia="宋体" w:cs="Times New Roman"/>
                <w:color w:val="auto"/>
                <w:kern w:val="0"/>
                <w:sz w:val="24"/>
                <w:szCs w:val="24"/>
                <w:highlight w:val="none"/>
                <w:u w:val="none" w:color="auto"/>
              </w:rPr>
              <w:t>满足《污水综合排放标准》（GB8978-1996）表4三级标准及镇平县</w:t>
            </w:r>
            <w:r>
              <w:rPr>
                <w:rFonts w:hint="default" w:ascii="Times New Roman" w:hAnsi="Times New Roman" w:eastAsia="宋体" w:cs="Times New Roman"/>
                <w:color w:val="auto"/>
                <w:kern w:val="0"/>
                <w:sz w:val="24"/>
                <w:szCs w:val="24"/>
                <w:highlight w:val="none"/>
                <w:u w:val="none" w:color="auto"/>
                <w:lang w:val="en-US" w:eastAsia="zh-CN"/>
              </w:rPr>
              <w:t>污水处理中心</w:t>
            </w:r>
            <w:r>
              <w:rPr>
                <w:rFonts w:hint="default" w:ascii="Times New Roman" w:hAnsi="Times New Roman" w:eastAsia="宋体" w:cs="Times New Roman"/>
                <w:color w:val="auto"/>
                <w:kern w:val="0"/>
                <w:sz w:val="24"/>
                <w:szCs w:val="24"/>
                <w:highlight w:val="none"/>
                <w:u w:val="none" w:color="auto"/>
              </w:rPr>
              <w:t>进水水质指标后经市政污水管网进入镇平县</w:t>
            </w:r>
            <w:r>
              <w:rPr>
                <w:rFonts w:hint="default" w:ascii="Times New Roman" w:hAnsi="Times New Roman" w:eastAsia="宋体" w:cs="Times New Roman"/>
                <w:color w:val="auto"/>
                <w:kern w:val="0"/>
                <w:sz w:val="24"/>
                <w:szCs w:val="24"/>
                <w:highlight w:val="none"/>
                <w:u w:val="none" w:color="auto"/>
                <w:lang w:val="en-US" w:eastAsia="zh-CN"/>
              </w:rPr>
              <w:t>污水处理中心</w:t>
            </w:r>
            <w:r>
              <w:rPr>
                <w:rFonts w:hint="default" w:ascii="Times New Roman" w:hAnsi="Times New Roman" w:eastAsia="宋体" w:cs="Times New Roman"/>
                <w:color w:val="auto"/>
                <w:kern w:val="0"/>
                <w:sz w:val="24"/>
                <w:szCs w:val="24"/>
                <w:highlight w:val="none"/>
                <w:u w:val="none" w:color="auto"/>
              </w:rPr>
              <w:t>进一步处理达到《城镇污水处理厂污染物排放标准》（GB18918-2002）一级A标准后</w:t>
            </w:r>
            <w:r>
              <w:rPr>
                <w:rFonts w:hint="default" w:ascii="Times New Roman" w:hAnsi="Times New Roman" w:eastAsia="宋体" w:cs="Times New Roman"/>
                <w:color w:val="auto"/>
                <w:sz w:val="24"/>
                <w:szCs w:val="24"/>
                <w:highlight w:val="none"/>
                <w:u w:val="none" w:color="auto"/>
              </w:rPr>
              <w:t>排入</w:t>
            </w:r>
            <w:r>
              <w:rPr>
                <w:rFonts w:hint="default" w:ascii="Times New Roman" w:hAnsi="Times New Roman" w:eastAsia="宋体" w:cs="Times New Roman"/>
                <w:color w:val="auto"/>
                <w:sz w:val="24"/>
                <w:szCs w:val="24"/>
                <w:highlight w:val="none"/>
                <w:u w:val="none" w:color="auto"/>
                <w:lang w:val="en-US" w:eastAsia="zh-CN"/>
              </w:rPr>
              <w:t>西三里河</w:t>
            </w:r>
            <w:r>
              <w:rPr>
                <w:rFonts w:hint="default" w:ascii="Times New Roman" w:hAnsi="Times New Roman" w:cs="Times New Roman"/>
                <w:color w:val="auto"/>
                <w:szCs w:val="24"/>
                <w:highlight w:val="none"/>
                <w:u w:val="none" w:color="auto"/>
              </w:rPr>
              <w:t>，根据《南阳市地表水环境功能区划分报告》，</w:t>
            </w:r>
            <w:r>
              <w:rPr>
                <w:rFonts w:hint="default" w:ascii="Times New Roman" w:hAnsi="Times New Roman" w:cs="Times New Roman"/>
                <w:bCs/>
                <w:color w:val="auto"/>
                <w:kern w:val="0"/>
                <w:sz w:val="24"/>
                <w:highlight w:val="none"/>
                <w:u w:val="none" w:color="auto"/>
                <w:lang w:val="en-US" w:eastAsia="zh-CN"/>
              </w:rPr>
              <w:t>淇河</w:t>
            </w:r>
            <w:r>
              <w:rPr>
                <w:rFonts w:hint="default" w:ascii="Times New Roman" w:hAnsi="Times New Roman" w:cs="Times New Roman"/>
                <w:color w:val="auto"/>
                <w:szCs w:val="24"/>
                <w:highlight w:val="none"/>
                <w:u w:val="none" w:color="auto"/>
              </w:rPr>
              <w:t>水质功能区划参照赵河评价河段执行《地表水环境质量标准》中Ⅲ类水体标准。本次评价参照《镇平县先进制造业开发区发展规划（2022-2035）环境影响报告书》（报批稿）中河南永蓝检测技术服务有限公司于2023年4月12日-4月14日出具的地表水监测数据可知</w:t>
            </w:r>
            <w:r>
              <w:rPr>
                <w:rFonts w:hint="default" w:ascii="Times New Roman" w:hAnsi="Times New Roman" w:cs="Times New Roman"/>
                <w:bCs/>
                <w:color w:val="auto"/>
                <w:szCs w:val="24"/>
                <w:highlight w:val="none"/>
                <w:u w:val="none" w:color="auto"/>
              </w:rPr>
              <w:t>，</w:t>
            </w:r>
            <w:r>
              <w:rPr>
                <w:rFonts w:hint="default" w:ascii="Times New Roman" w:hAnsi="Times New Roman" w:cs="Times New Roman"/>
                <w:bCs/>
                <w:color w:val="auto"/>
                <w:szCs w:val="24"/>
                <w:highlight w:val="none"/>
                <w:u w:val="none" w:color="auto"/>
                <w:lang w:val="en-US" w:eastAsia="zh-CN"/>
              </w:rPr>
              <w:t>赵河田寨断面</w:t>
            </w:r>
            <w:r>
              <w:rPr>
                <w:rFonts w:hint="default" w:ascii="Times New Roman" w:hAnsi="Times New Roman" w:cs="Times New Roman"/>
                <w:color w:val="auto"/>
                <w:szCs w:val="24"/>
                <w:highlight w:val="none"/>
                <w:u w:val="none" w:color="auto"/>
              </w:rPr>
              <w:t>各监测因子均可满足《地表水环境质量标准》（GB3838-2002）中Ⅲ类标准限值要求，区域水环境质量良好，</w:t>
            </w:r>
            <w:r>
              <w:rPr>
                <w:rFonts w:hint="default" w:ascii="Times New Roman" w:hAnsi="Times New Roman" w:cs="Times New Roman"/>
                <w:bCs/>
                <w:color w:val="auto"/>
                <w:szCs w:val="24"/>
                <w:highlight w:val="none"/>
                <w:u w:val="none" w:color="auto"/>
              </w:rPr>
              <w:t>因此项目建成后不会对区域地表水体的环境质量造成不良影响。</w:t>
            </w:r>
          </w:p>
          <w:p w14:paraId="60CBE29C">
            <w:pPr>
              <w:pStyle w:val="129"/>
              <w:keepNext w:val="0"/>
              <w:keepLines w:val="0"/>
              <w:pageBreakBefore w:val="0"/>
              <w:wordWrap/>
              <w:overflowPunct/>
              <w:topLinePunct w:val="0"/>
              <w:bidi w:val="0"/>
              <w:adjustRightInd w:val="0"/>
              <w:snapToGrid w:val="0"/>
              <w:ind w:firstLine="480" w:firstLineChars="200"/>
              <w:rPr>
                <w:rFonts w:hint="default" w:ascii="Times New Roman" w:hAnsi="Times New Roman" w:cs="Times New Roman"/>
                <w:bCs/>
                <w:color w:val="auto"/>
                <w:szCs w:val="24"/>
                <w:highlight w:val="yellow"/>
                <w:u w:val="none" w:color="auto"/>
              </w:rPr>
            </w:pPr>
            <w:r>
              <w:rPr>
                <w:rFonts w:hint="default" w:ascii="Times New Roman" w:hAnsi="Times New Roman" w:cs="Times New Roman"/>
                <w:bCs/>
                <w:color w:val="auto"/>
                <w:szCs w:val="24"/>
                <w:highlight w:val="none"/>
                <w:u w:val="none" w:color="auto"/>
              </w:rPr>
              <w:t>本项目所在区域为2类声环境功能区，根据202</w:t>
            </w:r>
            <w:r>
              <w:rPr>
                <w:rFonts w:hint="eastAsia" w:ascii="Times New Roman" w:cs="Times New Roman"/>
                <w:bCs/>
                <w:color w:val="auto"/>
                <w:szCs w:val="24"/>
                <w:highlight w:val="none"/>
                <w:u w:val="none" w:color="auto"/>
                <w:lang w:val="en-US" w:eastAsia="zh-CN"/>
              </w:rPr>
              <w:t>5</w:t>
            </w:r>
            <w:r>
              <w:rPr>
                <w:rFonts w:hint="default" w:ascii="Times New Roman" w:hAnsi="Times New Roman" w:cs="Times New Roman"/>
                <w:bCs/>
                <w:color w:val="auto"/>
                <w:szCs w:val="24"/>
                <w:highlight w:val="none"/>
                <w:u w:val="none" w:color="auto"/>
              </w:rPr>
              <w:t>年</w:t>
            </w:r>
            <w:r>
              <w:rPr>
                <w:rFonts w:hint="eastAsia" w:ascii="Times New Roman" w:cs="Times New Roman"/>
                <w:bCs/>
                <w:color w:val="auto"/>
                <w:szCs w:val="24"/>
                <w:highlight w:val="none"/>
                <w:u w:val="none" w:color="auto"/>
                <w:lang w:val="en-US" w:eastAsia="zh-CN"/>
              </w:rPr>
              <w:t>4</w:t>
            </w:r>
            <w:r>
              <w:rPr>
                <w:rFonts w:hint="default" w:ascii="Times New Roman" w:hAnsi="Times New Roman" w:cs="Times New Roman"/>
                <w:bCs/>
                <w:color w:val="auto"/>
                <w:szCs w:val="24"/>
                <w:highlight w:val="none"/>
                <w:u w:val="none" w:color="auto"/>
              </w:rPr>
              <w:t>月</w:t>
            </w:r>
            <w:r>
              <w:rPr>
                <w:rFonts w:hint="eastAsia" w:ascii="Times New Roman" w:cs="Times New Roman"/>
                <w:bCs/>
                <w:color w:val="auto"/>
                <w:szCs w:val="24"/>
                <w:highlight w:val="none"/>
                <w:u w:val="none" w:color="auto"/>
                <w:lang w:val="en-US" w:eastAsia="zh-CN"/>
              </w:rPr>
              <w:t>9</w:t>
            </w:r>
            <w:r>
              <w:rPr>
                <w:rFonts w:hint="default" w:ascii="Times New Roman" w:hAnsi="Times New Roman" w:cs="Times New Roman"/>
                <w:bCs/>
                <w:color w:val="auto"/>
                <w:szCs w:val="24"/>
                <w:highlight w:val="none"/>
                <w:u w:val="none" w:color="auto"/>
              </w:rPr>
              <w:t>日出具的监测数据可知，项目周围敏感点的声环境质量监测值可以满足《声环境质量标准》（GB3096-2008）2类区标准要求，区域声环境质量现状良好，本项目建成后产噪设备安装减振、隔声降噪</w:t>
            </w:r>
            <w:r>
              <w:rPr>
                <w:rFonts w:hint="default" w:ascii="Times New Roman" w:hAnsi="Times New Roman" w:cs="Times New Roman"/>
                <w:bCs/>
                <w:color w:val="auto"/>
                <w:szCs w:val="24"/>
                <w:highlight w:val="none"/>
                <w:u w:val="none" w:color="auto"/>
                <w:lang w:eastAsia="zh-CN"/>
              </w:rPr>
              <w:t>、</w:t>
            </w:r>
            <w:r>
              <w:rPr>
                <w:rFonts w:hint="default" w:ascii="Times New Roman" w:hAnsi="Times New Roman" w:cs="Times New Roman"/>
                <w:bCs/>
                <w:color w:val="auto"/>
                <w:szCs w:val="24"/>
                <w:highlight w:val="none"/>
                <w:u w:val="none" w:color="auto"/>
                <w:lang w:val="en-US" w:eastAsia="zh-CN"/>
              </w:rPr>
              <w:t>废气治理设施风机设置隔声间</w:t>
            </w:r>
            <w:r>
              <w:rPr>
                <w:rFonts w:hint="default" w:ascii="Times New Roman" w:hAnsi="Times New Roman" w:cs="Times New Roman"/>
                <w:bCs/>
                <w:color w:val="auto"/>
                <w:szCs w:val="24"/>
                <w:highlight w:val="none"/>
                <w:u w:val="none" w:color="auto"/>
              </w:rPr>
              <w:t>措施；加强对设备进行维修，保证设备正常工作等降噪措施，预计四周</w:t>
            </w:r>
            <w:r>
              <w:rPr>
                <w:rFonts w:hint="eastAsia" w:ascii="Times New Roman" w:cs="Times New Roman"/>
                <w:bCs/>
                <w:color w:val="auto"/>
                <w:szCs w:val="24"/>
                <w:highlight w:val="none"/>
                <w:u w:val="none" w:color="auto"/>
                <w:lang w:val="en-US" w:eastAsia="zh-CN"/>
              </w:rPr>
              <w:t>校</w:t>
            </w:r>
            <w:r>
              <w:rPr>
                <w:rFonts w:hint="default" w:ascii="Times New Roman" w:hAnsi="Times New Roman" w:cs="Times New Roman"/>
                <w:bCs/>
                <w:color w:val="auto"/>
                <w:szCs w:val="24"/>
                <w:highlight w:val="none"/>
                <w:u w:val="none" w:color="auto"/>
              </w:rPr>
              <w:t>界噪声贡献值可达到《工业企业厂界环境噪声排放标准》（GB12348-2008）中2类标准；本项目建设运营不会改变项目所在区域的声环境功能，因此，项目区声环境质量是符合要求的。</w:t>
            </w:r>
          </w:p>
          <w:p w14:paraId="58EC7343">
            <w:pPr>
              <w:keepNext w:val="0"/>
              <w:keepLines w:val="0"/>
              <w:pageBreakBefore w:val="0"/>
              <w:wordWrap/>
              <w:overflowPunct/>
              <w:topLinePunct w:val="0"/>
              <w:bidi w:val="0"/>
              <w:adjustRightInd w:val="0"/>
              <w:snapToGrid w:val="0"/>
              <w:spacing w:line="360" w:lineRule="auto"/>
              <w:ind w:firstLine="480" w:firstLineChars="200"/>
              <w:textAlignment w:val="baseline"/>
              <w:rPr>
                <w:rFonts w:hint="default" w:ascii="Times New Roman" w:hAnsi="Times New Roman" w:cs="Times New Roman"/>
                <w:bCs/>
                <w:color w:val="auto"/>
                <w:kern w:val="0"/>
                <w:sz w:val="24"/>
                <w:highlight w:val="none"/>
                <w:u w:val="none" w:color="auto"/>
              </w:rPr>
            </w:pPr>
            <w:r>
              <w:rPr>
                <w:rFonts w:hint="default" w:ascii="Times New Roman" w:hAnsi="Times New Roman" w:cs="Times New Roman"/>
                <w:bCs/>
                <w:color w:val="auto"/>
                <w:kern w:val="0"/>
                <w:sz w:val="24"/>
                <w:highlight w:val="none"/>
                <w:u w:val="none" w:color="auto"/>
              </w:rPr>
              <w:t>（3）资源利用上线</w:t>
            </w:r>
          </w:p>
          <w:p w14:paraId="49E910F5">
            <w:pPr>
              <w:keepNext w:val="0"/>
              <w:keepLines w:val="0"/>
              <w:pageBreakBefore w:val="0"/>
              <w:wordWrap/>
              <w:overflowPunct/>
              <w:topLinePunct w:val="0"/>
              <w:bidi w:val="0"/>
              <w:adjustRightInd w:val="0"/>
              <w:snapToGrid w:val="0"/>
              <w:spacing w:line="360" w:lineRule="auto"/>
              <w:ind w:firstLine="480" w:firstLineChars="200"/>
              <w:textAlignment w:val="baseline"/>
              <w:rPr>
                <w:rFonts w:hint="default" w:ascii="Times New Roman" w:hAnsi="Times New Roman" w:cs="Times New Roman"/>
                <w:bCs/>
                <w:color w:val="auto"/>
                <w:kern w:val="0"/>
                <w:sz w:val="24"/>
                <w:highlight w:val="none"/>
                <w:u w:val="none" w:color="auto"/>
              </w:rPr>
            </w:pPr>
            <w:r>
              <w:rPr>
                <w:rFonts w:hint="default" w:ascii="Times New Roman" w:hAnsi="Times New Roman" w:cs="Times New Roman"/>
                <w:bCs/>
                <w:color w:val="auto"/>
                <w:kern w:val="0"/>
                <w:sz w:val="24"/>
                <w:highlight w:val="none"/>
                <w:u w:val="none" w:color="auto"/>
              </w:rPr>
              <w:t>资源是环境的载体，</w:t>
            </w:r>
            <w:r>
              <w:rPr>
                <w:rFonts w:hint="eastAsia" w:cs="Times New Roman"/>
                <w:bCs/>
                <w:color w:val="auto"/>
                <w:kern w:val="0"/>
                <w:sz w:val="24"/>
                <w:highlight w:val="none"/>
                <w:u w:val="none" w:color="auto"/>
                <w:lang w:eastAsia="zh-CN"/>
              </w:rPr>
              <w:t>“</w:t>
            </w:r>
            <w:r>
              <w:rPr>
                <w:rFonts w:hint="default" w:ascii="Times New Roman" w:hAnsi="Times New Roman" w:cs="Times New Roman"/>
                <w:bCs/>
                <w:color w:val="auto"/>
                <w:kern w:val="0"/>
                <w:sz w:val="24"/>
                <w:highlight w:val="none"/>
                <w:u w:val="none" w:color="auto"/>
              </w:rPr>
              <w:t>资源利用上线</w:t>
            </w:r>
            <w:r>
              <w:rPr>
                <w:rFonts w:hint="eastAsia" w:cs="Times New Roman"/>
                <w:bCs/>
                <w:color w:val="auto"/>
                <w:kern w:val="0"/>
                <w:sz w:val="24"/>
                <w:highlight w:val="none"/>
                <w:u w:val="none" w:color="auto"/>
                <w:lang w:eastAsia="zh-CN"/>
              </w:rPr>
              <w:t>”</w:t>
            </w:r>
            <w:r>
              <w:rPr>
                <w:rFonts w:hint="default" w:ascii="Times New Roman" w:hAnsi="Times New Roman" w:cs="Times New Roman"/>
                <w:bCs/>
                <w:color w:val="auto"/>
                <w:kern w:val="0"/>
                <w:sz w:val="24"/>
                <w:highlight w:val="none"/>
                <w:u w:val="none" w:color="auto"/>
              </w:rPr>
              <w:t>地区能源、水、土地等资源消耗不得突破的“天花板”。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p w14:paraId="3E7A47E9">
            <w:pPr>
              <w:keepNext w:val="0"/>
              <w:keepLines w:val="0"/>
              <w:pageBreakBefore w:val="0"/>
              <w:wordWrap/>
              <w:overflowPunct/>
              <w:topLinePunct w:val="0"/>
              <w:bidi w:val="0"/>
              <w:adjustRightInd w:val="0"/>
              <w:snapToGrid w:val="0"/>
              <w:spacing w:line="360" w:lineRule="auto"/>
              <w:ind w:firstLine="480" w:firstLineChars="200"/>
              <w:textAlignment w:val="baseline"/>
              <w:rPr>
                <w:rFonts w:hint="default" w:ascii="Times New Roman" w:hAnsi="Times New Roman" w:cs="Times New Roman"/>
                <w:bCs/>
                <w:color w:val="auto"/>
                <w:kern w:val="0"/>
                <w:sz w:val="24"/>
                <w:highlight w:val="none"/>
                <w:u w:val="none" w:color="auto"/>
              </w:rPr>
            </w:pPr>
            <w:r>
              <w:rPr>
                <w:rFonts w:hint="default" w:ascii="Times New Roman" w:hAnsi="Times New Roman" w:cs="Times New Roman"/>
                <w:bCs/>
                <w:color w:val="auto"/>
                <w:kern w:val="0"/>
                <w:sz w:val="24"/>
                <w:highlight w:val="none"/>
                <w:u w:val="none" w:color="auto"/>
              </w:rPr>
              <w:t>项目用水由市政供水管网供给，可以满足项目用水需求；能源主要依托市政供电系统供电</w:t>
            </w:r>
            <w:r>
              <w:rPr>
                <w:rFonts w:hint="eastAsia" w:cs="Times New Roman"/>
                <w:bCs/>
                <w:color w:val="auto"/>
                <w:kern w:val="0"/>
                <w:sz w:val="24"/>
                <w:highlight w:val="none"/>
                <w:u w:val="none" w:color="auto"/>
                <w:lang w:eastAsia="zh-CN"/>
              </w:rPr>
              <w:t>（</w:t>
            </w:r>
            <w:r>
              <w:rPr>
                <w:rFonts w:hint="eastAsia" w:cs="Times New Roman"/>
                <w:bCs/>
                <w:color w:val="auto"/>
                <w:kern w:val="0"/>
                <w:sz w:val="24"/>
                <w:highlight w:val="none"/>
                <w:u w:val="none" w:color="auto"/>
                <w:lang w:val="en-US" w:eastAsia="zh-CN"/>
              </w:rPr>
              <w:t>停电时用发电机备用发电）</w:t>
            </w:r>
            <w:r>
              <w:rPr>
                <w:rFonts w:hint="default" w:ascii="Times New Roman" w:hAnsi="Times New Roman" w:cs="Times New Roman"/>
                <w:bCs/>
                <w:color w:val="auto"/>
                <w:kern w:val="0"/>
                <w:sz w:val="24"/>
                <w:highlight w:val="none"/>
                <w:u w:val="none" w:color="auto"/>
              </w:rPr>
              <w:t>，</w:t>
            </w:r>
            <w:r>
              <w:rPr>
                <w:rFonts w:hint="default" w:ascii="Times New Roman" w:hAnsi="Times New Roman" w:cs="Times New Roman"/>
                <w:bCs/>
                <w:color w:val="auto"/>
                <w:kern w:val="0"/>
                <w:sz w:val="24"/>
                <w:highlight w:val="none"/>
                <w:u w:val="none" w:color="auto"/>
                <w:lang w:val="en-US" w:eastAsia="zh-CN"/>
              </w:rPr>
              <w:t>根据镇平县人民政府办公会议纪要（镇政纪[2016]25号），该地块划拨给镇平县雪枫中学使用</w:t>
            </w:r>
            <w:r>
              <w:rPr>
                <w:rFonts w:hint="default" w:ascii="Times New Roman" w:hAnsi="Times New Roman" w:cs="Times New Roman"/>
                <w:color w:val="auto"/>
                <w:sz w:val="24"/>
                <w:highlight w:val="none"/>
                <w:u w:val="none" w:color="auto"/>
              </w:rPr>
              <w:t>，项目建设符合</w:t>
            </w:r>
            <w:r>
              <w:rPr>
                <w:rFonts w:hint="default" w:ascii="Times New Roman" w:hAnsi="Times New Roman" w:cs="Times New Roman"/>
                <w:bCs/>
                <w:color w:val="auto"/>
                <w:sz w:val="24"/>
                <w:highlight w:val="none"/>
                <w:u w:val="none" w:color="auto"/>
              </w:rPr>
              <w:t>镇平县国土空间总体规划</w:t>
            </w:r>
            <w:r>
              <w:rPr>
                <w:rFonts w:hint="default" w:ascii="Times New Roman" w:hAnsi="Times New Roman" w:cs="Times New Roman"/>
                <w:color w:val="auto"/>
                <w:sz w:val="24"/>
                <w:highlight w:val="none"/>
                <w:u w:val="none" w:color="auto"/>
              </w:rPr>
              <w:t>要求</w:t>
            </w:r>
            <w:r>
              <w:rPr>
                <w:rFonts w:hint="default" w:ascii="Times New Roman" w:hAnsi="Times New Roman" w:cs="Times New Roman"/>
                <w:bCs/>
                <w:color w:val="auto"/>
                <w:kern w:val="0"/>
                <w:sz w:val="24"/>
                <w:highlight w:val="none"/>
                <w:u w:val="none" w:color="auto"/>
              </w:rPr>
              <w:t>，因此，项目资源利用满足要求。</w:t>
            </w:r>
          </w:p>
          <w:p w14:paraId="7772605C">
            <w:pPr>
              <w:keepNext w:val="0"/>
              <w:keepLines w:val="0"/>
              <w:pageBreakBefore w:val="0"/>
              <w:wordWrap/>
              <w:overflowPunct/>
              <w:topLinePunct w:val="0"/>
              <w:bidi w:val="0"/>
              <w:adjustRightInd w:val="0"/>
              <w:snapToGrid w:val="0"/>
              <w:spacing w:line="360" w:lineRule="auto"/>
              <w:ind w:firstLine="480" w:firstLineChars="200"/>
              <w:textAlignment w:val="baseline"/>
              <w:rPr>
                <w:rFonts w:hint="default" w:ascii="Times New Roman" w:hAnsi="Times New Roman" w:cs="Times New Roman"/>
                <w:bCs/>
                <w:color w:val="auto"/>
                <w:kern w:val="0"/>
                <w:sz w:val="24"/>
                <w:highlight w:val="none"/>
                <w:u w:val="none" w:color="auto"/>
              </w:rPr>
            </w:pPr>
            <w:r>
              <w:rPr>
                <w:rFonts w:hint="default" w:ascii="Times New Roman" w:hAnsi="Times New Roman" w:cs="Times New Roman"/>
                <w:bCs/>
                <w:color w:val="auto"/>
                <w:kern w:val="0"/>
                <w:sz w:val="24"/>
                <w:highlight w:val="none"/>
                <w:u w:val="none" w:color="auto"/>
              </w:rPr>
              <w:t>（4）环境准入负面清单</w:t>
            </w:r>
          </w:p>
          <w:p w14:paraId="12D54ABD">
            <w:pPr>
              <w:keepNext w:val="0"/>
              <w:keepLines w:val="0"/>
              <w:pageBreakBefore w:val="0"/>
              <w:tabs>
                <w:tab w:val="left" w:pos="1081"/>
              </w:tabs>
              <w:wordWrap/>
              <w:overflowPunct/>
              <w:topLinePunct w:val="0"/>
              <w:bidi w:val="0"/>
              <w:adjustRightInd w:val="0"/>
              <w:snapToGrid w:val="0"/>
              <w:spacing w:line="360" w:lineRule="auto"/>
              <w:ind w:firstLine="480" w:firstLineChars="20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本项目位于</w:t>
            </w:r>
            <w:r>
              <w:rPr>
                <w:rFonts w:hint="default" w:ascii="Times New Roman" w:hAnsi="Times New Roman" w:cs="Times New Roman"/>
                <w:color w:val="auto"/>
                <w:sz w:val="24"/>
                <w:szCs w:val="24"/>
                <w:highlight w:val="none"/>
                <w:u w:val="none" w:color="auto"/>
                <w:lang w:val="en-US" w:eastAsia="zh-CN"/>
              </w:rPr>
              <w:t>镇平县涅阳街道中山街东段北侧，镇平县雪枫中学西侧</w:t>
            </w:r>
            <w:r>
              <w:rPr>
                <w:rFonts w:hint="default" w:ascii="Times New Roman" w:hAnsi="Times New Roman" w:cs="Times New Roman"/>
                <w:color w:val="auto"/>
                <w:sz w:val="24"/>
                <w:szCs w:val="24"/>
                <w:highlight w:val="none"/>
                <w:u w:val="none" w:color="auto"/>
              </w:rPr>
              <w:t>，经比对</w:t>
            </w:r>
            <w:r>
              <w:rPr>
                <w:rFonts w:hint="default" w:ascii="Times New Roman" w:hAnsi="Times New Roman" w:cs="Times New Roman"/>
                <w:color w:val="auto"/>
                <w:sz w:val="24"/>
                <w:szCs w:val="24"/>
                <w:highlight w:val="none"/>
                <w:u w:val="none" w:color="auto"/>
                <w:lang w:eastAsia="zh-CN"/>
              </w:rPr>
              <w:t>《</w:t>
            </w:r>
            <w:r>
              <w:rPr>
                <w:rFonts w:hint="default" w:ascii="Times New Roman" w:hAnsi="Times New Roman" w:cs="Times New Roman"/>
                <w:color w:val="auto"/>
                <w:sz w:val="24"/>
                <w:szCs w:val="24"/>
                <w:highlight w:val="none"/>
                <w:u w:val="none" w:color="auto"/>
                <w:lang w:val="en-US" w:eastAsia="zh-CN"/>
              </w:rPr>
              <w:t>南阳市“三线一单”生态环境准入清单（2023年更新）</w:t>
            </w:r>
            <w:r>
              <w:rPr>
                <w:rFonts w:hint="default" w:ascii="Times New Roman" w:hAnsi="Times New Roman" w:cs="Times New Roman"/>
                <w:color w:val="auto"/>
                <w:sz w:val="24"/>
                <w:szCs w:val="24"/>
                <w:highlight w:val="none"/>
                <w:u w:val="none" w:color="auto"/>
                <w:lang w:eastAsia="zh-CN"/>
              </w:rPr>
              <w:t>》</w:t>
            </w:r>
            <w:r>
              <w:rPr>
                <w:rFonts w:hint="default" w:ascii="Times New Roman" w:hAnsi="Times New Roman" w:cs="Times New Roman"/>
                <w:color w:val="auto"/>
                <w:sz w:val="24"/>
                <w:szCs w:val="24"/>
                <w:highlight w:val="none"/>
                <w:u w:val="none" w:color="auto"/>
              </w:rPr>
              <w:t>及河南省生态环境厅三线一单综合信息应用平台，</w:t>
            </w:r>
            <w:r>
              <w:rPr>
                <w:rFonts w:hint="default" w:ascii="Times New Roman" w:hAnsi="Times New Roman" w:cs="Times New Roman"/>
                <w:color w:val="auto"/>
                <w:sz w:val="24"/>
                <w:szCs w:val="24"/>
                <w:highlight w:val="none"/>
                <w:u w:val="none" w:color="auto"/>
                <w:lang w:val="en-US" w:eastAsia="zh-CN"/>
              </w:rPr>
              <w:t>本项目涉及1个环境管控单元，单元名称为：镇平县城镇重点单元，单元编号：ZH41132420002，</w:t>
            </w:r>
            <w:r>
              <w:rPr>
                <w:rFonts w:hint="default" w:ascii="Times New Roman" w:hAnsi="Times New Roman" w:cs="Times New Roman"/>
                <w:color w:val="auto"/>
                <w:sz w:val="24"/>
                <w:szCs w:val="24"/>
                <w:highlight w:val="none"/>
                <w:u w:val="none" w:color="auto"/>
              </w:rPr>
              <w:t>研判分析及对比结果如下。</w:t>
            </w:r>
          </w:p>
          <w:p w14:paraId="2679C016">
            <w:pPr>
              <w:keepNext w:val="0"/>
              <w:keepLines w:val="0"/>
              <w:pageBreakBefore w:val="0"/>
              <w:wordWrap/>
              <w:overflowPunct/>
              <w:topLinePunct w:val="0"/>
              <w:bidi w:val="0"/>
              <w:adjustRightInd w:val="0"/>
              <w:snapToGrid w:val="0"/>
              <w:spacing w:line="360" w:lineRule="auto"/>
              <w:ind w:firstLine="480" w:firstLineChars="200"/>
              <w:textAlignment w:val="baseline"/>
              <w:rPr>
                <w:rFonts w:hint="default" w:ascii="Times New Roman" w:hAnsi="Times New Roman" w:cs="Times New Roman"/>
                <w:bCs/>
                <w:color w:val="auto"/>
                <w:kern w:val="0"/>
                <w:sz w:val="24"/>
                <w:highlight w:val="none"/>
                <w:u w:val="none" w:color="auto"/>
              </w:rPr>
            </w:pPr>
            <w:r>
              <w:rPr>
                <w:rFonts w:hint="default" w:ascii="Times New Roman" w:hAnsi="Times New Roman" w:cs="Times New Roman"/>
                <w:color w:val="auto"/>
                <w:sz w:val="24"/>
                <w:szCs w:val="24"/>
                <w:highlight w:val="none"/>
                <w:u w:val="none" w:color="auto"/>
              </w:rPr>
              <w:t>经比对，项目涉及1个河南省环境管控单元，其中优先保护单元0个,重点管控单元1个,一般管控单元0个，详见下表。</w:t>
            </w:r>
            <w:r>
              <w:rPr>
                <w:rFonts w:hint="default" w:ascii="Times New Roman" w:hAnsi="Times New Roman" w:cs="Times New Roman"/>
                <w:color w:val="auto"/>
                <w:sz w:val="24"/>
                <w:highlight w:val="none"/>
                <w:u w:val="none" w:color="auto"/>
              </w:rPr>
              <w:t xml:space="preserve"> </w:t>
            </w:r>
          </w:p>
        </w:tc>
      </w:tr>
    </w:tbl>
    <w:p w14:paraId="09156221">
      <w:pPr>
        <w:spacing w:line="360" w:lineRule="auto"/>
        <w:rPr>
          <w:rFonts w:hint="default" w:ascii="Times New Roman" w:hAnsi="Times New Roman" w:eastAsia="黑体" w:cs="Times New Roman"/>
          <w:color w:val="auto"/>
          <w:sz w:val="30"/>
          <w:highlight w:val="none"/>
          <w:u w:val="none" w:color="auto"/>
        </w:rPr>
        <w:sectPr>
          <w:headerReference r:id="rId4" w:type="default"/>
          <w:footerReference r:id="rId5" w:type="default"/>
          <w:pgSz w:w="11906" w:h="16838"/>
          <w:pgMar w:top="1701" w:right="1531" w:bottom="1701" w:left="1531" w:header="851" w:footer="1077" w:gutter="0"/>
          <w:pgNumType w:start="1"/>
          <w:cols w:space="720" w:num="1"/>
          <w:docGrid w:linePitch="312" w:charSpace="0"/>
        </w:sectPr>
      </w:pPr>
    </w:p>
    <w:p w14:paraId="672419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4"/>
          <w:highlight w:val="none"/>
          <w:u w:val="none" w:color="auto"/>
        </w:rPr>
      </w:pPr>
      <w:r>
        <w:rPr>
          <w:rFonts w:hint="default" w:ascii="Times New Roman" w:hAnsi="Times New Roman" w:eastAsia="宋体" w:cs="Times New Roman"/>
          <w:b/>
          <w:bCs/>
          <w:color w:val="auto"/>
          <w:sz w:val="24"/>
          <w:highlight w:val="none"/>
          <w:u w:val="none" w:color="auto"/>
        </w:rPr>
        <w:t>表1-</w:t>
      </w:r>
      <w:r>
        <w:rPr>
          <w:rFonts w:hint="eastAsia" w:ascii="Times New Roman" w:hAnsi="Times New Roman" w:eastAsia="宋体" w:cs="Times New Roman"/>
          <w:b/>
          <w:bCs/>
          <w:color w:val="auto"/>
          <w:sz w:val="24"/>
          <w:highlight w:val="none"/>
          <w:u w:val="none" w:color="auto"/>
          <w:lang w:val="en-US" w:eastAsia="zh-CN"/>
        </w:rPr>
        <w:t>7</w:t>
      </w:r>
      <w:r>
        <w:rPr>
          <w:rFonts w:hint="default" w:ascii="Times New Roman" w:hAnsi="Times New Roman" w:eastAsia="宋体" w:cs="Times New Roman"/>
          <w:b/>
          <w:bCs/>
          <w:color w:val="auto"/>
          <w:sz w:val="24"/>
          <w:highlight w:val="none"/>
          <w:u w:val="none" w:color="auto"/>
          <w:lang w:val="en-US" w:eastAsia="zh-CN"/>
        </w:rPr>
        <w:t xml:space="preserve">    </w:t>
      </w:r>
      <w:r>
        <w:rPr>
          <w:rFonts w:hint="default" w:ascii="Times New Roman" w:hAnsi="Times New Roman" w:eastAsia="宋体" w:cs="Times New Roman"/>
          <w:b/>
          <w:bCs/>
          <w:color w:val="auto"/>
          <w:sz w:val="24"/>
          <w:highlight w:val="none"/>
          <w:u w:val="none" w:color="auto"/>
        </w:rPr>
        <w:t>项目河南省生态环境厅三线一单综合信息应用平台比对分析</w:t>
      </w:r>
    </w:p>
    <w:tbl>
      <w:tblPr>
        <w:tblStyle w:val="35"/>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925"/>
        <w:gridCol w:w="795"/>
        <w:gridCol w:w="502"/>
        <w:gridCol w:w="492"/>
        <w:gridCol w:w="426"/>
        <w:gridCol w:w="426"/>
        <w:gridCol w:w="5371"/>
        <w:gridCol w:w="3252"/>
        <w:gridCol w:w="460"/>
      </w:tblGrid>
      <w:tr w14:paraId="30582B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05" w:type="pct"/>
            <w:vMerge w:val="restart"/>
            <w:tcBorders>
              <w:left w:val="single" w:color="auto" w:sz="6" w:space="0"/>
            </w:tcBorders>
            <w:noWrap w:val="0"/>
            <w:vAlign w:val="center"/>
          </w:tcPr>
          <w:p w14:paraId="36E684D9">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环境管控单元编码</w:t>
            </w:r>
          </w:p>
        </w:tc>
        <w:tc>
          <w:tcPr>
            <w:tcW w:w="291" w:type="pct"/>
            <w:vMerge w:val="restart"/>
            <w:tcBorders>
              <w:left w:val="single" w:color="auto" w:sz="6" w:space="0"/>
            </w:tcBorders>
            <w:noWrap w:val="0"/>
            <w:vAlign w:val="center"/>
          </w:tcPr>
          <w:p w14:paraId="0644C249">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环境管控单元名称</w:t>
            </w:r>
          </w:p>
        </w:tc>
        <w:tc>
          <w:tcPr>
            <w:tcW w:w="364" w:type="pct"/>
            <w:gridSpan w:val="2"/>
            <w:tcBorders>
              <w:left w:val="single" w:color="auto" w:sz="6" w:space="0"/>
            </w:tcBorders>
            <w:noWrap w:val="0"/>
            <w:vAlign w:val="center"/>
          </w:tcPr>
          <w:p w14:paraId="2F95EBB5">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行政区划</w:t>
            </w:r>
          </w:p>
        </w:tc>
        <w:tc>
          <w:tcPr>
            <w:tcW w:w="156" w:type="pct"/>
            <w:vMerge w:val="restart"/>
            <w:noWrap w:val="0"/>
            <w:vAlign w:val="center"/>
          </w:tcPr>
          <w:p w14:paraId="3AB9C0FD">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管控单元分类</w:t>
            </w:r>
          </w:p>
        </w:tc>
        <w:tc>
          <w:tcPr>
            <w:tcW w:w="2123" w:type="pct"/>
            <w:gridSpan w:val="2"/>
            <w:vMerge w:val="restart"/>
            <w:noWrap w:val="0"/>
            <w:vAlign w:val="center"/>
          </w:tcPr>
          <w:p w14:paraId="6A16CF39">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管控要求</w:t>
            </w:r>
          </w:p>
        </w:tc>
        <w:tc>
          <w:tcPr>
            <w:tcW w:w="1191" w:type="pct"/>
            <w:vMerge w:val="restart"/>
            <w:noWrap w:val="0"/>
            <w:vAlign w:val="center"/>
          </w:tcPr>
          <w:p w14:paraId="73DB6BAB">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本项目情况</w:t>
            </w:r>
          </w:p>
        </w:tc>
        <w:tc>
          <w:tcPr>
            <w:tcW w:w="168" w:type="pct"/>
            <w:vMerge w:val="restart"/>
            <w:noWrap w:val="0"/>
            <w:vAlign w:val="center"/>
          </w:tcPr>
          <w:p w14:paraId="4D0708DB">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相符性</w:t>
            </w:r>
          </w:p>
        </w:tc>
      </w:tr>
      <w:tr w14:paraId="71214D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05" w:type="pct"/>
            <w:vMerge w:val="continue"/>
            <w:tcBorders>
              <w:left w:val="single" w:color="auto" w:sz="6" w:space="0"/>
            </w:tcBorders>
            <w:noWrap w:val="0"/>
            <w:vAlign w:val="center"/>
          </w:tcPr>
          <w:p w14:paraId="40963E4C">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291" w:type="pct"/>
            <w:vMerge w:val="continue"/>
            <w:tcBorders>
              <w:left w:val="single" w:color="auto" w:sz="6" w:space="0"/>
            </w:tcBorders>
            <w:noWrap w:val="0"/>
            <w:vAlign w:val="center"/>
          </w:tcPr>
          <w:p w14:paraId="42F81B0A">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84" w:type="pct"/>
            <w:tcBorders>
              <w:left w:val="single" w:color="auto" w:sz="6" w:space="0"/>
            </w:tcBorders>
            <w:noWrap w:val="0"/>
            <w:vAlign w:val="center"/>
          </w:tcPr>
          <w:p w14:paraId="17FF495A">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市</w:t>
            </w:r>
          </w:p>
        </w:tc>
        <w:tc>
          <w:tcPr>
            <w:tcW w:w="179" w:type="pct"/>
            <w:tcBorders>
              <w:left w:val="single" w:color="auto" w:sz="6" w:space="0"/>
            </w:tcBorders>
            <w:noWrap w:val="0"/>
            <w:vAlign w:val="center"/>
          </w:tcPr>
          <w:p w14:paraId="46CED951">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区县</w:t>
            </w:r>
          </w:p>
        </w:tc>
        <w:tc>
          <w:tcPr>
            <w:tcW w:w="156" w:type="pct"/>
            <w:vMerge w:val="continue"/>
            <w:noWrap w:val="0"/>
            <w:vAlign w:val="center"/>
          </w:tcPr>
          <w:p w14:paraId="3EDF60D5">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2123" w:type="pct"/>
            <w:gridSpan w:val="2"/>
            <w:vMerge w:val="continue"/>
            <w:noWrap w:val="0"/>
            <w:vAlign w:val="center"/>
          </w:tcPr>
          <w:p w14:paraId="1B442DA0">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191" w:type="pct"/>
            <w:vMerge w:val="continue"/>
            <w:noWrap w:val="0"/>
            <w:vAlign w:val="center"/>
          </w:tcPr>
          <w:p w14:paraId="23F40804">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68" w:type="pct"/>
            <w:vMerge w:val="continue"/>
            <w:noWrap w:val="0"/>
            <w:vAlign w:val="center"/>
          </w:tcPr>
          <w:p w14:paraId="266032BB">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r>
      <w:tr w14:paraId="782657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05" w:type="pct"/>
            <w:vMerge w:val="restart"/>
            <w:noWrap w:val="0"/>
            <w:vAlign w:val="center"/>
          </w:tcPr>
          <w:p w14:paraId="7142BA95">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ZH41132420002</w:t>
            </w:r>
          </w:p>
        </w:tc>
        <w:tc>
          <w:tcPr>
            <w:tcW w:w="291" w:type="pct"/>
            <w:vMerge w:val="restart"/>
            <w:noWrap w:val="0"/>
            <w:vAlign w:val="center"/>
          </w:tcPr>
          <w:p w14:paraId="59A92DF1">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val="en-US" w:eastAsia="zh-CN"/>
              </w:rPr>
              <w:t>镇平县城镇重点单元</w:t>
            </w:r>
          </w:p>
        </w:tc>
        <w:tc>
          <w:tcPr>
            <w:tcW w:w="184" w:type="pct"/>
            <w:vMerge w:val="restart"/>
            <w:noWrap w:val="0"/>
            <w:vAlign w:val="center"/>
          </w:tcPr>
          <w:p w14:paraId="047EE0E6">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pacing w:val="-5"/>
                <w:sz w:val="21"/>
                <w:szCs w:val="21"/>
                <w:highlight w:val="none"/>
                <w:u w:val="none" w:color="auto"/>
              </w:rPr>
              <w:t>南阳市</w:t>
            </w:r>
          </w:p>
        </w:tc>
        <w:tc>
          <w:tcPr>
            <w:tcW w:w="179" w:type="pct"/>
            <w:vMerge w:val="restart"/>
            <w:noWrap w:val="0"/>
            <w:vAlign w:val="center"/>
          </w:tcPr>
          <w:p w14:paraId="358A74C7">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pacing w:val="-4"/>
                <w:sz w:val="21"/>
                <w:szCs w:val="21"/>
                <w:highlight w:val="none"/>
                <w:u w:val="none" w:color="auto"/>
              </w:rPr>
              <w:t>镇平县</w:t>
            </w:r>
          </w:p>
        </w:tc>
        <w:tc>
          <w:tcPr>
            <w:tcW w:w="156" w:type="pct"/>
            <w:vMerge w:val="restart"/>
            <w:noWrap w:val="0"/>
            <w:vAlign w:val="center"/>
          </w:tcPr>
          <w:p w14:paraId="28354CFF">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重点管控单元</w:t>
            </w:r>
          </w:p>
        </w:tc>
        <w:tc>
          <w:tcPr>
            <w:tcW w:w="156" w:type="pct"/>
            <w:noWrap w:val="0"/>
            <w:vAlign w:val="center"/>
          </w:tcPr>
          <w:p w14:paraId="48CAF99C">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空间布局约束</w:t>
            </w:r>
          </w:p>
        </w:tc>
        <w:tc>
          <w:tcPr>
            <w:tcW w:w="1967" w:type="pct"/>
            <w:noWrap w:val="0"/>
            <w:vAlign w:val="center"/>
          </w:tcPr>
          <w:p w14:paraId="187293FC">
            <w:pPr>
              <w:pStyle w:val="163"/>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rPr>
            </w:pPr>
            <w:r>
              <w:rPr>
                <w:rFonts w:hint="default" w:ascii="Times New Roman" w:hAnsi="Times New Roman" w:eastAsia="宋体" w:cs="Times New Roman"/>
                <w:color w:val="auto"/>
                <w:spacing w:val="-4"/>
                <w:sz w:val="21"/>
                <w:szCs w:val="21"/>
                <w:highlight w:val="none"/>
                <w:u w:val="none" w:color="auto"/>
              </w:rPr>
              <w:t>1、在居民住宅区等人口密集区域和医院、学校、幼儿园、养老院等其他需要特殊保护的区域及其周边，不得新建、改建和扩建石化、焦化、制药、油漆、塑料、橡胶、造纸等易产生恶臭气体的生产项目或者从事其他产生恶臭气体的生产经营活动。</w:t>
            </w:r>
          </w:p>
          <w:p w14:paraId="27EAE368">
            <w:pPr>
              <w:pStyle w:val="163"/>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rPr>
            </w:pPr>
            <w:r>
              <w:rPr>
                <w:rFonts w:hint="default" w:ascii="Times New Roman" w:hAnsi="Times New Roman" w:eastAsia="宋体" w:cs="Times New Roman"/>
                <w:color w:val="auto"/>
                <w:spacing w:val="-4"/>
                <w:sz w:val="21"/>
                <w:szCs w:val="21"/>
                <w:highlight w:val="none"/>
                <w:u w:val="none" w:color="auto"/>
              </w:rPr>
              <w:t>2、在禁养区内禁止建设畜禽养殖场、养殖小区。</w:t>
            </w:r>
          </w:p>
          <w:p w14:paraId="4BF0E491">
            <w:pPr>
              <w:pStyle w:val="163"/>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rPr>
            </w:pPr>
            <w:r>
              <w:rPr>
                <w:rFonts w:hint="default" w:ascii="Times New Roman" w:hAnsi="Times New Roman" w:eastAsia="宋体" w:cs="Times New Roman"/>
                <w:color w:val="auto"/>
                <w:spacing w:val="-4"/>
                <w:sz w:val="21"/>
                <w:szCs w:val="21"/>
                <w:highlight w:val="none"/>
                <w:u w:val="none" w:color="auto"/>
              </w:rPr>
              <w:t>3、列入整合搬迁类的，要按照产业发展规模化、现代化的原则，搬迁至先进制造业开发区并实施升级改造；列入升级改造类的，树立行业标杆，实施清洁生产技术改造，全面提升污染治理水平。</w:t>
            </w:r>
          </w:p>
          <w:p w14:paraId="06CA349E">
            <w:pPr>
              <w:pStyle w:val="163"/>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rPr>
            </w:pPr>
            <w:r>
              <w:rPr>
                <w:rFonts w:hint="default" w:ascii="Times New Roman" w:hAnsi="Times New Roman" w:eastAsia="宋体" w:cs="Times New Roman"/>
                <w:color w:val="auto"/>
                <w:spacing w:val="-4"/>
                <w:sz w:val="21"/>
                <w:szCs w:val="21"/>
                <w:highlight w:val="none"/>
                <w:u w:val="none" w:color="auto"/>
              </w:rPr>
              <w:t>4、原则上不再新增非电行业耗煤项目，确因产业发展和民生需要新上耗煤项目的，要全面落实煤炭消费减量替代。在禁燃区内，禁止销售、燃用高污染燃料；禁止新建、扩建燃用高污染燃料的设施。高污染燃料不含集中供热、热电联产、电厂锅炉燃煤以及工业企业生产工艺必须使用的煤炭及其制品。</w:t>
            </w:r>
          </w:p>
          <w:p w14:paraId="3519C02B">
            <w:pPr>
              <w:pStyle w:val="163"/>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rPr>
            </w:pPr>
            <w:r>
              <w:rPr>
                <w:rFonts w:hint="default" w:ascii="Times New Roman" w:hAnsi="Times New Roman" w:eastAsia="宋体" w:cs="Times New Roman"/>
                <w:color w:val="auto"/>
                <w:spacing w:val="-4"/>
                <w:sz w:val="21"/>
                <w:szCs w:val="21"/>
                <w:highlight w:val="none"/>
                <w:u w:val="none" w:color="auto"/>
              </w:rPr>
              <w:t>5、禁止新、改、扩建</w:t>
            </w:r>
            <w:r>
              <w:rPr>
                <w:rFonts w:hint="eastAsia" w:ascii="Times New Roman" w:hAnsi="Times New Roman" w:eastAsia="宋体" w:cs="Times New Roman"/>
                <w:color w:val="auto"/>
                <w:spacing w:val="-4"/>
                <w:sz w:val="21"/>
                <w:szCs w:val="21"/>
                <w:highlight w:val="none"/>
                <w:u w:val="none" w:color="auto"/>
                <w:lang w:eastAsia="zh-CN"/>
              </w:rPr>
              <w:t>“</w:t>
            </w:r>
            <w:r>
              <w:rPr>
                <w:rFonts w:hint="default" w:ascii="Times New Roman" w:hAnsi="Times New Roman" w:eastAsia="宋体" w:cs="Times New Roman"/>
                <w:color w:val="auto"/>
                <w:spacing w:val="-4"/>
                <w:sz w:val="21"/>
                <w:szCs w:val="21"/>
                <w:highlight w:val="none"/>
                <w:u w:val="none" w:color="auto"/>
              </w:rPr>
              <w:t>两高</w:t>
            </w:r>
            <w:r>
              <w:rPr>
                <w:rFonts w:hint="eastAsia" w:ascii="Times New Roman" w:hAnsi="Times New Roman" w:eastAsia="宋体" w:cs="Times New Roman"/>
                <w:color w:val="auto"/>
                <w:spacing w:val="-4"/>
                <w:sz w:val="21"/>
                <w:szCs w:val="21"/>
                <w:highlight w:val="none"/>
                <w:u w:val="none" w:color="auto"/>
                <w:lang w:eastAsia="zh-CN"/>
              </w:rPr>
              <w:t>”</w:t>
            </w:r>
            <w:r>
              <w:rPr>
                <w:rFonts w:hint="default" w:ascii="Times New Roman" w:hAnsi="Times New Roman" w:eastAsia="宋体" w:cs="Times New Roman"/>
                <w:color w:val="auto"/>
                <w:spacing w:val="-4"/>
                <w:sz w:val="21"/>
                <w:szCs w:val="21"/>
                <w:highlight w:val="none"/>
                <w:u w:val="none" w:color="auto"/>
              </w:rPr>
              <w:t>项目。</w:t>
            </w:r>
          </w:p>
        </w:tc>
        <w:tc>
          <w:tcPr>
            <w:tcW w:w="1191" w:type="pct"/>
            <w:noWrap w:val="0"/>
            <w:vAlign w:val="center"/>
          </w:tcPr>
          <w:p w14:paraId="4C559D18">
            <w:pPr>
              <w:keepNext w:val="0"/>
              <w:keepLines w:val="0"/>
              <w:pageBreakBefore w:val="0"/>
              <w:widowControl w:val="0"/>
              <w:kinsoku/>
              <w:wordWrap/>
              <w:overflowPunct/>
              <w:topLinePunct w:val="0"/>
              <w:autoSpaceDE/>
              <w:autoSpaceDN/>
              <w:bidi w:val="0"/>
              <w:adjustRightInd/>
              <w:snapToGrid/>
              <w:spacing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1、本项目</w:t>
            </w:r>
            <w:r>
              <w:rPr>
                <w:rFonts w:hint="default" w:ascii="Times New Roman" w:hAnsi="Times New Roman" w:eastAsia="宋体" w:cs="Times New Roman"/>
                <w:color w:val="auto"/>
                <w:sz w:val="21"/>
                <w:szCs w:val="21"/>
                <w:highlight w:val="none"/>
                <w:u w:val="none" w:color="auto"/>
                <w:lang w:val="en-US" w:eastAsia="zh-CN"/>
              </w:rPr>
              <w:t>属于社会事业与服务业，不属于</w:t>
            </w:r>
            <w:r>
              <w:rPr>
                <w:rFonts w:hint="default" w:ascii="Times New Roman" w:hAnsi="Times New Roman" w:eastAsia="宋体" w:cs="Times New Roman"/>
                <w:color w:val="auto"/>
                <w:spacing w:val="-4"/>
                <w:sz w:val="21"/>
                <w:szCs w:val="21"/>
                <w:highlight w:val="none"/>
                <w:u w:val="none" w:color="auto"/>
              </w:rPr>
              <w:t>石化、焦化、制药、油漆、塑料、橡胶、造纸等易产生恶臭气体的生产项目或者从事其他产生恶臭气体的生产经营活动</w:t>
            </w:r>
            <w:r>
              <w:rPr>
                <w:rFonts w:hint="default" w:ascii="Times New Roman" w:hAnsi="Times New Roman" w:eastAsia="宋体" w:cs="Times New Roman"/>
                <w:color w:val="auto"/>
                <w:sz w:val="21"/>
                <w:szCs w:val="21"/>
                <w:highlight w:val="none"/>
                <w:u w:val="none" w:color="auto"/>
              </w:rPr>
              <w:t>；</w:t>
            </w:r>
          </w:p>
          <w:p w14:paraId="0F2289D6">
            <w:pPr>
              <w:keepNext w:val="0"/>
              <w:keepLines w:val="0"/>
              <w:pageBreakBefore w:val="0"/>
              <w:widowControl w:val="0"/>
              <w:kinsoku/>
              <w:wordWrap/>
              <w:overflowPunct/>
              <w:topLinePunct w:val="0"/>
              <w:autoSpaceDE/>
              <w:autoSpaceDN/>
              <w:bidi w:val="0"/>
              <w:adjustRightInd/>
              <w:snapToGrid/>
              <w:spacing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2、本项目</w:t>
            </w:r>
            <w:r>
              <w:rPr>
                <w:rFonts w:hint="default" w:ascii="Times New Roman" w:hAnsi="Times New Roman" w:eastAsia="宋体" w:cs="Times New Roman"/>
                <w:color w:val="auto"/>
                <w:sz w:val="21"/>
                <w:szCs w:val="21"/>
                <w:highlight w:val="none"/>
                <w:u w:val="none" w:color="auto"/>
                <w:lang w:val="en-US" w:eastAsia="zh-CN"/>
              </w:rPr>
              <w:t>不涉及</w:t>
            </w:r>
            <w:r>
              <w:rPr>
                <w:rFonts w:hint="default" w:ascii="Times New Roman" w:hAnsi="Times New Roman" w:eastAsia="宋体" w:cs="Times New Roman"/>
                <w:color w:val="auto"/>
                <w:sz w:val="21"/>
                <w:szCs w:val="21"/>
                <w:highlight w:val="none"/>
                <w:u w:val="none" w:color="auto"/>
              </w:rPr>
              <w:t>；</w:t>
            </w:r>
          </w:p>
          <w:p w14:paraId="17A3149A">
            <w:pPr>
              <w:keepNext w:val="0"/>
              <w:keepLines w:val="0"/>
              <w:pageBreakBefore w:val="0"/>
              <w:widowControl w:val="0"/>
              <w:kinsoku/>
              <w:wordWrap/>
              <w:overflowPunct/>
              <w:topLinePunct w:val="0"/>
              <w:autoSpaceDE/>
              <w:autoSpaceDN/>
              <w:bidi w:val="0"/>
              <w:adjustRightInd/>
              <w:snapToGrid/>
              <w:spacing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3、本项目不涉及；</w:t>
            </w:r>
          </w:p>
          <w:p w14:paraId="7F1EC282">
            <w:pPr>
              <w:keepNext w:val="0"/>
              <w:keepLines w:val="0"/>
              <w:pageBreakBefore w:val="0"/>
              <w:widowControl w:val="0"/>
              <w:kinsoku/>
              <w:wordWrap/>
              <w:overflowPunct/>
              <w:topLinePunct w:val="0"/>
              <w:autoSpaceDE/>
              <w:autoSpaceDN/>
              <w:bidi w:val="0"/>
              <w:adjustRightInd/>
              <w:snapToGrid/>
              <w:spacing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4、本项目使用电；</w:t>
            </w:r>
          </w:p>
          <w:p w14:paraId="712D2B11">
            <w:pPr>
              <w:keepNext w:val="0"/>
              <w:keepLines w:val="0"/>
              <w:pageBreakBefore w:val="0"/>
              <w:widowControl w:val="0"/>
              <w:kinsoku/>
              <w:wordWrap/>
              <w:overflowPunct/>
              <w:topLinePunct w:val="0"/>
              <w:autoSpaceDE/>
              <w:autoSpaceDN/>
              <w:bidi w:val="0"/>
              <w:adjustRightInd/>
              <w:snapToGrid/>
              <w:spacing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5</w:t>
            </w:r>
            <w:r>
              <w:rPr>
                <w:rFonts w:hint="default" w:ascii="Times New Roman" w:hAnsi="Times New Roman" w:eastAsia="宋体" w:cs="Times New Roman"/>
                <w:color w:val="auto"/>
                <w:sz w:val="21"/>
                <w:szCs w:val="21"/>
                <w:highlight w:val="none"/>
                <w:u w:val="none" w:color="auto"/>
              </w:rPr>
              <w:t>、本项目</w:t>
            </w:r>
            <w:r>
              <w:rPr>
                <w:rFonts w:hint="default" w:ascii="Times New Roman" w:hAnsi="Times New Roman" w:eastAsia="宋体" w:cs="Times New Roman"/>
                <w:color w:val="auto"/>
                <w:sz w:val="21"/>
                <w:szCs w:val="21"/>
                <w:highlight w:val="none"/>
                <w:u w:val="none" w:color="auto"/>
                <w:lang w:val="en-US" w:eastAsia="zh-CN"/>
              </w:rPr>
              <w:t>不涉及</w:t>
            </w:r>
            <w:r>
              <w:rPr>
                <w:rFonts w:hint="default" w:ascii="Times New Roman" w:hAnsi="Times New Roman" w:eastAsia="宋体" w:cs="Times New Roman"/>
                <w:color w:val="auto"/>
                <w:spacing w:val="-4"/>
                <w:sz w:val="21"/>
                <w:szCs w:val="21"/>
                <w:highlight w:val="none"/>
                <w:u w:val="none" w:color="auto"/>
              </w:rPr>
              <w:t>；</w:t>
            </w:r>
          </w:p>
        </w:tc>
        <w:tc>
          <w:tcPr>
            <w:tcW w:w="168" w:type="pct"/>
            <w:noWrap w:val="0"/>
            <w:vAlign w:val="center"/>
          </w:tcPr>
          <w:p w14:paraId="75B58D4E">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5B561A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05" w:type="pct"/>
            <w:vMerge w:val="continue"/>
            <w:noWrap w:val="0"/>
            <w:vAlign w:val="center"/>
          </w:tcPr>
          <w:p w14:paraId="621A5AED">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291" w:type="pct"/>
            <w:vMerge w:val="continue"/>
            <w:noWrap w:val="0"/>
            <w:vAlign w:val="center"/>
          </w:tcPr>
          <w:p w14:paraId="09AE28AB">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84" w:type="pct"/>
            <w:vMerge w:val="continue"/>
            <w:noWrap w:val="0"/>
            <w:vAlign w:val="center"/>
          </w:tcPr>
          <w:p w14:paraId="1BDFF777">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79" w:type="pct"/>
            <w:vMerge w:val="continue"/>
            <w:noWrap w:val="0"/>
            <w:vAlign w:val="center"/>
          </w:tcPr>
          <w:p w14:paraId="7609D4B8">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vMerge w:val="continue"/>
            <w:noWrap w:val="0"/>
            <w:vAlign w:val="center"/>
          </w:tcPr>
          <w:p w14:paraId="2621DF40">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noWrap w:val="0"/>
            <w:vAlign w:val="center"/>
          </w:tcPr>
          <w:p w14:paraId="7D7FEBD6">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污染物排放管控</w:t>
            </w:r>
          </w:p>
        </w:tc>
        <w:tc>
          <w:tcPr>
            <w:tcW w:w="1967" w:type="pct"/>
            <w:noWrap w:val="0"/>
            <w:vAlign w:val="center"/>
          </w:tcPr>
          <w:p w14:paraId="58F29190">
            <w:pPr>
              <w:pStyle w:val="163"/>
              <w:keepNext w:val="0"/>
              <w:keepLines w:val="0"/>
              <w:pageBreakBefore w:val="0"/>
              <w:widowControl w:val="0"/>
              <w:kinsoku/>
              <w:wordWrap/>
              <w:overflowPunct/>
              <w:topLinePunct w:val="0"/>
              <w:autoSpaceDE/>
              <w:autoSpaceDN/>
              <w:bidi w:val="0"/>
              <w:adjustRightInd/>
              <w:snapToGrid/>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rPr>
            </w:pPr>
            <w:r>
              <w:rPr>
                <w:rFonts w:hint="default" w:ascii="Times New Roman" w:hAnsi="Times New Roman" w:eastAsia="宋体" w:cs="Times New Roman"/>
                <w:color w:val="auto"/>
                <w:spacing w:val="-4"/>
                <w:sz w:val="21"/>
                <w:szCs w:val="21"/>
                <w:highlight w:val="none"/>
                <w:u w:val="none" w:color="auto"/>
              </w:rPr>
              <w:t>1、优化调整货物运输结构，淘汰国三及以下排放标准柴油货车，持续开展车辆更新工作。</w:t>
            </w:r>
          </w:p>
          <w:p w14:paraId="4C1595F1">
            <w:pPr>
              <w:pStyle w:val="163"/>
              <w:keepNext w:val="0"/>
              <w:keepLines w:val="0"/>
              <w:pageBreakBefore w:val="0"/>
              <w:widowControl w:val="0"/>
              <w:kinsoku/>
              <w:wordWrap/>
              <w:overflowPunct/>
              <w:topLinePunct w:val="0"/>
              <w:autoSpaceDE/>
              <w:autoSpaceDN/>
              <w:bidi w:val="0"/>
              <w:adjustRightInd/>
              <w:snapToGrid/>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rPr>
            </w:pPr>
            <w:r>
              <w:rPr>
                <w:rFonts w:hint="default" w:ascii="Times New Roman" w:hAnsi="Times New Roman" w:eastAsia="宋体" w:cs="Times New Roman"/>
                <w:color w:val="auto"/>
                <w:spacing w:val="-4"/>
                <w:sz w:val="21"/>
                <w:szCs w:val="21"/>
                <w:highlight w:val="none"/>
                <w:u w:val="none" w:color="auto"/>
              </w:rPr>
              <w:t>2、餐饮企业严格执行《餐饮业油烟污染物排放标准》（DB41/1604）中各污染因子的排放标准。</w:t>
            </w:r>
          </w:p>
        </w:tc>
        <w:tc>
          <w:tcPr>
            <w:tcW w:w="1191" w:type="pct"/>
            <w:noWrap w:val="0"/>
            <w:vAlign w:val="center"/>
          </w:tcPr>
          <w:p w14:paraId="36848315">
            <w:pPr>
              <w:keepNext w:val="0"/>
              <w:keepLines w:val="0"/>
              <w:pageBreakBefore w:val="0"/>
              <w:widowControl w:val="0"/>
              <w:kinsoku/>
              <w:wordWrap/>
              <w:overflowPunct/>
              <w:topLinePunct w:val="0"/>
              <w:autoSpaceDE/>
              <w:autoSpaceDN/>
              <w:bidi w:val="0"/>
              <w:adjustRightInd/>
              <w:snapToGrid/>
              <w:spacing w:line="240" w:lineRule="auto"/>
              <w:ind w:left="0" w:right="0" w:firstLine="420" w:firstLineChars="200"/>
              <w:jc w:val="both"/>
              <w:textAlignment w:val="auto"/>
              <w:rPr>
                <w:rFonts w:hint="default" w:ascii="Times New Roman" w:hAnsi="Times New Roman" w:eastAsia="宋体" w:cs="Times New Roman"/>
                <w:color w:val="auto"/>
                <w:spacing w:val="-4"/>
                <w:sz w:val="21"/>
                <w:szCs w:val="21"/>
                <w:highlight w:val="none"/>
                <w:u w:val="none" w:color="auto"/>
              </w:rPr>
            </w:pPr>
            <w:r>
              <w:rPr>
                <w:rFonts w:hint="default" w:ascii="Times New Roman" w:hAnsi="Times New Roman" w:eastAsia="宋体" w:cs="Times New Roman"/>
                <w:color w:val="auto"/>
                <w:sz w:val="21"/>
                <w:szCs w:val="21"/>
                <w:highlight w:val="none"/>
                <w:u w:val="none" w:color="auto"/>
              </w:rPr>
              <w:t>1、本项目不使用</w:t>
            </w:r>
            <w:r>
              <w:rPr>
                <w:rFonts w:hint="default" w:ascii="Times New Roman" w:hAnsi="Times New Roman" w:eastAsia="宋体" w:cs="Times New Roman"/>
                <w:color w:val="auto"/>
                <w:spacing w:val="-4"/>
                <w:sz w:val="21"/>
                <w:szCs w:val="21"/>
                <w:highlight w:val="none"/>
                <w:u w:val="none" w:color="auto"/>
              </w:rPr>
              <w:t>国三及以下排放标准柴油货车；</w:t>
            </w:r>
          </w:p>
          <w:p w14:paraId="5FD36814">
            <w:pPr>
              <w:keepNext w:val="0"/>
              <w:keepLines w:val="0"/>
              <w:pageBreakBefore w:val="0"/>
              <w:widowControl w:val="0"/>
              <w:kinsoku/>
              <w:wordWrap/>
              <w:overflowPunct/>
              <w:topLinePunct w:val="0"/>
              <w:autoSpaceDE/>
              <w:autoSpaceDN/>
              <w:bidi w:val="0"/>
              <w:adjustRightInd/>
              <w:snapToGrid/>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rPr>
            </w:pPr>
            <w:r>
              <w:rPr>
                <w:rFonts w:hint="default" w:ascii="Times New Roman" w:hAnsi="Times New Roman" w:eastAsia="宋体" w:cs="Times New Roman"/>
                <w:color w:val="auto"/>
                <w:spacing w:val="-4"/>
                <w:sz w:val="21"/>
                <w:szCs w:val="21"/>
                <w:highlight w:val="none"/>
                <w:u w:val="none" w:color="auto"/>
              </w:rPr>
              <w:t>2、本项目</w:t>
            </w:r>
            <w:r>
              <w:rPr>
                <w:rFonts w:hint="default" w:ascii="Times New Roman" w:hAnsi="Times New Roman" w:eastAsia="宋体" w:cs="Times New Roman"/>
                <w:color w:val="auto"/>
                <w:spacing w:val="-4"/>
                <w:sz w:val="21"/>
                <w:szCs w:val="21"/>
                <w:highlight w:val="none"/>
                <w:u w:val="none" w:color="auto"/>
                <w:lang w:val="en-US" w:eastAsia="zh-CN"/>
              </w:rPr>
              <w:t>餐厅废气严格执行《餐饮业油烟污染物排放标准》（DB41/1604）中各污染因子的排放标准</w:t>
            </w:r>
            <w:r>
              <w:rPr>
                <w:rFonts w:hint="default" w:ascii="Times New Roman" w:hAnsi="Times New Roman" w:eastAsia="宋体" w:cs="Times New Roman"/>
                <w:color w:val="auto"/>
                <w:spacing w:val="-4"/>
                <w:sz w:val="21"/>
                <w:szCs w:val="21"/>
                <w:highlight w:val="none"/>
                <w:u w:val="none" w:color="auto"/>
              </w:rPr>
              <w:t>；</w:t>
            </w:r>
          </w:p>
        </w:tc>
        <w:tc>
          <w:tcPr>
            <w:tcW w:w="168" w:type="pct"/>
            <w:noWrap w:val="0"/>
            <w:vAlign w:val="center"/>
          </w:tcPr>
          <w:p w14:paraId="42E82616">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33CD07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05" w:type="pct"/>
            <w:vMerge w:val="continue"/>
            <w:noWrap w:val="0"/>
            <w:vAlign w:val="center"/>
          </w:tcPr>
          <w:p w14:paraId="05B15974">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291" w:type="pct"/>
            <w:vMerge w:val="continue"/>
            <w:noWrap w:val="0"/>
            <w:vAlign w:val="center"/>
          </w:tcPr>
          <w:p w14:paraId="5529D8F4">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84" w:type="pct"/>
            <w:vMerge w:val="continue"/>
            <w:noWrap w:val="0"/>
            <w:vAlign w:val="center"/>
          </w:tcPr>
          <w:p w14:paraId="119EDBC9">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79" w:type="pct"/>
            <w:vMerge w:val="continue"/>
            <w:noWrap w:val="0"/>
            <w:vAlign w:val="center"/>
          </w:tcPr>
          <w:p w14:paraId="7F8334EB">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vMerge w:val="continue"/>
            <w:noWrap w:val="0"/>
            <w:vAlign w:val="center"/>
          </w:tcPr>
          <w:p w14:paraId="1779958A">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noWrap w:val="0"/>
            <w:vAlign w:val="center"/>
          </w:tcPr>
          <w:p w14:paraId="4A595F0B">
            <w:pPr>
              <w:keepNext w:val="0"/>
              <w:keepLines w:val="0"/>
              <w:pageBreakBefore w:val="0"/>
              <w:widowControl w:val="0"/>
              <w:wordWrap/>
              <w:overflowPunct/>
              <w:topLinePunct w:val="0"/>
              <w:bidi w:val="0"/>
              <w:snapToGrid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rPr>
              <w:t>环境风险防控</w:t>
            </w:r>
          </w:p>
        </w:tc>
        <w:tc>
          <w:tcPr>
            <w:tcW w:w="1967" w:type="pct"/>
            <w:noWrap w:val="0"/>
            <w:vAlign w:val="center"/>
          </w:tcPr>
          <w:p w14:paraId="05A5D3A8">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pacing w:val="-4"/>
                <w:sz w:val="21"/>
                <w:szCs w:val="21"/>
                <w:highlight w:val="none"/>
                <w:u w:val="none" w:color="auto"/>
                <w:lang w:val="en-US" w:eastAsia="zh-CN"/>
              </w:rPr>
            </w:pPr>
            <w:r>
              <w:rPr>
                <w:rFonts w:hint="default" w:ascii="Times New Roman" w:hAnsi="Times New Roman" w:eastAsia="宋体" w:cs="Times New Roman"/>
                <w:color w:val="auto"/>
                <w:spacing w:val="-4"/>
                <w:sz w:val="21"/>
                <w:szCs w:val="21"/>
                <w:highlight w:val="none"/>
                <w:u w:val="none" w:color="auto"/>
                <w:lang w:val="en-US" w:eastAsia="zh-CN"/>
              </w:rPr>
              <w:t>/</w:t>
            </w:r>
          </w:p>
        </w:tc>
        <w:tc>
          <w:tcPr>
            <w:tcW w:w="1191" w:type="pct"/>
            <w:noWrap w:val="0"/>
            <w:vAlign w:val="center"/>
          </w:tcPr>
          <w:p w14:paraId="0D008742">
            <w:pPr>
              <w:keepNext w:val="0"/>
              <w:keepLines w:val="0"/>
              <w:pageBreakBefore w:val="0"/>
              <w:widowControl w:val="0"/>
              <w:wordWrap/>
              <w:overflowPunct/>
              <w:topLinePunct w:val="0"/>
              <w:bidi w:val="0"/>
              <w:snapToGrid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c>
          <w:tcPr>
            <w:tcW w:w="168" w:type="pct"/>
            <w:noWrap w:val="0"/>
            <w:vAlign w:val="center"/>
          </w:tcPr>
          <w:p w14:paraId="1C31EE7A">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r>
      <w:tr w14:paraId="701041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05" w:type="pct"/>
            <w:vMerge w:val="continue"/>
            <w:noWrap w:val="0"/>
            <w:vAlign w:val="center"/>
          </w:tcPr>
          <w:p w14:paraId="20F18562">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291" w:type="pct"/>
            <w:vMerge w:val="continue"/>
            <w:noWrap w:val="0"/>
            <w:vAlign w:val="center"/>
          </w:tcPr>
          <w:p w14:paraId="43F4BCE8">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84" w:type="pct"/>
            <w:vMerge w:val="continue"/>
            <w:noWrap w:val="0"/>
            <w:vAlign w:val="center"/>
          </w:tcPr>
          <w:p w14:paraId="628AC2CE">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79" w:type="pct"/>
            <w:vMerge w:val="continue"/>
            <w:noWrap w:val="0"/>
            <w:vAlign w:val="center"/>
          </w:tcPr>
          <w:p w14:paraId="2F871E0F">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vMerge w:val="continue"/>
            <w:noWrap w:val="0"/>
            <w:vAlign w:val="center"/>
          </w:tcPr>
          <w:p w14:paraId="051A5691">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noWrap w:val="0"/>
            <w:vAlign w:val="center"/>
          </w:tcPr>
          <w:p w14:paraId="10C4323A">
            <w:pPr>
              <w:keepNext w:val="0"/>
              <w:keepLines w:val="0"/>
              <w:pageBreakBefore w:val="0"/>
              <w:widowControl w:val="0"/>
              <w:wordWrap/>
              <w:overflowPunct/>
              <w:topLinePunct w:val="0"/>
              <w:bidi w:val="0"/>
              <w:snapToGrid w:val="0"/>
              <w:spacing w:line="240" w:lineRule="auto"/>
              <w:ind w:left="0" w:right="0" w:firstLine="0" w:firstLineChars="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color w:val="auto"/>
                <w:spacing w:val="-5"/>
                <w:sz w:val="21"/>
                <w:szCs w:val="21"/>
                <w:highlight w:val="none"/>
                <w:u w:val="none" w:color="auto"/>
              </w:rPr>
              <w:t>资源开发</w:t>
            </w:r>
            <w:r>
              <w:rPr>
                <w:rFonts w:hint="default" w:ascii="Times New Roman" w:hAnsi="Times New Roman" w:eastAsia="宋体" w:cs="Times New Roman"/>
                <w:color w:val="auto"/>
                <w:spacing w:val="-4"/>
                <w:sz w:val="21"/>
                <w:szCs w:val="21"/>
                <w:highlight w:val="none"/>
                <w:u w:val="none" w:color="auto"/>
              </w:rPr>
              <w:t>效率要求</w:t>
            </w:r>
          </w:p>
        </w:tc>
        <w:tc>
          <w:tcPr>
            <w:tcW w:w="1967" w:type="pct"/>
            <w:noWrap w:val="0"/>
            <w:vAlign w:val="center"/>
          </w:tcPr>
          <w:p w14:paraId="063868EF">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pacing w:val="-4"/>
                <w:sz w:val="21"/>
                <w:szCs w:val="21"/>
                <w:highlight w:val="none"/>
                <w:u w:val="none" w:color="auto"/>
                <w:lang w:val="en-US" w:eastAsia="zh-CN"/>
              </w:rPr>
            </w:pPr>
            <w:r>
              <w:rPr>
                <w:rFonts w:hint="default" w:ascii="Times New Roman" w:hAnsi="Times New Roman" w:eastAsia="宋体" w:cs="Times New Roman"/>
                <w:color w:val="auto"/>
                <w:spacing w:val="-4"/>
                <w:sz w:val="21"/>
                <w:szCs w:val="21"/>
                <w:highlight w:val="none"/>
                <w:u w:val="none" w:color="auto"/>
                <w:lang w:val="en-US" w:eastAsia="zh-CN"/>
              </w:rPr>
              <w:t>/</w:t>
            </w:r>
          </w:p>
        </w:tc>
        <w:tc>
          <w:tcPr>
            <w:tcW w:w="1191" w:type="pct"/>
            <w:noWrap w:val="0"/>
            <w:vAlign w:val="center"/>
          </w:tcPr>
          <w:p w14:paraId="10C0E716">
            <w:pPr>
              <w:keepNext w:val="0"/>
              <w:keepLines w:val="0"/>
              <w:pageBreakBefore w:val="0"/>
              <w:widowControl w:val="0"/>
              <w:wordWrap/>
              <w:overflowPunct/>
              <w:topLinePunct w:val="0"/>
              <w:bidi w:val="0"/>
              <w:snapToGrid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c>
          <w:tcPr>
            <w:tcW w:w="168" w:type="pct"/>
            <w:noWrap w:val="0"/>
            <w:vAlign w:val="center"/>
          </w:tcPr>
          <w:p w14:paraId="36889A2B">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r>
      <w:tr w14:paraId="2C6116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05" w:type="pct"/>
            <w:vMerge w:val="restart"/>
            <w:noWrap w:val="0"/>
            <w:vAlign w:val="center"/>
          </w:tcPr>
          <w:p w14:paraId="27DDD294">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YS41132</w:t>
            </w:r>
          </w:p>
          <w:p w14:paraId="4CCD6612">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4321048</w:t>
            </w:r>
          </w:p>
          <w:p w14:paraId="5B7436D9">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6</w:t>
            </w:r>
          </w:p>
        </w:tc>
        <w:tc>
          <w:tcPr>
            <w:tcW w:w="291" w:type="pct"/>
            <w:vMerge w:val="restart"/>
            <w:noWrap w:val="0"/>
            <w:vAlign w:val="center"/>
          </w:tcPr>
          <w:p w14:paraId="4F39A03E">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pacing w:val="-1"/>
                <w:sz w:val="21"/>
                <w:szCs w:val="21"/>
                <w:highlight w:val="none"/>
                <w:u w:val="none" w:color="auto"/>
                <w:lang w:eastAsia="zh-CN"/>
              </w:rPr>
            </w:pPr>
            <w:r>
              <w:rPr>
                <w:rFonts w:hint="default" w:ascii="Times New Roman" w:hAnsi="Times New Roman" w:eastAsia="宋体" w:cs="Times New Roman"/>
                <w:color w:val="auto"/>
                <w:spacing w:val="-1"/>
                <w:sz w:val="21"/>
                <w:szCs w:val="21"/>
                <w:highlight w:val="none"/>
                <w:u w:val="none" w:color="auto"/>
                <w:lang w:eastAsia="zh-CN"/>
              </w:rPr>
              <w:t>赵河南</w:t>
            </w:r>
          </w:p>
          <w:p w14:paraId="342567C0">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pacing w:val="-1"/>
                <w:sz w:val="21"/>
                <w:szCs w:val="21"/>
                <w:highlight w:val="none"/>
                <w:u w:val="none" w:color="auto"/>
                <w:lang w:eastAsia="zh-CN"/>
              </w:rPr>
            </w:pPr>
            <w:r>
              <w:rPr>
                <w:rFonts w:hint="default" w:ascii="Times New Roman" w:hAnsi="Times New Roman" w:eastAsia="宋体" w:cs="Times New Roman"/>
                <w:color w:val="auto"/>
                <w:spacing w:val="-1"/>
                <w:sz w:val="21"/>
                <w:szCs w:val="21"/>
                <w:highlight w:val="none"/>
                <w:u w:val="none" w:color="auto"/>
                <w:lang w:eastAsia="zh-CN"/>
              </w:rPr>
              <w:t>阳田寨</w:t>
            </w:r>
          </w:p>
          <w:p w14:paraId="72B9AB55">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pacing w:val="-1"/>
                <w:sz w:val="21"/>
                <w:szCs w:val="21"/>
                <w:highlight w:val="none"/>
                <w:u w:val="none" w:color="auto"/>
                <w:lang w:eastAsia="zh-CN"/>
              </w:rPr>
            </w:pPr>
            <w:r>
              <w:rPr>
                <w:rFonts w:hint="default" w:ascii="Times New Roman" w:hAnsi="Times New Roman" w:eastAsia="宋体" w:cs="Times New Roman"/>
                <w:color w:val="auto"/>
                <w:spacing w:val="-1"/>
                <w:sz w:val="21"/>
                <w:szCs w:val="21"/>
                <w:highlight w:val="none"/>
                <w:u w:val="none" w:color="auto"/>
                <w:lang w:eastAsia="zh-CN"/>
              </w:rPr>
              <w:t>控制单</w:t>
            </w:r>
          </w:p>
          <w:p w14:paraId="42268CF3">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pacing w:val="-1"/>
                <w:sz w:val="21"/>
                <w:szCs w:val="21"/>
                <w:highlight w:val="none"/>
                <w:u w:val="none" w:color="auto"/>
                <w:lang w:eastAsia="zh-CN"/>
              </w:rPr>
            </w:pPr>
            <w:r>
              <w:rPr>
                <w:rFonts w:hint="default" w:ascii="Times New Roman" w:hAnsi="Times New Roman" w:eastAsia="宋体" w:cs="Times New Roman"/>
                <w:color w:val="auto"/>
                <w:spacing w:val="-1"/>
                <w:sz w:val="21"/>
                <w:szCs w:val="21"/>
                <w:highlight w:val="none"/>
                <w:u w:val="none" w:color="auto"/>
                <w:lang w:eastAsia="zh-CN"/>
              </w:rPr>
              <w:t>元</w:t>
            </w:r>
          </w:p>
        </w:tc>
        <w:tc>
          <w:tcPr>
            <w:tcW w:w="184" w:type="pct"/>
            <w:vMerge w:val="restart"/>
            <w:noWrap w:val="0"/>
            <w:vAlign w:val="center"/>
          </w:tcPr>
          <w:p w14:paraId="3B55E748">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5"/>
                <w:sz w:val="21"/>
                <w:szCs w:val="21"/>
                <w:highlight w:val="none"/>
                <w:u w:val="none" w:color="auto"/>
              </w:rPr>
              <w:t>南阳市</w:t>
            </w:r>
          </w:p>
        </w:tc>
        <w:tc>
          <w:tcPr>
            <w:tcW w:w="179" w:type="pct"/>
            <w:vMerge w:val="restart"/>
            <w:noWrap w:val="0"/>
            <w:vAlign w:val="center"/>
          </w:tcPr>
          <w:p w14:paraId="7CAC3253">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pacing w:val="-10"/>
                <w:sz w:val="21"/>
                <w:szCs w:val="21"/>
                <w:highlight w:val="none"/>
                <w:u w:val="none" w:color="auto"/>
              </w:rPr>
            </w:pPr>
            <w:r>
              <w:rPr>
                <w:rFonts w:hint="default" w:ascii="Times New Roman" w:hAnsi="Times New Roman" w:eastAsia="宋体" w:cs="Times New Roman"/>
                <w:color w:val="auto"/>
                <w:spacing w:val="-4"/>
                <w:sz w:val="21"/>
                <w:szCs w:val="21"/>
                <w:highlight w:val="none"/>
                <w:u w:val="none" w:color="auto"/>
              </w:rPr>
              <w:t>镇平县</w:t>
            </w:r>
          </w:p>
        </w:tc>
        <w:tc>
          <w:tcPr>
            <w:tcW w:w="156" w:type="pct"/>
            <w:vMerge w:val="restart"/>
            <w:noWrap w:val="0"/>
            <w:vAlign w:val="center"/>
          </w:tcPr>
          <w:p w14:paraId="3F3E349D">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一般</w:t>
            </w:r>
            <w:r>
              <w:rPr>
                <w:rFonts w:hint="default" w:ascii="Times New Roman" w:hAnsi="Times New Roman" w:eastAsia="宋体" w:cs="Times New Roman"/>
                <w:color w:val="auto"/>
                <w:sz w:val="21"/>
                <w:szCs w:val="21"/>
                <w:highlight w:val="none"/>
                <w:u w:val="none" w:color="auto"/>
              </w:rPr>
              <w:t>管控单元</w:t>
            </w:r>
          </w:p>
        </w:tc>
        <w:tc>
          <w:tcPr>
            <w:tcW w:w="156" w:type="pct"/>
            <w:noWrap w:val="0"/>
            <w:vAlign w:val="center"/>
          </w:tcPr>
          <w:p w14:paraId="48118DDB">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pacing w:val="-5"/>
                <w:sz w:val="21"/>
                <w:szCs w:val="21"/>
                <w:highlight w:val="none"/>
                <w:u w:val="none" w:color="auto"/>
              </w:rPr>
            </w:pPr>
            <w:r>
              <w:rPr>
                <w:rFonts w:hint="default" w:ascii="Times New Roman" w:hAnsi="Times New Roman" w:eastAsia="宋体" w:cs="Times New Roman"/>
                <w:color w:val="auto"/>
                <w:sz w:val="21"/>
                <w:szCs w:val="21"/>
                <w:highlight w:val="none"/>
                <w:u w:val="none" w:color="auto"/>
              </w:rPr>
              <w:t>空间布局约束</w:t>
            </w:r>
          </w:p>
        </w:tc>
        <w:tc>
          <w:tcPr>
            <w:tcW w:w="1967" w:type="pct"/>
            <w:noWrap w:val="0"/>
            <w:vAlign w:val="center"/>
          </w:tcPr>
          <w:p w14:paraId="450F670B">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pacing w:val="-4"/>
                <w:sz w:val="21"/>
                <w:szCs w:val="21"/>
                <w:highlight w:val="none"/>
                <w:u w:val="none" w:color="auto"/>
                <w:lang w:val="en-US" w:eastAsia="zh-CN"/>
              </w:rPr>
            </w:pPr>
            <w:r>
              <w:rPr>
                <w:rFonts w:hint="default" w:ascii="Times New Roman" w:hAnsi="Times New Roman" w:eastAsia="宋体" w:cs="Times New Roman"/>
                <w:color w:val="auto"/>
                <w:spacing w:val="-4"/>
                <w:sz w:val="21"/>
                <w:szCs w:val="21"/>
                <w:highlight w:val="none"/>
                <w:u w:val="none" w:color="auto"/>
                <w:lang w:val="en-US" w:eastAsia="zh-CN"/>
              </w:rPr>
              <w:t>/</w:t>
            </w:r>
          </w:p>
        </w:tc>
        <w:tc>
          <w:tcPr>
            <w:tcW w:w="1191" w:type="pct"/>
            <w:noWrap w:val="0"/>
            <w:vAlign w:val="center"/>
          </w:tcPr>
          <w:p w14:paraId="2E2994D3">
            <w:pPr>
              <w:keepNext w:val="0"/>
              <w:keepLines w:val="0"/>
              <w:pageBreakBefore w:val="0"/>
              <w:widowControl w:val="0"/>
              <w:wordWrap/>
              <w:overflowPunct/>
              <w:topLinePunct w:val="0"/>
              <w:bidi w:val="0"/>
              <w:snapToGrid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c>
          <w:tcPr>
            <w:tcW w:w="168" w:type="pct"/>
            <w:noWrap w:val="0"/>
            <w:vAlign w:val="center"/>
          </w:tcPr>
          <w:p w14:paraId="58807EF7">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r>
      <w:tr w14:paraId="5CA0A6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05" w:type="pct"/>
            <w:vMerge w:val="continue"/>
            <w:noWrap w:val="0"/>
            <w:vAlign w:val="center"/>
          </w:tcPr>
          <w:p w14:paraId="595709C4">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291" w:type="pct"/>
            <w:vMerge w:val="continue"/>
            <w:noWrap w:val="0"/>
            <w:vAlign w:val="center"/>
          </w:tcPr>
          <w:p w14:paraId="40AEB34B">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84" w:type="pct"/>
            <w:vMerge w:val="continue"/>
            <w:noWrap w:val="0"/>
            <w:vAlign w:val="center"/>
          </w:tcPr>
          <w:p w14:paraId="53733025">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79" w:type="pct"/>
            <w:vMerge w:val="continue"/>
            <w:noWrap w:val="0"/>
            <w:vAlign w:val="center"/>
          </w:tcPr>
          <w:p w14:paraId="37C14AF7">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vMerge w:val="continue"/>
            <w:noWrap w:val="0"/>
            <w:vAlign w:val="center"/>
          </w:tcPr>
          <w:p w14:paraId="65FE7B8A">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noWrap w:val="0"/>
            <w:vAlign w:val="center"/>
          </w:tcPr>
          <w:p w14:paraId="6F213061">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pacing w:val="-5"/>
                <w:sz w:val="21"/>
                <w:szCs w:val="21"/>
                <w:highlight w:val="none"/>
                <w:u w:val="none" w:color="auto"/>
              </w:rPr>
            </w:pPr>
            <w:r>
              <w:rPr>
                <w:rFonts w:hint="default" w:ascii="Times New Roman" w:hAnsi="Times New Roman" w:eastAsia="宋体" w:cs="Times New Roman"/>
                <w:color w:val="auto"/>
                <w:sz w:val="21"/>
                <w:szCs w:val="21"/>
                <w:highlight w:val="none"/>
                <w:u w:val="none" w:color="auto"/>
              </w:rPr>
              <w:t>污染物排放管控</w:t>
            </w:r>
          </w:p>
        </w:tc>
        <w:tc>
          <w:tcPr>
            <w:tcW w:w="1967" w:type="pct"/>
            <w:noWrap w:val="0"/>
            <w:vAlign w:val="center"/>
          </w:tcPr>
          <w:p w14:paraId="702446BC">
            <w:pPr>
              <w:pStyle w:val="170"/>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lang w:eastAsia="zh-CN"/>
              </w:rPr>
            </w:pPr>
            <w:r>
              <w:rPr>
                <w:rFonts w:hint="default" w:ascii="Times New Roman" w:hAnsi="Times New Roman" w:eastAsia="宋体" w:cs="Times New Roman"/>
                <w:color w:val="auto"/>
                <w:spacing w:val="-4"/>
                <w:kern w:val="2"/>
                <w:sz w:val="21"/>
                <w:szCs w:val="21"/>
                <w:u w:val="none" w:color="auto"/>
                <w:lang w:val="en-US" w:eastAsia="zh-CN" w:bidi="ar-SA"/>
              </w:rPr>
              <w:t>1、</w:t>
            </w:r>
            <w:r>
              <w:rPr>
                <w:rFonts w:hint="default" w:ascii="Times New Roman" w:hAnsi="Times New Roman" w:eastAsia="宋体" w:cs="Times New Roman"/>
                <w:color w:val="auto"/>
                <w:spacing w:val="-4"/>
                <w:sz w:val="21"/>
                <w:szCs w:val="21"/>
                <w:highlight w:val="none"/>
                <w:u w:val="none" w:color="auto"/>
                <w:lang w:eastAsia="zh-CN"/>
              </w:rPr>
              <w:t>南水北调中线水源地丹江口库区汇水区及总干渠沿线建制镇全部建成生活污水处理设施，污水执行《城镇污水处理厂污染物排放标准》（GB18918-2002）一级A排放标准。</w:t>
            </w:r>
          </w:p>
          <w:p w14:paraId="0FF7CD9C">
            <w:pPr>
              <w:pStyle w:val="170"/>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lang w:eastAsia="zh-CN"/>
              </w:rPr>
            </w:pPr>
            <w:r>
              <w:rPr>
                <w:rFonts w:hint="default" w:ascii="Times New Roman" w:hAnsi="Times New Roman" w:eastAsia="宋体" w:cs="Times New Roman"/>
                <w:color w:val="auto"/>
                <w:spacing w:val="-4"/>
                <w:sz w:val="21"/>
                <w:szCs w:val="21"/>
                <w:highlight w:val="none"/>
                <w:u w:val="none" w:color="auto"/>
                <w:lang w:eastAsia="zh-CN"/>
              </w:rPr>
              <w:t>2、新建或扩建城镇污水处理厂必须达到或优于一级A排放标准。</w:t>
            </w:r>
          </w:p>
        </w:tc>
        <w:tc>
          <w:tcPr>
            <w:tcW w:w="1191" w:type="pct"/>
            <w:noWrap w:val="0"/>
            <w:vAlign w:val="center"/>
          </w:tcPr>
          <w:p w14:paraId="4DCACA7C">
            <w:pPr>
              <w:keepNext w:val="0"/>
              <w:keepLines w:val="0"/>
              <w:pageBreakBefore w:val="0"/>
              <w:widowControl w:val="0"/>
              <w:kinsoku/>
              <w:wordWrap/>
              <w:overflowPunct/>
              <w:topLinePunct w:val="0"/>
              <w:autoSpaceDE/>
              <w:autoSpaceDN/>
              <w:bidi w:val="0"/>
              <w:adjustRightInd/>
              <w:snapToGrid w:val="0"/>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rPr>
            </w:pPr>
            <w:r>
              <w:rPr>
                <w:rFonts w:hint="default" w:ascii="Times New Roman" w:hAnsi="Times New Roman" w:eastAsia="宋体" w:cs="Times New Roman"/>
                <w:color w:val="auto"/>
                <w:spacing w:val="-4"/>
                <w:sz w:val="21"/>
                <w:szCs w:val="21"/>
                <w:highlight w:val="none"/>
                <w:u w:val="none" w:color="auto"/>
              </w:rPr>
              <w:t>1、</w:t>
            </w:r>
            <w:r>
              <w:rPr>
                <w:rFonts w:hint="default" w:ascii="Times New Roman" w:hAnsi="Times New Roman" w:eastAsia="宋体" w:cs="Times New Roman"/>
                <w:color w:val="auto"/>
                <w:sz w:val="21"/>
                <w:szCs w:val="21"/>
                <w:highlight w:val="none"/>
                <w:u w:val="none" w:color="auto"/>
              </w:rPr>
              <w:t>本项目</w:t>
            </w:r>
            <w:r>
              <w:rPr>
                <w:rFonts w:hint="default" w:ascii="Times New Roman" w:hAnsi="Times New Roman" w:eastAsia="宋体" w:cs="Times New Roman"/>
                <w:color w:val="auto"/>
                <w:sz w:val="21"/>
                <w:szCs w:val="21"/>
                <w:highlight w:val="none"/>
                <w:u w:val="none" w:color="auto"/>
                <w:lang w:val="en-US" w:eastAsia="zh-CN"/>
              </w:rPr>
              <w:t>营运期</w:t>
            </w:r>
            <w:r>
              <w:rPr>
                <w:rFonts w:hint="default" w:ascii="Times New Roman" w:hAnsi="Times New Roman" w:eastAsia="宋体" w:cs="Times New Roman"/>
                <w:color w:val="auto"/>
                <w:sz w:val="21"/>
                <w:szCs w:val="21"/>
                <w:u w:val="none" w:color="auto"/>
                <w:lang w:val="en-US" w:eastAsia="zh-CN"/>
              </w:rPr>
              <w:t>师生日常生活污水与经现有地埋式隔油池（1座，地埋式，容积230m</w:t>
            </w:r>
            <w:r>
              <w:rPr>
                <w:rFonts w:hint="default" w:ascii="Times New Roman" w:hAnsi="Times New Roman" w:eastAsia="宋体" w:cs="Times New Roman"/>
                <w:color w:val="auto"/>
                <w:sz w:val="21"/>
                <w:szCs w:val="21"/>
                <w:u w:val="none" w:color="auto"/>
                <w:vertAlign w:val="superscript"/>
                <w:lang w:val="en-US" w:eastAsia="zh-CN"/>
              </w:rPr>
              <w:t>3</w:t>
            </w:r>
            <w:r>
              <w:rPr>
                <w:rFonts w:hint="default" w:ascii="Times New Roman" w:hAnsi="Times New Roman" w:eastAsia="宋体" w:cs="Times New Roman"/>
                <w:color w:val="auto"/>
                <w:sz w:val="21"/>
                <w:szCs w:val="21"/>
                <w:u w:val="none" w:color="auto"/>
                <w:lang w:val="en-US" w:eastAsia="zh-CN"/>
              </w:rPr>
              <w:t>）处理后的</w:t>
            </w:r>
            <w:r>
              <w:rPr>
                <w:rFonts w:hint="eastAsia" w:cs="Times New Roman"/>
                <w:color w:val="auto"/>
                <w:sz w:val="21"/>
                <w:szCs w:val="21"/>
                <w:u w:val="none" w:color="auto"/>
                <w:lang w:val="en-US" w:eastAsia="zh-CN"/>
              </w:rPr>
              <w:t>餐厅</w:t>
            </w:r>
            <w:r>
              <w:rPr>
                <w:rFonts w:hint="default" w:ascii="Times New Roman" w:hAnsi="Times New Roman" w:eastAsia="宋体" w:cs="Times New Roman"/>
                <w:color w:val="auto"/>
                <w:sz w:val="21"/>
                <w:szCs w:val="21"/>
                <w:u w:val="none" w:color="auto"/>
                <w:lang w:val="en-US" w:eastAsia="zh-CN"/>
              </w:rPr>
              <w:t>废水以及经中和池（新建，1座，地埋式，容积5m</w:t>
            </w:r>
            <w:r>
              <w:rPr>
                <w:rFonts w:hint="default" w:ascii="Times New Roman" w:hAnsi="Times New Roman" w:eastAsia="宋体" w:cs="Times New Roman"/>
                <w:color w:val="auto"/>
                <w:sz w:val="21"/>
                <w:szCs w:val="21"/>
                <w:u w:val="none" w:color="auto"/>
                <w:vertAlign w:val="superscript"/>
                <w:lang w:val="en-US" w:eastAsia="zh-CN"/>
              </w:rPr>
              <w:t>3</w:t>
            </w:r>
            <w:r>
              <w:rPr>
                <w:rFonts w:hint="default" w:ascii="Times New Roman" w:hAnsi="Times New Roman" w:eastAsia="宋体" w:cs="Times New Roman"/>
                <w:color w:val="auto"/>
                <w:sz w:val="21"/>
                <w:szCs w:val="21"/>
                <w:u w:val="none" w:color="auto"/>
                <w:lang w:val="en-US" w:eastAsia="zh-CN"/>
              </w:rPr>
              <w:t>）处理后的实验室废水一起进入现有地埋式化粪池（1座，地埋式，现有容积650m</w:t>
            </w:r>
            <w:r>
              <w:rPr>
                <w:rFonts w:hint="default" w:ascii="Times New Roman" w:hAnsi="Times New Roman" w:eastAsia="宋体" w:cs="Times New Roman"/>
                <w:color w:val="auto"/>
                <w:sz w:val="21"/>
                <w:szCs w:val="21"/>
                <w:u w:val="none" w:color="auto"/>
                <w:vertAlign w:val="superscript"/>
                <w:lang w:val="en-US" w:eastAsia="zh-CN"/>
              </w:rPr>
              <w:t>3</w:t>
            </w:r>
            <w:r>
              <w:rPr>
                <w:rFonts w:hint="default" w:ascii="Times New Roman" w:hAnsi="Times New Roman" w:eastAsia="宋体" w:cs="Times New Roman"/>
                <w:color w:val="auto"/>
                <w:sz w:val="21"/>
                <w:szCs w:val="21"/>
                <w:u w:val="none" w:color="auto"/>
                <w:lang w:val="en-US" w:eastAsia="zh-CN"/>
              </w:rPr>
              <w:t>）处理后</w:t>
            </w:r>
            <w:r>
              <w:rPr>
                <w:rFonts w:hint="default" w:ascii="Times New Roman" w:hAnsi="Times New Roman" w:eastAsia="宋体" w:cs="Times New Roman"/>
                <w:color w:val="auto"/>
                <w:kern w:val="0"/>
                <w:sz w:val="21"/>
                <w:szCs w:val="21"/>
                <w:u w:val="none" w:color="auto"/>
              </w:rPr>
              <w:t>满足《污水综合排放标准》（GB8978-1996）表4三级标准及镇平县</w:t>
            </w:r>
            <w:r>
              <w:rPr>
                <w:rFonts w:hint="default" w:ascii="Times New Roman" w:hAnsi="Times New Roman" w:eastAsia="宋体" w:cs="Times New Roman"/>
                <w:color w:val="auto"/>
                <w:kern w:val="0"/>
                <w:sz w:val="21"/>
                <w:szCs w:val="21"/>
                <w:u w:val="none" w:color="auto"/>
                <w:lang w:val="en-US" w:eastAsia="zh-CN"/>
              </w:rPr>
              <w:t>污水处理中心</w:t>
            </w:r>
            <w:r>
              <w:rPr>
                <w:rFonts w:hint="default" w:ascii="Times New Roman" w:hAnsi="Times New Roman" w:eastAsia="宋体" w:cs="Times New Roman"/>
                <w:color w:val="auto"/>
                <w:kern w:val="0"/>
                <w:sz w:val="21"/>
                <w:szCs w:val="21"/>
                <w:u w:val="none" w:color="auto"/>
              </w:rPr>
              <w:t>进水水质指标后经市政污水管网进入镇平县</w:t>
            </w:r>
            <w:r>
              <w:rPr>
                <w:rFonts w:hint="default" w:ascii="Times New Roman" w:hAnsi="Times New Roman" w:eastAsia="宋体" w:cs="Times New Roman"/>
                <w:color w:val="auto"/>
                <w:kern w:val="0"/>
                <w:sz w:val="21"/>
                <w:szCs w:val="21"/>
                <w:u w:val="none" w:color="auto"/>
                <w:lang w:val="en-US" w:eastAsia="zh-CN"/>
              </w:rPr>
              <w:t>污水处理中心</w:t>
            </w:r>
            <w:r>
              <w:rPr>
                <w:rFonts w:hint="default" w:ascii="Times New Roman" w:hAnsi="Times New Roman" w:eastAsia="宋体" w:cs="Times New Roman"/>
                <w:color w:val="auto"/>
                <w:kern w:val="0"/>
                <w:sz w:val="21"/>
                <w:szCs w:val="21"/>
                <w:u w:val="none" w:color="auto"/>
              </w:rPr>
              <w:t>进一步处理达到《城镇污水处理厂污染物排放标准》（GB18918-2002）一级A标准后</w:t>
            </w:r>
            <w:r>
              <w:rPr>
                <w:rFonts w:hint="default" w:ascii="Times New Roman" w:hAnsi="Times New Roman" w:eastAsia="宋体" w:cs="Times New Roman"/>
                <w:color w:val="auto"/>
                <w:sz w:val="21"/>
                <w:szCs w:val="21"/>
                <w:u w:val="none" w:color="auto"/>
              </w:rPr>
              <w:t>排入</w:t>
            </w:r>
            <w:r>
              <w:rPr>
                <w:rFonts w:hint="default" w:ascii="Times New Roman" w:hAnsi="Times New Roman" w:eastAsia="宋体" w:cs="Times New Roman"/>
                <w:color w:val="auto"/>
                <w:sz w:val="21"/>
                <w:szCs w:val="21"/>
                <w:u w:val="none" w:color="auto"/>
                <w:lang w:val="en-US" w:eastAsia="zh-CN"/>
              </w:rPr>
              <w:t>西三里河</w:t>
            </w:r>
            <w:r>
              <w:rPr>
                <w:rFonts w:hint="default" w:ascii="Times New Roman" w:hAnsi="Times New Roman" w:eastAsia="宋体" w:cs="Times New Roman"/>
                <w:color w:val="auto"/>
                <w:spacing w:val="-4"/>
                <w:sz w:val="21"/>
                <w:szCs w:val="21"/>
                <w:highlight w:val="none"/>
                <w:u w:val="none" w:color="auto"/>
              </w:rPr>
              <w:t>；</w:t>
            </w:r>
          </w:p>
          <w:p w14:paraId="36706BFF">
            <w:pPr>
              <w:keepNext w:val="0"/>
              <w:keepLines w:val="0"/>
              <w:pageBreakBefore w:val="0"/>
              <w:widowControl w:val="0"/>
              <w:kinsoku/>
              <w:wordWrap/>
              <w:overflowPunct/>
              <w:topLinePunct w:val="0"/>
              <w:autoSpaceDE/>
              <w:autoSpaceDN/>
              <w:bidi w:val="0"/>
              <w:adjustRightInd/>
              <w:snapToGrid w:val="0"/>
              <w:spacing w:line="240" w:lineRule="auto"/>
              <w:ind w:left="0" w:right="0" w:firstLine="404"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4"/>
                <w:sz w:val="21"/>
                <w:szCs w:val="21"/>
                <w:highlight w:val="none"/>
                <w:u w:val="none" w:color="auto"/>
              </w:rPr>
              <w:t>2、本项目不涉及；</w:t>
            </w:r>
          </w:p>
        </w:tc>
        <w:tc>
          <w:tcPr>
            <w:tcW w:w="168" w:type="pct"/>
            <w:noWrap w:val="0"/>
            <w:vAlign w:val="center"/>
          </w:tcPr>
          <w:p w14:paraId="408EDA7A">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2DEB8B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05" w:type="pct"/>
            <w:vMerge w:val="continue"/>
            <w:noWrap w:val="0"/>
            <w:vAlign w:val="center"/>
          </w:tcPr>
          <w:p w14:paraId="413696F0">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291" w:type="pct"/>
            <w:vMerge w:val="continue"/>
            <w:noWrap w:val="0"/>
            <w:vAlign w:val="center"/>
          </w:tcPr>
          <w:p w14:paraId="16C4BC17">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84" w:type="pct"/>
            <w:vMerge w:val="continue"/>
            <w:noWrap w:val="0"/>
            <w:vAlign w:val="center"/>
          </w:tcPr>
          <w:p w14:paraId="32BD2745">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79" w:type="pct"/>
            <w:vMerge w:val="continue"/>
            <w:noWrap w:val="0"/>
            <w:vAlign w:val="center"/>
          </w:tcPr>
          <w:p w14:paraId="55A466D2">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vMerge w:val="continue"/>
            <w:noWrap w:val="0"/>
            <w:vAlign w:val="center"/>
          </w:tcPr>
          <w:p w14:paraId="1B9E5446">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noWrap w:val="0"/>
            <w:vAlign w:val="center"/>
          </w:tcPr>
          <w:p w14:paraId="008DB5BB">
            <w:pPr>
              <w:keepNext w:val="0"/>
              <w:keepLines w:val="0"/>
              <w:pageBreakBefore w:val="0"/>
              <w:widowControl w:val="0"/>
              <w:wordWrap/>
              <w:overflowPunct/>
              <w:topLinePunct w:val="0"/>
              <w:bidi w:val="0"/>
              <w:snapToGrid w:val="0"/>
              <w:spacing w:line="240" w:lineRule="auto"/>
              <w:ind w:left="0" w:right="0" w:firstLine="0" w:firstLineChars="0"/>
              <w:jc w:val="center"/>
              <w:rPr>
                <w:rFonts w:hint="default" w:ascii="Times New Roman" w:hAnsi="Times New Roman" w:eastAsia="宋体" w:cs="Times New Roman"/>
                <w:color w:val="auto"/>
                <w:spacing w:val="-5"/>
                <w:sz w:val="21"/>
                <w:szCs w:val="21"/>
                <w:highlight w:val="none"/>
                <w:u w:val="none" w:color="auto"/>
              </w:rPr>
            </w:pPr>
            <w:r>
              <w:rPr>
                <w:rFonts w:hint="default" w:ascii="Times New Roman" w:hAnsi="Times New Roman" w:eastAsia="宋体" w:cs="Times New Roman"/>
                <w:bCs/>
                <w:color w:val="auto"/>
                <w:sz w:val="21"/>
                <w:szCs w:val="21"/>
                <w:highlight w:val="none"/>
                <w:u w:val="none" w:color="auto"/>
              </w:rPr>
              <w:t>环境风险防控</w:t>
            </w:r>
          </w:p>
        </w:tc>
        <w:tc>
          <w:tcPr>
            <w:tcW w:w="1967" w:type="pct"/>
            <w:noWrap w:val="0"/>
            <w:vAlign w:val="center"/>
          </w:tcPr>
          <w:p w14:paraId="3B175853">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pacing w:val="-4"/>
                <w:sz w:val="21"/>
                <w:szCs w:val="21"/>
                <w:highlight w:val="none"/>
                <w:u w:val="none" w:color="auto"/>
                <w:lang w:val="en-US" w:eastAsia="zh-CN"/>
              </w:rPr>
            </w:pPr>
            <w:r>
              <w:rPr>
                <w:rFonts w:hint="default" w:ascii="Times New Roman" w:hAnsi="Times New Roman" w:eastAsia="宋体" w:cs="Times New Roman"/>
                <w:color w:val="auto"/>
                <w:spacing w:val="-4"/>
                <w:sz w:val="21"/>
                <w:szCs w:val="21"/>
                <w:highlight w:val="none"/>
                <w:u w:val="none" w:color="auto"/>
                <w:lang w:val="en-US" w:eastAsia="zh-CN"/>
              </w:rPr>
              <w:t>/</w:t>
            </w:r>
          </w:p>
        </w:tc>
        <w:tc>
          <w:tcPr>
            <w:tcW w:w="1191" w:type="pct"/>
            <w:noWrap w:val="0"/>
            <w:vAlign w:val="center"/>
          </w:tcPr>
          <w:p w14:paraId="1187A8F7">
            <w:pPr>
              <w:keepNext w:val="0"/>
              <w:keepLines w:val="0"/>
              <w:pageBreakBefore w:val="0"/>
              <w:widowControl w:val="0"/>
              <w:wordWrap/>
              <w:overflowPunct/>
              <w:topLinePunct w:val="0"/>
              <w:bidi w:val="0"/>
              <w:snapToGrid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c>
          <w:tcPr>
            <w:tcW w:w="168" w:type="pct"/>
            <w:noWrap w:val="0"/>
            <w:vAlign w:val="center"/>
          </w:tcPr>
          <w:p w14:paraId="0C923B29">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r>
      <w:tr w14:paraId="3E66F4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05" w:type="pct"/>
            <w:vMerge w:val="continue"/>
            <w:noWrap w:val="0"/>
            <w:vAlign w:val="center"/>
          </w:tcPr>
          <w:p w14:paraId="31594DEF">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291" w:type="pct"/>
            <w:vMerge w:val="continue"/>
            <w:noWrap w:val="0"/>
            <w:vAlign w:val="center"/>
          </w:tcPr>
          <w:p w14:paraId="7223ABDB">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84" w:type="pct"/>
            <w:vMerge w:val="continue"/>
            <w:noWrap w:val="0"/>
            <w:vAlign w:val="center"/>
          </w:tcPr>
          <w:p w14:paraId="40BF5157">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79" w:type="pct"/>
            <w:vMerge w:val="continue"/>
            <w:noWrap w:val="0"/>
            <w:vAlign w:val="center"/>
          </w:tcPr>
          <w:p w14:paraId="6FF7FCA4">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vMerge w:val="continue"/>
            <w:noWrap w:val="0"/>
            <w:vAlign w:val="center"/>
          </w:tcPr>
          <w:p w14:paraId="0AAD2596">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noWrap w:val="0"/>
            <w:vAlign w:val="center"/>
          </w:tcPr>
          <w:p w14:paraId="04ED42DD">
            <w:pPr>
              <w:keepNext w:val="0"/>
              <w:keepLines w:val="0"/>
              <w:pageBreakBefore w:val="0"/>
              <w:widowControl w:val="0"/>
              <w:wordWrap/>
              <w:overflowPunct/>
              <w:topLinePunct w:val="0"/>
              <w:bidi w:val="0"/>
              <w:snapToGrid w:val="0"/>
              <w:spacing w:line="240" w:lineRule="auto"/>
              <w:ind w:left="0" w:right="0" w:firstLine="0" w:firstLineChars="0"/>
              <w:jc w:val="center"/>
              <w:rPr>
                <w:rFonts w:hint="default" w:ascii="Times New Roman" w:hAnsi="Times New Roman" w:eastAsia="宋体" w:cs="Times New Roman"/>
                <w:color w:val="auto"/>
                <w:spacing w:val="-5"/>
                <w:sz w:val="21"/>
                <w:szCs w:val="21"/>
                <w:highlight w:val="none"/>
                <w:u w:val="none" w:color="auto"/>
              </w:rPr>
            </w:pPr>
            <w:r>
              <w:rPr>
                <w:rFonts w:hint="default" w:ascii="Times New Roman" w:hAnsi="Times New Roman" w:eastAsia="宋体" w:cs="Times New Roman"/>
                <w:color w:val="auto"/>
                <w:spacing w:val="-5"/>
                <w:sz w:val="21"/>
                <w:szCs w:val="21"/>
                <w:highlight w:val="none"/>
                <w:u w:val="none" w:color="auto"/>
              </w:rPr>
              <w:t>资源开发</w:t>
            </w:r>
            <w:r>
              <w:rPr>
                <w:rFonts w:hint="default" w:ascii="Times New Roman" w:hAnsi="Times New Roman" w:eastAsia="宋体" w:cs="Times New Roman"/>
                <w:color w:val="auto"/>
                <w:spacing w:val="-4"/>
                <w:sz w:val="21"/>
                <w:szCs w:val="21"/>
                <w:highlight w:val="none"/>
                <w:u w:val="none" w:color="auto"/>
              </w:rPr>
              <w:t>效率要求</w:t>
            </w:r>
          </w:p>
        </w:tc>
        <w:tc>
          <w:tcPr>
            <w:tcW w:w="1967" w:type="pct"/>
            <w:noWrap w:val="0"/>
            <w:vAlign w:val="center"/>
          </w:tcPr>
          <w:p w14:paraId="1EEBCE3D">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pacing w:val="-4"/>
                <w:sz w:val="21"/>
                <w:szCs w:val="21"/>
                <w:highlight w:val="none"/>
                <w:u w:val="none" w:color="auto"/>
                <w:lang w:val="en-US" w:eastAsia="zh-CN"/>
              </w:rPr>
            </w:pPr>
            <w:r>
              <w:rPr>
                <w:rFonts w:hint="default" w:ascii="Times New Roman" w:hAnsi="Times New Roman" w:eastAsia="宋体" w:cs="Times New Roman"/>
                <w:color w:val="auto"/>
                <w:spacing w:val="-4"/>
                <w:sz w:val="21"/>
                <w:szCs w:val="21"/>
                <w:highlight w:val="none"/>
                <w:u w:val="none" w:color="auto"/>
                <w:lang w:val="en-US" w:eastAsia="zh-CN"/>
              </w:rPr>
              <w:t>/</w:t>
            </w:r>
          </w:p>
        </w:tc>
        <w:tc>
          <w:tcPr>
            <w:tcW w:w="1191" w:type="pct"/>
            <w:noWrap w:val="0"/>
            <w:vAlign w:val="center"/>
          </w:tcPr>
          <w:p w14:paraId="1E4C3135">
            <w:pPr>
              <w:keepNext w:val="0"/>
              <w:keepLines w:val="0"/>
              <w:pageBreakBefore w:val="0"/>
              <w:widowControl w:val="0"/>
              <w:wordWrap/>
              <w:overflowPunct/>
              <w:topLinePunct w:val="0"/>
              <w:bidi w:val="0"/>
              <w:snapToGrid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c>
          <w:tcPr>
            <w:tcW w:w="168" w:type="pct"/>
            <w:noWrap w:val="0"/>
            <w:vAlign w:val="center"/>
          </w:tcPr>
          <w:p w14:paraId="7A6EC41F">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r>
      <w:tr w14:paraId="37CE45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05" w:type="pct"/>
            <w:vMerge w:val="restart"/>
            <w:noWrap w:val="0"/>
            <w:vAlign w:val="center"/>
          </w:tcPr>
          <w:p w14:paraId="0EE1DDD3">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YS4113242330001</w:t>
            </w:r>
          </w:p>
        </w:tc>
        <w:tc>
          <w:tcPr>
            <w:tcW w:w="291" w:type="pct"/>
            <w:vMerge w:val="restart"/>
            <w:noWrap w:val="0"/>
            <w:vAlign w:val="center"/>
          </w:tcPr>
          <w:p w14:paraId="683DD106">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pacing w:val="-4"/>
                <w:sz w:val="21"/>
                <w:szCs w:val="21"/>
                <w:highlight w:val="none"/>
                <w:u w:val="none" w:color="auto"/>
                <w:lang w:val="en-US" w:eastAsia="zh-CN"/>
              </w:rPr>
              <w:t>/</w:t>
            </w:r>
          </w:p>
        </w:tc>
        <w:tc>
          <w:tcPr>
            <w:tcW w:w="184" w:type="pct"/>
            <w:vMerge w:val="restart"/>
            <w:noWrap w:val="0"/>
            <w:vAlign w:val="center"/>
          </w:tcPr>
          <w:p w14:paraId="06FC10CE">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pacing w:val="-5"/>
                <w:sz w:val="21"/>
                <w:szCs w:val="21"/>
                <w:highlight w:val="none"/>
                <w:u w:val="none" w:color="auto"/>
              </w:rPr>
              <w:t>南阳市</w:t>
            </w:r>
          </w:p>
        </w:tc>
        <w:tc>
          <w:tcPr>
            <w:tcW w:w="179" w:type="pct"/>
            <w:vMerge w:val="restart"/>
            <w:noWrap w:val="0"/>
            <w:vAlign w:val="center"/>
          </w:tcPr>
          <w:p w14:paraId="47DBCCB1">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pacing w:val="-4"/>
                <w:sz w:val="21"/>
                <w:szCs w:val="21"/>
                <w:highlight w:val="none"/>
                <w:u w:val="none" w:color="auto"/>
              </w:rPr>
              <w:t>镇平县</w:t>
            </w:r>
          </w:p>
        </w:tc>
        <w:tc>
          <w:tcPr>
            <w:tcW w:w="156" w:type="pct"/>
            <w:vMerge w:val="restart"/>
            <w:noWrap w:val="0"/>
            <w:vAlign w:val="center"/>
          </w:tcPr>
          <w:p w14:paraId="4EAB4A38">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6"/>
                <w:sz w:val="21"/>
                <w:szCs w:val="21"/>
                <w:highlight w:val="none"/>
                <w:u w:val="none" w:color="auto"/>
              </w:rPr>
              <w:t>重点</w:t>
            </w:r>
            <w:r>
              <w:rPr>
                <w:rFonts w:hint="default" w:ascii="Times New Roman" w:hAnsi="Times New Roman" w:eastAsia="宋体" w:cs="Times New Roman"/>
                <w:color w:val="auto"/>
                <w:sz w:val="21"/>
                <w:szCs w:val="21"/>
                <w:highlight w:val="none"/>
                <w:u w:val="none" w:color="auto"/>
              </w:rPr>
              <w:t>管控单元</w:t>
            </w:r>
          </w:p>
        </w:tc>
        <w:tc>
          <w:tcPr>
            <w:tcW w:w="156" w:type="pct"/>
            <w:noWrap w:val="0"/>
            <w:vAlign w:val="center"/>
          </w:tcPr>
          <w:p w14:paraId="6EDD0DE7">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pacing w:val="-5"/>
                <w:sz w:val="21"/>
                <w:szCs w:val="21"/>
                <w:highlight w:val="none"/>
                <w:u w:val="none" w:color="auto"/>
              </w:rPr>
            </w:pPr>
            <w:r>
              <w:rPr>
                <w:rFonts w:hint="default" w:ascii="Times New Roman" w:hAnsi="Times New Roman" w:eastAsia="宋体" w:cs="Times New Roman"/>
                <w:color w:val="auto"/>
                <w:sz w:val="21"/>
                <w:szCs w:val="21"/>
                <w:highlight w:val="none"/>
                <w:u w:val="none" w:color="auto"/>
              </w:rPr>
              <w:t>空间布局约束</w:t>
            </w:r>
          </w:p>
        </w:tc>
        <w:tc>
          <w:tcPr>
            <w:tcW w:w="1967" w:type="pct"/>
            <w:noWrap w:val="0"/>
            <w:vAlign w:val="center"/>
          </w:tcPr>
          <w:p w14:paraId="0CBB67AD">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lang w:eastAsia="zh-CN"/>
              </w:rPr>
            </w:pPr>
            <w:r>
              <w:rPr>
                <w:rFonts w:hint="default" w:ascii="Times New Roman" w:hAnsi="Times New Roman" w:eastAsia="宋体" w:cs="Times New Roman"/>
                <w:color w:val="auto"/>
                <w:spacing w:val="-4"/>
                <w:sz w:val="21"/>
                <w:szCs w:val="21"/>
                <w:highlight w:val="none"/>
                <w:u w:val="none" w:color="auto"/>
                <w:lang w:eastAsia="zh-CN"/>
              </w:rPr>
              <w:t>1、原则上不再办理使用登记和审批35蒸吨/时及以下燃煤锅炉，到2025年全面停止办理。严格控制露天矿业权审批和露天矿山新上建设项目核准或备案、环境影响评价报告审批，原则上禁止新建露天矿山建设项目，到2025年全面禁止。</w:t>
            </w:r>
          </w:p>
          <w:p w14:paraId="422DE042">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lang w:eastAsia="zh-CN"/>
              </w:rPr>
            </w:pPr>
            <w:r>
              <w:rPr>
                <w:rFonts w:hint="default" w:ascii="Times New Roman" w:hAnsi="Times New Roman" w:eastAsia="宋体" w:cs="Times New Roman"/>
                <w:color w:val="auto"/>
                <w:spacing w:val="-4"/>
                <w:sz w:val="21"/>
                <w:szCs w:val="21"/>
                <w:highlight w:val="none"/>
                <w:u w:val="none" w:color="auto"/>
                <w:lang w:eastAsia="zh-CN"/>
              </w:rPr>
              <w:t>2、原则上禁止钢铁、电解铝、水泥、玻璃、传统煤化工（甲醇、合成氨）、焦化等行业新建、扩建单纯新增产能以及耐火材料、陶瓷等行业新建、扩建以煤炭为燃料的项目和企业，对钢铁、水泥、电解铝、玻璃等行业不再实施省内产能置换，到2025年全面禁止。</w:t>
            </w:r>
          </w:p>
          <w:p w14:paraId="777C7975">
            <w:pPr>
              <w:pStyle w:val="170"/>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lang w:eastAsia="zh-CN"/>
              </w:rPr>
            </w:pPr>
            <w:r>
              <w:rPr>
                <w:rFonts w:hint="default" w:ascii="Times New Roman" w:hAnsi="Times New Roman" w:eastAsia="宋体" w:cs="Times New Roman"/>
                <w:color w:val="auto"/>
                <w:spacing w:val="-4"/>
                <w:sz w:val="21"/>
                <w:szCs w:val="21"/>
                <w:highlight w:val="none"/>
                <w:u w:val="none" w:color="auto"/>
                <w:lang w:eastAsia="zh-CN"/>
              </w:rPr>
              <w:t>3、禁止建设生产和使用高VOCs含量的溶剂型涂料、油墨、胶粘剂等项目。京津冀2+26和汾渭平原城市群禁止城市建 成区露天烧烤。加强夜市综合整治，有序推进夜市“退路进店”；到2025年，常态化动态更新施工工地管理清单，全面清理城乡结合部以及城中拆迁的渣土和建筑垃圾。</w:t>
            </w:r>
          </w:p>
        </w:tc>
        <w:tc>
          <w:tcPr>
            <w:tcW w:w="1191" w:type="pct"/>
            <w:noWrap w:val="0"/>
            <w:vAlign w:val="center"/>
          </w:tcPr>
          <w:p w14:paraId="6DBC82CF">
            <w:pPr>
              <w:keepNext w:val="0"/>
              <w:keepLines w:val="0"/>
              <w:pageBreakBefore w:val="0"/>
              <w:widowControl w:val="0"/>
              <w:kinsoku/>
              <w:wordWrap/>
              <w:overflowPunct/>
              <w:topLinePunct w:val="0"/>
              <w:autoSpaceDE/>
              <w:autoSpaceDN/>
              <w:bidi w:val="0"/>
              <w:adjustRightInd/>
              <w:snapToGrid w:val="0"/>
              <w:spacing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1、本项目不涉及；</w:t>
            </w:r>
          </w:p>
          <w:p w14:paraId="5779ED67">
            <w:pPr>
              <w:keepNext w:val="0"/>
              <w:keepLines w:val="0"/>
              <w:pageBreakBefore w:val="0"/>
              <w:widowControl w:val="0"/>
              <w:kinsoku/>
              <w:wordWrap/>
              <w:overflowPunct/>
              <w:topLinePunct w:val="0"/>
              <w:autoSpaceDE/>
              <w:autoSpaceDN/>
              <w:bidi w:val="0"/>
              <w:adjustRightInd/>
              <w:snapToGrid w:val="0"/>
              <w:spacing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2、本项目</w:t>
            </w:r>
            <w:r>
              <w:rPr>
                <w:rFonts w:hint="default" w:ascii="Times New Roman" w:hAnsi="Times New Roman" w:eastAsia="宋体" w:cs="Times New Roman"/>
                <w:color w:val="auto"/>
                <w:sz w:val="21"/>
                <w:szCs w:val="21"/>
                <w:highlight w:val="none"/>
                <w:u w:val="none" w:color="auto"/>
                <w:lang w:val="en-US" w:eastAsia="zh-CN"/>
              </w:rPr>
              <w:t>属于社会事业与服务业，</w:t>
            </w:r>
            <w:r>
              <w:rPr>
                <w:rFonts w:hint="default" w:ascii="Times New Roman" w:hAnsi="Times New Roman" w:eastAsia="宋体" w:cs="Times New Roman"/>
                <w:color w:val="auto"/>
                <w:sz w:val="21"/>
                <w:szCs w:val="21"/>
                <w:highlight w:val="none"/>
                <w:u w:val="none" w:color="auto"/>
              </w:rPr>
              <w:t>不属于钢铁、电解铝、水泥、玻璃、传统煤化工（甲醇、合成氨）、焦化等行业新建、扩建单纯新增产能以及耐火材料、陶瓷等行业新建、扩建以煤炭为燃料的项目和企业</w:t>
            </w:r>
            <w:r>
              <w:rPr>
                <w:rFonts w:hint="default" w:ascii="Times New Roman" w:hAnsi="Times New Roman" w:eastAsia="宋体" w:cs="Times New Roman"/>
                <w:color w:val="auto"/>
                <w:sz w:val="21"/>
                <w:szCs w:val="21"/>
                <w:highlight w:val="none"/>
                <w:u w:val="none" w:color="auto"/>
                <w:lang w:val="en-US" w:eastAsia="zh-CN"/>
              </w:rPr>
              <w:t>以及</w:t>
            </w:r>
            <w:r>
              <w:rPr>
                <w:rFonts w:hint="default" w:ascii="Times New Roman" w:hAnsi="Times New Roman" w:eastAsia="宋体" w:cs="Times New Roman"/>
                <w:color w:val="auto"/>
                <w:spacing w:val="-4"/>
                <w:sz w:val="21"/>
                <w:szCs w:val="21"/>
                <w:highlight w:val="none"/>
                <w:u w:val="none" w:color="auto"/>
                <w:lang w:eastAsia="zh-CN"/>
              </w:rPr>
              <w:t>钢铁、水泥、电解铝、玻璃等行业</w:t>
            </w:r>
            <w:r>
              <w:rPr>
                <w:rFonts w:hint="default" w:ascii="Times New Roman" w:hAnsi="Times New Roman" w:eastAsia="宋体" w:cs="Times New Roman"/>
                <w:color w:val="auto"/>
                <w:sz w:val="21"/>
                <w:szCs w:val="21"/>
                <w:highlight w:val="none"/>
                <w:u w:val="none" w:color="auto"/>
              </w:rPr>
              <w:t>；</w:t>
            </w:r>
          </w:p>
          <w:p w14:paraId="7A722FDE">
            <w:pPr>
              <w:keepNext w:val="0"/>
              <w:keepLines w:val="0"/>
              <w:pageBreakBefore w:val="0"/>
              <w:widowControl w:val="0"/>
              <w:kinsoku/>
              <w:wordWrap/>
              <w:overflowPunct/>
              <w:topLinePunct w:val="0"/>
              <w:autoSpaceDE/>
              <w:autoSpaceDN/>
              <w:bidi w:val="0"/>
              <w:adjustRightInd/>
              <w:snapToGrid w:val="0"/>
              <w:spacing w:line="240" w:lineRule="auto"/>
              <w:ind w:left="0" w:right="0" w:firstLine="420" w:firstLineChars="200"/>
              <w:jc w:val="both"/>
              <w:textAlignment w:val="auto"/>
              <w:rPr>
                <w:rFonts w:hint="default" w:ascii="Times New Roman" w:hAnsi="Times New Roman" w:eastAsia="宋体" w:cs="Times New Roman"/>
                <w:color w:val="auto"/>
                <w:spacing w:val="-4"/>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3、</w:t>
            </w:r>
            <w:r>
              <w:rPr>
                <w:rFonts w:hint="default" w:ascii="Times New Roman" w:hAnsi="Times New Roman" w:eastAsia="宋体" w:cs="Times New Roman"/>
                <w:color w:val="auto"/>
                <w:sz w:val="21"/>
                <w:szCs w:val="21"/>
                <w:highlight w:val="none"/>
                <w:u w:val="none" w:color="auto"/>
                <w:lang w:val="en-US" w:eastAsia="zh-CN"/>
              </w:rPr>
              <w:t>本项目不属于</w:t>
            </w:r>
            <w:r>
              <w:rPr>
                <w:rFonts w:hint="default" w:ascii="Times New Roman" w:hAnsi="Times New Roman" w:eastAsia="宋体" w:cs="Times New Roman"/>
                <w:color w:val="auto"/>
                <w:spacing w:val="-4"/>
                <w:sz w:val="21"/>
                <w:szCs w:val="21"/>
                <w:highlight w:val="none"/>
                <w:u w:val="none" w:color="auto"/>
                <w:lang w:eastAsia="zh-CN"/>
              </w:rPr>
              <w:t>生产和使用高VOCs含量的溶剂型涂料、油墨、胶粘剂等项目</w:t>
            </w:r>
            <w:r>
              <w:rPr>
                <w:rFonts w:hint="default" w:ascii="Times New Roman" w:hAnsi="Times New Roman" w:eastAsia="宋体" w:cs="Times New Roman"/>
                <w:color w:val="auto"/>
                <w:sz w:val="21"/>
                <w:szCs w:val="21"/>
                <w:highlight w:val="none"/>
                <w:u w:val="none" w:color="auto"/>
                <w:lang w:eastAsia="zh-CN"/>
              </w:rPr>
              <w:t>；</w:t>
            </w:r>
          </w:p>
        </w:tc>
        <w:tc>
          <w:tcPr>
            <w:tcW w:w="168" w:type="pct"/>
            <w:noWrap w:val="0"/>
            <w:vAlign w:val="center"/>
          </w:tcPr>
          <w:p w14:paraId="2EE1E745">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073029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05" w:type="pct"/>
            <w:vMerge w:val="continue"/>
            <w:noWrap w:val="0"/>
            <w:vAlign w:val="center"/>
          </w:tcPr>
          <w:p w14:paraId="52783167">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291" w:type="pct"/>
            <w:vMerge w:val="continue"/>
            <w:noWrap w:val="0"/>
            <w:vAlign w:val="center"/>
          </w:tcPr>
          <w:p w14:paraId="42BF4BE3">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84" w:type="pct"/>
            <w:vMerge w:val="continue"/>
            <w:noWrap w:val="0"/>
            <w:vAlign w:val="center"/>
          </w:tcPr>
          <w:p w14:paraId="315321FC">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79" w:type="pct"/>
            <w:vMerge w:val="continue"/>
            <w:noWrap w:val="0"/>
            <w:vAlign w:val="center"/>
          </w:tcPr>
          <w:p w14:paraId="06D2D281">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vMerge w:val="continue"/>
            <w:noWrap w:val="0"/>
            <w:vAlign w:val="center"/>
          </w:tcPr>
          <w:p w14:paraId="71DA6E7B">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noWrap w:val="0"/>
            <w:vAlign w:val="center"/>
          </w:tcPr>
          <w:p w14:paraId="0991F098">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pacing w:val="-5"/>
                <w:sz w:val="21"/>
                <w:szCs w:val="21"/>
                <w:highlight w:val="none"/>
                <w:u w:val="none" w:color="auto"/>
              </w:rPr>
            </w:pPr>
            <w:r>
              <w:rPr>
                <w:rFonts w:hint="default" w:ascii="Times New Roman" w:hAnsi="Times New Roman" w:eastAsia="宋体" w:cs="Times New Roman"/>
                <w:color w:val="auto"/>
                <w:sz w:val="21"/>
                <w:szCs w:val="21"/>
                <w:highlight w:val="none"/>
                <w:u w:val="none" w:color="auto"/>
              </w:rPr>
              <w:t>污染物排放管控</w:t>
            </w:r>
          </w:p>
        </w:tc>
        <w:tc>
          <w:tcPr>
            <w:tcW w:w="1967" w:type="pct"/>
            <w:noWrap w:val="0"/>
            <w:vAlign w:val="center"/>
          </w:tcPr>
          <w:p w14:paraId="6CC77CAB">
            <w:pPr>
              <w:keepNext w:val="0"/>
              <w:keepLines w:val="0"/>
              <w:pageBreakBefore w:val="0"/>
              <w:widowControl w:val="0"/>
              <w:numPr>
                <w:ilvl w:val="0"/>
                <w:numId w:val="0"/>
              </w:numPr>
              <w:kinsoku w:val="0"/>
              <w:wordWrap/>
              <w:overflowPunct/>
              <w:topLinePunct w:val="0"/>
              <w:autoSpaceDE w:val="0"/>
              <w:autoSpaceDN w:val="0"/>
              <w:bidi w:val="0"/>
              <w:adjustRightInd w:val="0"/>
              <w:snapToGrid w:val="0"/>
              <w:spacing w:line="240" w:lineRule="auto"/>
              <w:ind w:left="0" w:leftChars="0" w:right="0" w:rightChars="0" w:firstLine="412" w:firstLineChars="200"/>
              <w:jc w:val="both"/>
              <w:textAlignment w:val="baseline"/>
              <w:rPr>
                <w:rFonts w:hint="default" w:ascii="Times New Roman" w:hAnsi="Times New Roman" w:eastAsia="宋体" w:cs="Times New Roman"/>
                <w:snapToGrid w:val="0"/>
                <w:color w:val="auto"/>
                <w:spacing w:val="-2"/>
                <w:kern w:val="0"/>
                <w:sz w:val="21"/>
                <w:szCs w:val="21"/>
                <w:highlight w:val="none"/>
                <w:u w:val="none" w:color="auto"/>
                <w:lang w:val="en-US" w:eastAsia="en-US" w:bidi="ar-SA"/>
              </w:rPr>
            </w:pPr>
            <w:r>
              <w:rPr>
                <w:rFonts w:hint="default" w:ascii="Times New Roman" w:hAnsi="Times New Roman" w:eastAsia="宋体" w:cs="Times New Roman"/>
                <w:snapToGrid w:val="0"/>
                <w:color w:val="auto"/>
                <w:spacing w:val="-2"/>
                <w:kern w:val="0"/>
                <w:sz w:val="21"/>
                <w:szCs w:val="21"/>
                <w:highlight w:val="none"/>
                <w:u w:val="none" w:color="auto"/>
                <w:lang w:val="en-US" w:eastAsia="en-US" w:bidi="ar-SA"/>
              </w:rPr>
              <w:t>1、</w:t>
            </w:r>
            <w:r>
              <w:rPr>
                <w:rFonts w:hint="default" w:ascii="Times New Roman" w:hAnsi="Times New Roman" w:eastAsia="宋体" w:cs="Times New Roman"/>
                <w:snapToGrid w:val="0"/>
                <w:color w:val="auto"/>
                <w:spacing w:val="-6"/>
                <w:kern w:val="0"/>
                <w:sz w:val="21"/>
                <w:szCs w:val="21"/>
                <w:highlight w:val="none"/>
                <w:u w:val="none" w:color="auto"/>
                <w:lang w:val="en-US" w:eastAsia="en-US" w:bidi="ar-SA"/>
              </w:rPr>
              <w:t>重点行</w:t>
            </w:r>
            <w:r>
              <w:rPr>
                <w:rFonts w:hint="default" w:ascii="Times New Roman" w:hAnsi="Times New Roman" w:eastAsia="宋体" w:cs="Times New Roman"/>
                <w:snapToGrid w:val="0"/>
                <w:color w:val="auto"/>
                <w:spacing w:val="-3"/>
                <w:kern w:val="0"/>
                <w:sz w:val="21"/>
                <w:szCs w:val="21"/>
                <w:highlight w:val="none"/>
                <w:u w:val="none" w:color="auto"/>
                <w:lang w:val="en-US" w:eastAsia="en-US" w:bidi="ar-SA"/>
              </w:rPr>
              <w:t>业二氧化硫、氮氧</w:t>
            </w:r>
            <w:r>
              <w:rPr>
                <w:rFonts w:hint="default" w:ascii="Times New Roman" w:hAnsi="Times New Roman" w:eastAsia="宋体" w:cs="Times New Roman"/>
                <w:snapToGrid w:val="0"/>
                <w:color w:val="auto"/>
                <w:kern w:val="0"/>
                <w:sz w:val="21"/>
                <w:szCs w:val="21"/>
                <w:highlight w:val="none"/>
                <w:u w:val="none" w:color="auto"/>
                <w:lang w:val="en-US" w:eastAsia="en-US" w:bidi="ar-SA"/>
              </w:rPr>
              <w:t>化物、颗</w:t>
            </w:r>
            <w:r>
              <w:rPr>
                <w:rFonts w:hint="default" w:ascii="Times New Roman" w:hAnsi="Times New Roman" w:eastAsia="宋体" w:cs="Times New Roman"/>
                <w:snapToGrid w:val="0"/>
                <w:color w:val="auto"/>
                <w:spacing w:val="-4"/>
                <w:kern w:val="0"/>
                <w:sz w:val="21"/>
                <w:szCs w:val="21"/>
                <w:highlight w:val="none"/>
                <w:u w:val="none" w:color="auto"/>
                <w:lang w:val="en-US" w:eastAsia="en-US" w:bidi="ar-SA"/>
              </w:rPr>
              <w:t>粒物、</w:t>
            </w:r>
            <w:r>
              <w:rPr>
                <w:rFonts w:hint="default" w:ascii="Times New Roman" w:hAnsi="Times New Roman" w:eastAsia="宋体" w:cs="Times New Roman"/>
                <w:snapToGrid w:val="0"/>
                <w:color w:val="auto"/>
                <w:spacing w:val="-3"/>
                <w:kern w:val="0"/>
                <w:sz w:val="21"/>
                <w:szCs w:val="21"/>
                <w:highlight w:val="none"/>
                <w:u w:val="none" w:color="auto"/>
                <w:lang w:val="en-US" w:eastAsia="en-US" w:bidi="ar-SA"/>
              </w:rPr>
              <w:t>VOCs</w:t>
            </w:r>
            <w:r>
              <w:rPr>
                <w:rFonts w:hint="default" w:ascii="Times New Roman" w:hAnsi="Times New Roman" w:eastAsia="宋体" w:cs="Times New Roman"/>
                <w:snapToGrid w:val="0"/>
                <w:color w:val="auto"/>
                <w:spacing w:val="-47"/>
                <w:kern w:val="0"/>
                <w:sz w:val="21"/>
                <w:szCs w:val="21"/>
                <w:highlight w:val="none"/>
                <w:u w:val="none" w:color="auto"/>
                <w:lang w:val="en-US" w:eastAsia="en-US" w:bidi="ar-SA"/>
              </w:rPr>
              <w:t xml:space="preserve"> </w:t>
            </w:r>
            <w:r>
              <w:rPr>
                <w:rFonts w:hint="default" w:ascii="Times New Roman" w:hAnsi="Times New Roman" w:eastAsia="宋体" w:cs="Times New Roman"/>
                <w:snapToGrid w:val="0"/>
                <w:color w:val="auto"/>
                <w:spacing w:val="-3"/>
                <w:kern w:val="0"/>
                <w:sz w:val="21"/>
                <w:szCs w:val="21"/>
                <w:highlight w:val="none"/>
                <w:u w:val="none" w:color="auto"/>
                <w:lang w:val="en-US" w:eastAsia="en-US" w:bidi="ar-SA"/>
              </w:rPr>
              <w:t>全面</w:t>
            </w:r>
            <w:r>
              <w:rPr>
                <w:rFonts w:hint="default" w:ascii="Times New Roman" w:hAnsi="Times New Roman" w:eastAsia="宋体" w:cs="Times New Roman"/>
                <w:snapToGrid w:val="0"/>
                <w:color w:val="auto"/>
                <w:spacing w:val="12"/>
                <w:kern w:val="0"/>
                <w:sz w:val="21"/>
                <w:szCs w:val="21"/>
                <w:highlight w:val="none"/>
                <w:u w:val="none" w:color="auto"/>
                <w:lang w:val="en-US" w:eastAsia="en-US" w:bidi="ar-SA"/>
              </w:rPr>
              <w:t>执行大气污染物特别排放限值。新建</w:t>
            </w:r>
            <w:r>
              <w:rPr>
                <w:rFonts w:hint="default" w:ascii="Times New Roman" w:hAnsi="Times New Roman" w:eastAsia="宋体" w:cs="Times New Roman"/>
                <w:snapToGrid w:val="0"/>
                <w:color w:val="auto"/>
                <w:spacing w:val="-4"/>
                <w:kern w:val="0"/>
                <w:sz w:val="21"/>
                <w:szCs w:val="21"/>
                <w:highlight w:val="none"/>
                <w:u w:val="none" w:color="auto"/>
                <w:lang w:val="en-US" w:eastAsia="en-US" w:bidi="ar-SA"/>
              </w:rPr>
              <w:t>涉</w:t>
            </w:r>
            <w:r>
              <w:rPr>
                <w:rFonts w:hint="default" w:ascii="Times New Roman" w:hAnsi="Times New Roman" w:eastAsia="宋体" w:cs="Times New Roman"/>
                <w:snapToGrid w:val="0"/>
                <w:color w:val="auto"/>
                <w:spacing w:val="-55"/>
                <w:kern w:val="0"/>
                <w:sz w:val="21"/>
                <w:szCs w:val="21"/>
                <w:highlight w:val="none"/>
                <w:u w:val="none" w:color="auto"/>
                <w:lang w:val="en-US" w:eastAsia="en-US" w:bidi="ar-SA"/>
              </w:rPr>
              <w:t xml:space="preserve"> </w:t>
            </w:r>
            <w:r>
              <w:rPr>
                <w:rFonts w:hint="default" w:ascii="Times New Roman" w:hAnsi="Times New Roman" w:eastAsia="宋体" w:cs="Times New Roman"/>
                <w:snapToGrid w:val="0"/>
                <w:color w:val="auto"/>
                <w:spacing w:val="-4"/>
                <w:kern w:val="0"/>
                <w:sz w:val="21"/>
                <w:szCs w:val="21"/>
                <w:highlight w:val="none"/>
                <w:u w:val="none" w:color="auto"/>
                <w:lang w:val="en-US" w:eastAsia="en-US" w:bidi="ar-SA"/>
              </w:rPr>
              <w:t>VOCs</w:t>
            </w:r>
            <w:r>
              <w:rPr>
                <w:rFonts w:hint="default" w:ascii="Times New Roman" w:hAnsi="Times New Roman" w:eastAsia="宋体" w:cs="Times New Roman"/>
                <w:snapToGrid w:val="0"/>
                <w:color w:val="auto"/>
                <w:spacing w:val="-51"/>
                <w:kern w:val="0"/>
                <w:sz w:val="21"/>
                <w:szCs w:val="21"/>
                <w:highlight w:val="none"/>
                <w:u w:val="none" w:color="auto"/>
                <w:lang w:val="en-US" w:eastAsia="en-US" w:bidi="ar-SA"/>
              </w:rPr>
              <w:t xml:space="preserve"> </w:t>
            </w:r>
            <w:r>
              <w:rPr>
                <w:rFonts w:hint="default" w:ascii="Times New Roman" w:hAnsi="Times New Roman" w:eastAsia="宋体" w:cs="Times New Roman"/>
                <w:snapToGrid w:val="0"/>
                <w:color w:val="auto"/>
                <w:spacing w:val="-4"/>
                <w:kern w:val="0"/>
                <w:sz w:val="21"/>
                <w:szCs w:val="21"/>
                <w:highlight w:val="none"/>
                <w:u w:val="none" w:color="auto"/>
                <w:lang w:val="en-US" w:eastAsia="en-US" w:bidi="ar-SA"/>
              </w:rPr>
              <w:t>排</w:t>
            </w:r>
            <w:r>
              <w:rPr>
                <w:rFonts w:hint="default" w:ascii="Times New Roman" w:hAnsi="Times New Roman" w:eastAsia="宋体" w:cs="Times New Roman"/>
                <w:snapToGrid w:val="0"/>
                <w:color w:val="auto"/>
                <w:spacing w:val="12"/>
                <w:kern w:val="0"/>
                <w:sz w:val="21"/>
                <w:szCs w:val="21"/>
                <w:highlight w:val="none"/>
                <w:u w:val="none" w:color="auto"/>
                <w:lang w:val="en-US" w:eastAsia="en-US" w:bidi="ar-SA"/>
              </w:rPr>
              <w:t>放的工业企业要入园区，实行区域内</w:t>
            </w:r>
            <w:r>
              <w:rPr>
                <w:rFonts w:hint="default" w:ascii="Times New Roman" w:hAnsi="Times New Roman" w:eastAsia="宋体" w:cs="Times New Roman"/>
                <w:snapToGrid w:val="0"/>
                <w:color w:val="auto"/>
                <w:kern w:val="0"/>
                <w:sz w:val="21"/>
                <w:szCs w:val="21"/>
                <w:highlight w:val="none"/>
                <w:u w:val="none" w:color="auto"/>
                <w:lang w:val="en-US" w:eastAsia="en-US" w:bidi="ar-SA"/>
              </w:rPr>
              <w:t>VOCs</w:t>
            </w:r>
            <w:r>
              <w:rPr>
                <w:rFonts w:hint="default" w:ascii="Times New Roman" w:hAnsi="Times New Roman" w:eastAsia="宋体" w:cs="Times New Roman"/>
                <w:snapToGrid w:val="0"/>
                <w:color w:val="auto"/>
                <w:spacing w:val="-51"/>
                <w:kern w:val="0"/>
                <w:sz w:val="21"/>
                <w:szCs w:val="21"/>
                <w:highlight w:val="none"/>
                <w:u w:val="none" w:color="auto"/>
                <w:lang w:val="en-US" w:eastAsia="en-US" w:bidi="ar-SA"/>
              </w:rPr>
              <w:t xml:space="preserve"> </w:t>
            </w:r>
            <w:r>
              <w:rPr>
                <w:rFonts w:hint="default" w:ascii="Times New Roman" w:hAnsi="Times New Roman" w:eastAsia="宋体" w:cs="Times New Roman"/>
                <w:snapToGrid w:val="0"/>
                <w:color w:val="auto"/>
                <w:spacing w:val="5"/>
                <w:kern w:val="0"/>
                <w:sz w:val="21"/>
                <w:szCs w:val="21"/>
                <w:highlight w:val="none"/>
                <w:u w:val="none" w:color="auto"/>
                <w:lang w:val="en-US" w:eastAsia="en-US" w:bidi="ar-SA"/>
              </w:rPr>
              <w:t>排放</w:t>
            </w:r>
            <w:r>
              <w:rPr>
                <w:rFonts w:hint="default" w:ascii="Times New Roman" w:hAnsi="Times New Roman" w:eastAsia="宋体" w:cs="Times New Roman"/>
                <w:snapToGrid w:val="0"/>
                <w:color w:val="auto"/>
                <w:spacing w:val="12"/>
                <w:kern w:val="0"/>
                <w:sz w:val="21"/>
                <w:szCs w:val="21"/>
                <w:highlight w:val="none"/>
                <w:u w:val="none" w:color="auto"/>
                <w:lang w:val="en-US" w:eastAsia="en-US" w:bidi="ar-SA"/>
              </w:rPr>
              <w:t>等量或倍量削减替</w:t>
            </w:r>
            <w:r>
              <w:rPr>
                <w:rFonts w:hint="default" w:ascii="Times New Roman" w:hAnsi="Times New Roman" w:eastAsia="宋体" w:cs="Times New Roman"/>
                <w:snapToGrid w:val="0"/>
                <w:color w:val="auto"/>
                <w:spacing w:val="-2"/>
                <w:kern w:val="0"/>
                <w:sz w:val="21"/>
                <w:szCs w:val="21"/>
                <w:highlight w:val="none"/>
                <w:u w:val="none" w:color="auto"/>
                <w:lang w:val="en-US" w:eastAsia="en-US" w:bidi="ar-SA"/>
              </w:rPr>
              <w:t>代。</w:t>
            </w:r>
          </w:p>
          <w:p w14:paraId="282E77F9">
            <w:pPr>
              <w:keepNext w:val="0"/>
              <w:keepLines w:val="0"/>
              <w:pageBreakBefore w:val="0"/>
              <w:widowControl w:val="0"/>
              <w:numPr>
                <w:ilvl w:val="0"/>
                <w:numId w:val="0"/>
              </w:numPr>
              <w:kinsoku w:val="0"/>
              <w:wordWrap/>
              <w:overflowPunct/>
              <w:topLinePunct w:val="0"/>
              <w:autoSpaceDE w:val="0"/>
              <w:autoSpaceDN w:val="0"/>
              <w:bidi w:val="0"/>
              <w:adjustRightInd w:val="0"/>
              <w:snapToGrid w:val="0"/>
              <w:spacing w:line="240" w:lineRule="auto"/>
              <w:ind w:left="0" w:leftChars="0" w:right="0" w:rightChars="0" w:firstLine="412" w:firstLineChars="200"/>
              <w:jc w:val="both"/>
              <w:textAlignment w:val="baseline"/>
              <w:rPr>
                <w:rFonts w:hint="default" w:ascii="Times New Roman" w:hAnsi="Times New Roman" w:eastAsia="宋体" w:cs="Times New Roman"/>
                <w:snapToGrid w:val="0"/>
                <w:color w:val="auto"/>
                <w:spacing w:val="-11"/>
                <w:kern w:val="0"/>
                <w:sz w:val="21"/>
                <w:szCs w:val="21"/>
                <w:highlight w:val="none"/>
                <w:u w:val="none" w:color="auto"/>
                <w:lang w:val="en-US" w:eastAsia="en-US" w:bidi="ar-SA"/>
              </w:rPr>
            </w:pPr>
            <w:r>
              <w:rPr>
                <w:rFonts w:hint="default" w:ascii="Times New Roman" w:hAnsi="Times New Roman" w:eastAsia="宋体" w:cs="Times New Roman"/>
                <w:snapToGrid w:val="0"/>
                <w:color w:val="auto"/>
                <w:spacing w:val="-2"/>
                <w:kern w:val="0"/>
                <w:sz w:val="21"/>
                <w:szCs w:val="21"/>
                <w:highlight w:val="none"/>
                <w:u w:val="none" w:color="auto"/>
                <w:lang w:val="en-US" w:eastAsia="en-US" w:bidi="ar-SA"/>
              </w:rPr>
              <w:t>2、强</w:t>
            </w:r>
            <w:r>
              <w:rPr>
                <w:rFonts w:hint="default" w:ascii="Times New Roman" w:hAnsi="Times New Roman" w:eastAsia="宋体" w:cs="Times New Roman"/>
                <w:snapToGrid w:val="0"/>
                <w:color w:val="auto"/>
                <w:spacing w:val="12"/>
                <w:kern w:val="0"/>
                <w:sz w:val="21"/>
                <w:szCs w:val="21"/>
                <w:highlight w:val="none"/>
                <w:u w:val="none" w:color="auto"/>
                <w:lang w:val="en-US" w:eastAsia="en-US" w:bidi="ar-SA"/>
              </w:rPr>
              <w:t>化施工扬尘污染防治，做到工地周边围挡、物料堆放覆盖、土方开挖湿法作业、路</w:t>
            </w:r>
            <w:r>
              <w:rPr>
                <w:rFonts w:hint="default" w:ascii="Times New Roman" w:hAnsi="Times New Roman" w:eastAsia="宋体" w:cs="Times New Roman"/>
                <w:snapToGrid w:val="0"/>
                <w:color w:val="auto"/>
                <w:spacing w:val="19"/>
                <w:kern w:val="0"/>
                <w:sz w:val="21"/>
                <w:szCs w:val="21"/>
                <w:highlight w:val="none"/>
                <w:u w:val="none" w:color="auto"/>
                <w:lang w:val="en-US" w:eastAsia="en-US" w:bidi="ar-SA"/>
              </w:rPr>
              <w:t>面硬化、</w:t>
            </w:r>
            <w:r>
              <w:rPr>
                <w:rFonts w:hint="default" w:ascii="Times New Roman" w:hAnsi="Times New Roman" w:eastAsia="宋体" w:cs="Times New Roman"/>
                <w:snapToGrid w:val="0"/>
                <w:color w:val="auto"/>
                <w:spacing w:val="12"/>
                <w:kern w:val="0"/>
                <w:sz w:val="21"/>
                <w:szCs w:val="21"/>
                <w:highlight w:val="none"/>
                <w:u w:val="none" w:color="auto"/>
                <w:lang w:val="en-US" w:eastAsia="en-US" w:bidi="ar-SA"/>
              </w:rPr>
              <w:t>出入车辆清洗、渣土车辆密</w:t>
            </w:r>
            <w:r>
              <w:rPr>
                <w:rFonts w:hint="default" w:ascii="Times New Roman" w:hAnsi="Times New Roman" w:eastAsia="宋体" w:cs="Times New Roman"/>
                <w:snapToGrid w:val="0"/>
                <w:color w:val="auto"/>
                <w:spacing w:val="-11"/>
                <w:kern w:val="0"/>
                <w:sz w:val="21"/>
                <w:szCs w:val="21"/>
                <w:highlight w:val="none"/>
                <w:u w:val="none" w:color="auto"/>
                <w:lang w:val="en-US" w:eastAsia="en-US" w:bidi="ar-SA"/>
              </w:rPr>
              <w:t>闭运输</w:t>
            </w:r>
            <w:r>
              <w:rPr>
                <w:rFonts w:hint="eastAsia" w:ascii="Times New Roman" w:hAnsi="Times New Roman" w:eastAsia="宋体" w:cs="Times New Roman"/>
                <w:snapToGrid w:val="0"/>
                <w:color w:val="auto"/>
                <w:spacing w:val="-11"/>
                <w:kern w:val="0"/>
                <w:sz w:val="21"/>
                <w:szCs w:val="21"/>
                <w:highlight w:val="none"/>
                <w:u w:val="none" w:color="auto"/>
                <w:lang w:val="en-US" w:eastAsia="zh-CN" w:bidi="ar-SA"/>
              </w:rPr>
              <w:t>“</w:t>
            </w:r>
            <w:r>
              <w:rPr>
                <w:rFonts w:hint="default" w:ascii="Times New Roman" w:hAnsi="Times New Roman" w:eastAsia="宋体" w:cs="Times New Roman"/>
                <w:snapToGrid w:val="0"/>
                <w:color w:val="auto"/>
                <w:spacing w:val="-11"/>
                <w:kern w:val="0"/>
                <w:sz w:val="21"/>
                <w:szCs w:val="21"/>
                <w:highlight w:val="none"/>
                <w:u w:val="none" w:color="auto"/>
                <w:lang w:val="en-US" w:eastAsia="en-US" w:bidi="ar-SA"/>
              </w:rPr>
              <w:t>六个百分之百</w:t>
            </w:r>
            <w:r>
              <w:rPr>
                <w:rFonts w:hint="eastAsia" w:ascii="Times New Roman" w:hAnsi="Times New Roman" w:eastAsia="宋体" w:cs="Times New Roman"/>
                <w:snapToGrid w:val="0"/>
                <w:color w:val="auto"/>
                <w:spacing w:val="-11"/>
                <w:kern w:val="0"/>
                <w:sz w:val="21"/>
                <w:szCs w:val="21"/>
                <w:highlight w:val="none"/>
                <w:u w:val="none" w:color="auto"/>
                <w:lang w:val="en-US" w:eastAsia="zh-CN" w:bidi="ar-SA"/>
              </w:rPr>
              <w:t>”</w:t>
            </w:r>
            <w:r>
              <w:rPr>
                <w:rFonts w:hint="default" w:ascii="Times New Roman" w:hAnsi="Times New Roman" w:eastAsia="宋体" w:cs="Times New Roman"/>
                <w:snapToGrid w:val="0"/>
                <w:color w:val="auto"/>
                <w:spacing w:val="-11"/>
                <w:kern w:val="0"/>
                <w:sz w:val="21"/>
                <w:szCs w:val="21"/>
                <w:highlight w:val="none"/>
                <w:u w:val="none" w:color="auto"/>
                <w:lang w:val="en-US" w:eastAsia="en-US" w:bidi="ar-SA"/>
              </w:rPr>
              <w:t>，禁止施工工地现场搅拌混凝土、现场配置砂浆。</w:t>
            </w:r>
          </w:p>
          <w:p w14:paraId="27256AEF">
            <w:pPr>
              <w:keepNext w:val="0"/>
              <w:keepLines w:val="0"/>
              <w:pageBreakBefore w:val="0"/>
              <w:widowControl w:val="0"/>
              <w:numPr>
                <w:ilvl w:val="0"/>
                <w:numId w:val="0"/>
              </w:numPr>
              <w:kinsoku w:val="0"/>
              <w:wordWrap/>
              <w:overflowPunct/>
              <w:topLinePunct w:val="0"/>
              <w:autoSpaceDE w:val="0"/>
              <w:autoSpaceDN w:val="0"/>
              <w:bidi w:val="0"/>
              <w:adjustRightInd w:val="0"/>
              <w:snapToGrid w:val="0"/>
              <w:spacing w:line="240" w:lineRule="auto"/>
              <w:ind w:left="0" w:leftChars="0" w:right="0" w:rightChars="0" w:firstLine="376" w:firstLineChars="200"/>
              <w:jc w:val="both"/>
              <w:textAlignment w:val="baseline"/>
              <w:rPr>
                <w:rFonts w:hint="default" w:ascii="Times New Roman" w:hAnsi="Times New Roman" w:eastAsia="宋体" w:cs="Times New Roman"/>
                <w:snapToGrid w:val="0"/>
                <w:color w:val="auto"/>
                <w:spacing w:val="-11"/>
                <w:kern w:val="0"/>
                <w:sz w:val="21"/>
                <w:szCs w:val="21"/>
                <w:highlight w:val="none"/>
                <w:u w:val="none" w:color="auto"/>
                <w:lang w:val="en-US" w:eastAsia="en-US" w:bidi="ar-SA"/>
              </w:rPr>
            </w:pPr>
            <w:r>
              <w:rPr>
                <w:rFonts w:hint="default" w:ascii="Times New Roman" w:hAnsi="Times New Roman" w:eastAsia="宋体" w:cs="Times New Roman"/>
                <w:snapToGrid w:val="0"/>
                <w:color w:val="auto"/>
                <w:spacing w:val="-11"/>
                <w:kern w:val="0"/>
                <w:sz w:val="21"/>
                <w:szCs w:val="21"/>
                <w:highlight w:val="none"/>
                <w:u w:val="none" w:color="auto"/>
                <w:lang w:val="en-US" w:eastAsia="en-US" w:bidi="ar-SA"/>
              </w:rPr>
              <w:t>3、京津冀2+26城市群完成应急减排清单编制工作，并动态更新，落实</w:t>
            </w:r>
            <w:r>
              <w:rPr>
                <w:rFonts w:hint="eastAsia" w:ascii="Times New Roman" w:hAnsi="Times New Roman" w:eastAsia="宋体" w:cs="Times New Roman"/>
                <w:snapToGrid w:val="0"/>
                <w:color w:val="auto"/>
                <w:spacing w:val="-11"/>
                <w:kern w:val="0"/>
                <w:sz w:val="21"/>
                <w:szCs w:val="21"/>
                <w:highlight w:val="none"/>
                <w:u w:val="none" w:color="auto"/>
                <w:lang w:val="en-US" w:eastAsia="zh-CN" w:bidi="ar-SA"/>
              </w:rPr>
              <w:t>“</w:t>
            </w:r>
            <w:r>
              <w:rPr>
                <w:rFonts w:hint="default" w:ascii="Times New Roman" w:hAnsi="Times New Roman" w:eastAsia="宋体" w:cs="Times New Roman"/>
                <w:snapToGrid w:val="0"/>
                <w:color w:val="auto"/>
                <w:spacing w:val="-11"/>
                <w:kern w:val="0"/>
                <w:sz w:val="21"/>
                <w:szCs w:val="21"/>
                <w:highlight w:val="none"/>
                <w:u w:val="none" w:color="auto"/>
                <w:lang w:val="en-US" w:eastAsia="en-US" w:bidi="ar-SA"/>
              </w:rPr>
              <w:t>一厂一策</w:t>
            </w:r>
            <w:r>
              <w:rPr>
                <w:rFonts w:hint="eastAsia" w:ascii="Times New Roman" w:hAnsi="Times New Roman" w:eastAsia="宋体" w:cs="Times New Roman"/>
                <w:snapToGrid w:val="0"/>
                <w:color w:val="auto"/>
                <w:spacing w:val="-11"/>
                <w:kern w:val="0"/>
                <w:sz w:val="21"/>
                <w:szCs w:val="21"/>
                <w:highlight w:val="none"/>
                <w:u w:val="none" w:color="auto"/>
                <w:lang w:val="en-US" w:eastAsia="zh-CN" w:bidi="ar-SA"/>
              </w:rPr>
              <w:t>”</w:t>
            </w:r>
            <w:r>
              <w:rPr>
                <w:rFonts w:hint="default" w:ascii="Times New Roman" w:hAnsi="Times New Roman" w:eastAsia="宋体" w:cs="Times New Roman"/>
                <w:snapToGrid w:val="0"/>
                <w:color w:val="auto"/>
                <w:spacing w:val="-11"/>
                <w:kern w:val="0"/>
                <w:sz w:val="21"/>
                <w:szCs w:val="21"/>
                <w:highlight w:val="none"/>
                <w:u w:val="none" w:color="auto"/>
                <w:lang w:val="en-US" w:eastAsia="en-US" w:bidi="ar-SA"/>
              </w:rPr>
              <w:t>等各项应急减排措施；严格落实施工工地</w:t>
            </w:r>
            <w:r>
              <w:rPr>
                <w:rFonts w:hint="eastAsia" w:ascii="Times New Roman" w:hAnsi="Times New Roman" w:eastAsia="宋体" w:cs="Times New Roman"/>
                <w:snapToGrid w:val="0"/>
                <w:color w:val="auto"/>
                <w:spacing w:val="-11"/>
                <w:kern w:val="0"/>
                <w:sz w:val="21"/>
                <w:szCs w:val="21"/>
                <w:highlight w:val="none"/>
                <w:u w:val="none" w:color="auto"/>
                <w:lang w:val="en-US" w:eastAsia="zh-CN" w:bidi="ar-SA"/>
              </w:rPr>
              <w:t>“</w:t>
            </w:r>
            <w:r>
              <w:rPr>
                <w:rFonts w:hint="default" w:ascii="Times New Roman" w:hAnsi="Times New Roman" w:eastAsia="宋体" w:cs="Times New Roman"/>
                <w:snapToGrid w:val="0"/>
                <w:color w:val="auto"/>
                <w:spacing w:val="-11"/>
                <w:kern w:val="0"/>
                <w:sz w:val="21"/>
                <w:szCs w:val="21"/>
                <w:highlight w:val="none"/>
                <w:u w:val="none" w:color="auto"/>
                <w:lang w:val="en-US" w:eastAsia="en-US" w:bidi="ar-SA"/>
              </w:rPr>
              <w:t>六个百分之百</w:t>
            </w:r>
            <w:r>
              <w:rPr>
                <w:rFonts w:hint="eastAsia" w:ascii="Times New Roman" w:hAnsi="Times New Roman" w:eastAsia="宋体" w:cs="Times New Roman"/>
                <w:snapToGrid w:val="0"/>
                <w:color w:val="auto"/>
                <w:spacing w:val="-11"/>
                <w:kern w:val="0"/>
                <w:sz w:val="21"/>
                <w:szCs w:val="21"/>
                <w:highlight w:val="none"/>
                <w:u w:val="none" w:color="auto"/>
                <w:lang w:val="en-US" w:eastAsia="zh-CN" w:bidi="ar-SA"/>
              </w:rPr>
              <w:t>”</w:t>
            </w:r>
            <w:r>
              <w:rPr>
                <w:rFonts w:hint="default" w:ascii="Times New Roman" w:hAnsi="Times New Roman" w:eastAsia="宋体" w:cs="Times New Roman"/>
                <w:snapToGrid w:val="0"/>
                <w:color w:val="auto"/>
                <w:spacing w:val="-11"/>
                <w:kern w:val="0"/>
                <w:sz w:val="21"/>
                <w:szCs w:val="21"/>
                <w:highlight w:val="none"/>
                <w:u w:val="none" w:color="auto"/>
                <w:lang w:val="en-US" w:eastAsia="en-US" w:bidi="ar-SA"/>
              </w:rPr>
              <w:t>要求；建成区5000平米及以上建筑工地全部安装在线监测和视频监控，并与当地行业主管部门联网。汾渭平原城市群完成应急减排清单编制工作，并动态更新，落实</w:t>
            </w:r>
            <w:r>
              <w:rPr>
                <w:rFonts w:hint="default" w:ascii="Times New Roman" w:hAnsi="Times New Roman" w:eastAsia="宋体" w:cs="Times New Roman"/>
                <w:snapToGrid w:val="0"/>
                <w:color w:val="auto"/>
                <w:spacing w:val="-11"/>
                <w:kern w:val="0"/>
                <w:sz w:val="21"/>
                <w:szCs w:val="21"/>
                <w:highlight w:val="none"/>
                <w:u w:val="none" w:color="auto"/>
                <w:lang w:val="en-US" w:eastAsia="zh-CN" w:bidi="ar-SA"/>
              </w:rPr>
              <w:t>“</w:t>
            </w:r>
            <w:r>
              <w:rPr>
                <w:rFonts w:hint="default" w:ascii="Times New Roman" w:hAnsi="Times New Roman" w:eastAsia="宋体" w:cs="Times New Roman"/>
                <w:snapToGrid w:val="0"/>
                <w:color w:val="auto"/>
                <w:spacing w:val="-11"/>
                <w:kern w:val="0"/>
                <w:sz w:val="21"/>
                <w:szCs w:val="21"/>
                <w:highlight w:val="none"/>
                <w:u w:val="none" w:color="auto"/>
                <w:lang w:val="en-US" w:eastAsia="en-US" w:bidi="ar-SA"/>
              </w:rPr>
              <w:t>一厂一策</w:t>
            </w:r>
            <w:r>
              <w:rPr>
                <w:rFonts w:hint="default" w:ascii="Times New Roman" w:hAnsi="Times New Roman" w:eastAsia="宋体" w:cs="Times New Roman"/>
                <w:snapToGrid w:val="0"/>
                <w:color w:val="auto"/>
                <w:spacing w:val="-11"/>
                <w:kern w:val="0"/>
                <w:sz w:val="21"/>
                <w:szCs w:val="21"/>
                <w:highlight w:val="none"/>
                <w:u w:val="none" w:color="auto"/>
                <w:lang w:val="en-US" w:eastAsia="zh-CN" w:bidi="ar-SA"/>
              </w:rPr>
              <w:t>”</w:t>
            </w:r>
            <w:r>
              <w:rPr>
                <w:rFonts w:hint="default" w:ascii="Times New Roman" w:hAnsi="Times New Roman" w:eastAsia="宋体" w:cs="Times New Roman"/>
                <w:snapToGrid w:val="0"/>
                <w:color w:val="auto"/>
                <w:spacing w:val="-11"/>
                <w:kern w:val="0"/>
                <w:sz w:val="21"/>
                <w:szCs w:val="21"/>
                <w:highlight w:val="none"/>
                <w:u w:val="none" w:color="auto"/>
                <w:lang w:val="en-US" w:eastAsia="en-US" w:bidi="ar-SA"/>
              </w:rPr>
              <w:t>等各项应急减排措施。</w:t>
            </w:r>
          </w:p>
          <w:p w14:paraId="6C7B5CF2">
            <w:pPr>
              <w:pStyle w:val="170"/>
              <w:keepNext w:val="0"/>
              <w:keepLines w:val="0"/>
              <w:pageBreakBefore w:val="0"/>
              <w:widowControl w:val="0"/>
              <w:numPr>
                <w:ilvl w:val="0"/>
                <w:numId w:val="0"/>
              </w:numPr>
              <w:wordWrap/>
              <w:overflowPunct/>
              <w:topLinePunct w:val="0"/>
              <w:bidi w:val="0"/>
              <w:spacing w:line="240" w:lineRule="auto"/>
              <w:ind w:left="0" w:right="0" w:firstLine="376" w:firstLineChars="200"/>
              <w:jc w:val="both"/>
              <w:rPr>
                <w:rFonts w:hint="default" w:ascii="Times New Roman" w:hAnsi="Times New Roman" w:eastAsia="宋体" w:cs="Times New Roman"/>
                <w:color w:val="auto"/>
                <w:spacing w:val="-4"/>
                <w:sz w:val="21"/>
                <w:szCs w:val="21"/>
                <w:highlight w:val="none"/>
                <w:u w:val="none" w:color="auto"/>
                <w:lang w:eastAsia="zh-CN"/>
              </w:rPr>
            </w:pPr>
            <w:r>
              <w:rPr>
                <w:rFonts w:hint="default" w:ascii="Times New Roman" w:hAnsi="Times New Roman" w:eastAsia="宋体" w:cs="Times New Roman"/>
                <w:snapToGrid w:val="0"/>
                <w:color w:val="auto"/>
                <w:spacing w:val="-11"/>
                <w:kern w:val="0"/>
                <w:sz w:val="21"/>
                <w:szCs w:val="21"/>
                <w:highlight w:val="none"/>
                <w:u w:val="none" w:color="auto"/>
                <w:lang w:val="en-US" w:eastAsia="en-US" w:bidi="ar-SA"/>
              </w:rPr>
              <w:t>4、关停退出热效率低下、敞开未封闭，装备简易落后、自动化水平低，布局分散、规模小、无组织排放突出，以及无治理设施或治理设施工艺落后的工业炉窑。基本淘汰35蒸吨/时及以下燃煤锅炉，确需保留的35蒸吨/时及以下燃煤锅炉，必须实现超低排放。</w:t>
            </w:r>
          </w:p>
        </w:tc>
        <w:tc>
          <w:tcPr>
            <w:tcW w:w="1191" w:type="pct"/>
            <w:noWrap w:val="0"/>
            <w:vAlign w:val="center"/>
          </w:tcPr>
          <w:p w14:paraId="3C4198A8">
            <w:pPr>
              <w:keepNext w:val="0"/>
              <w:keepLines w:val="0"/>
              <w:pageBreakBefore w:val="0"/>
              <w:widowControl w:val="0"/>
              <w:kinsoku/>
              <w:wordWrap/>
              <w:overflowPunct/>
              <w:topLinePunct w:val="0"/>
              <w:autoSpaceDE/>
              <w:autoSpaceDN/>
              <w:bidi w:val="0"/>
              <w:adjustRightInd/>
              <w:snapToGrid w:val="0"/>
              <w:spacing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1、本项目不属于重点行业；</w:t>
            </w:r>
          </w:p>
          <w:p w14:paraId="76C56AD1">
            <w:pPr>
              <w:keepNext w:val="0"/>
              <w:keepLines w:val="0"/>
              <w:pageBreakBefore w:val="0"/>
              <w:widowControl w:val="0"/>
              <w:kinsoku/>
              <w:wordWrap/>
              <w:overflowPunct/>
              <w:topLinePunct w:val="0"/>
              <w:autoSpaceDE/>
              <w:autoSpaceDN/>
              <w:bidi w:val="0"/>
              <w:adjustRightInd/>
              <w:snapToGrid w:val="0"/>
              <w:spacing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2、本项目施工期做到工地周边围挡、物料堆放覆盖、土方开挖湿法作业、路面硬化、出入车辆清洗、渣土车辆密闭运输</w:t>
            </w:r>
            <w:r>
              <w:rPr>
                <w:rFonts w:hint="eastAsia"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lang w:val="en-US" w:eastAsia="zh-CN"/>
              </w:rPr>
              <w:t>十个</w:t>
            </w:r>
            <w:r>
              <w:rPr>
                <w:rFonts w:hint="default" w:ascii="Times New Roman" w:hAnsi="Times New Roman" w:eastAsia="宋体" w:cs="Times New Roman"/>
                <w:color w:val="auto"/>
                <w:sz w:val="21"/>
                <w:szCs w:val="21"/>
                <w:highlight w:val="none"/>
                <w:u w:val="none" w:color="auto"/>
              </w:rPr>
              <w:t>百分之百</w:t>
            </w:r>
            <w:r>
              <w:rPr>
                <w:rFonts w:hint="eastAsia"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，禁止施工工地现场搅拌混凝土、现场配置砂浆；</w:t>
            </w:r>
          </w:p>
          <w:p w14:paraId="33D3365B">
            <w:pPr>
              <w:keepNext w:val="0"/>
              <w:keepLines w:val="0"/>
              <w:pageBreakBefore w:val="0"/>
              <w:widowControl w:val="0"/>
              <w:kinsoku/>
              <w:wordWrap/>
              <w:overflowPunct/>
              <w:topLinePunct w:val="0"/>
              <w:autoSpaceDE/>
              <w:autoSpaceDN/>
              <w:bidi w:val="0"/>
              <w:adjustRightInd/>
              <w:snapToGrid w:val="0"/>
              <w:spacing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3、本项目不涉及；</w:t>
            </w:r>
          </w:p>
          <w:p w14:paraId="272A35B8">
            <w:pPr>
              <w:keepNext w:val="0"/>
              <w:keepLines w:val="0"/>
              <w:pageBreakBefore w:val="0"/>
              <w:widowControl w:val="0"/>
              <w:kinsoku/>
              <w:wordWrap/>
              <w:overflowPunct/>
              <w:topLinePunct w:val="0"/>
              <w:autoSpaceDE/>
              <w:autoSpaceDN/>
              <w:bidi w:val="0"/>
              <w:adjustRightInd/>
              <w:snapToGrid w:val="0"/>
              <w:spacing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4、本项目不涉及</w:t>
            </w:r>
            <w:r>
              <w:rPr>
                <w:rFonts w:hint="default" w:ascii="Times New Roman" w:hAnsi="Times New Roman" w:eastAsia="宋体" w:cs="Times New Roman"/>
                <w:color w:val="auto"/>
                <w:sz w:val="21"/>
                <w:szCs w:val="21"/>
                <w:highlight w:val="none"/>
                <w:u w:val="none" w:color="auto"/>
                <w:lang w:val="en-US" w:eastAsia="zh-CN"/>
              </w:rPr>
              <w:t>锅炉使用</w:t>
            </w:r>
            <w:r>
              <w:rPr>
                <w:rFonts w:hint="default" w:ascii="Times New Roman" w:hAnsi="Times New Roman" w:eastAsia="宋体" w:cs="Times New Roman"/>
                <w:color w:val="auto"/>
                <w:sz w:val="21"/>
                <w:szCs w:val="21"/>
                <w:highlight w:val="none"/>
                <w:u w:val="none" w:color="auto"/>
              </w:rPr>
              <w:t>；</w:t>
            </w:r>
          </w:p>
        </w:tc>
        <w:tc>
          <w:tcPr>
            <w:tcW w:w="168" w:type="pct"/>
            <w:noWrap w:val="0"/>
            <w:vAlign w:val="center"/>
          </w:tcPr>
          <w:p w14:paraId="3C1C2BFD">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268ECE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05" w:type="pct"/>
            <w:vMerge w:val="restart"/>
            <w:noWrap w:val="0"/>
            <w:vAlign w:val="center"/>
          </w:tcPr>
          <w:p w14:paraId="3D22717D">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YS4113242340001</w:t>
            </w:r>
          </w:p>
        </w:tc>
        <w:tc>
          <w:tcPr>
            <w:tcW w:w="291" w:type="pct"/>
            <w:vMerge w:val="restart"/>
            <w:noWrap w:val="0"/>
            <w:vAlign w:val="center"/>
          </w:tcPr>
          <w:p w14:paraId="76283489">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pacing w:val="-7"/>
                <w:sz w:val="21"/>
                <w:szCs w:val="21"/>
                <w:highlight w:val="none"/>
                <w:u w:val="none" w:color="auto"/>
                <w:lang w:eastAsia="zh-CN"/>
              </w:rPr>
              <w:t>/</w:t>
            </w:r>
          </w:p>
        </w:tc>
        <w:tc>
          <w:tcPr>
            <w:tcW w:w="184" w:type="pct"/>
            <w:vMerge w:val="restart"/>
            <w:noWrap w:val="0"/>
            <w:vAlign w:val="center"/>
          </w:tcPr>
          <w:p w14:paraId="1E4BE5F2">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pacing w:val="-5"/>
                <w:sz w:val="21"/>
                <w:szCs w:val="21"/>
                <w:highlight w:val="none"/>
                <w:u w:val="none" w:color="auto"/>
              </w:rPr>
              <w:t>南阳市</w:t>
            </w:r>
          </w:p>
        </w:tc>
        <w:tc>
          <w:tcPr>
            <w:tcW w:w="179" w:type="pct"/>
            <w:vMerge w:val="restart"/>
            <w:noWrap w:val="0"/>
            <w:vAlign w:val="center"/>
          </w:tcPr>
          <w:p w14:paraId="6103467F">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pacing w:val="-4"/>
                <w:sz w:val="21"/>
                <w:szCs w:val="21"/>
                <w:highlight w:val="none"/>
                <w:u w:val="none" w:color="auto"/>
              </w:rPr>
              <w:t>镇平县</w:t>
            </w:r>
          </w:p>
        </w:tc>
        <w:tc>
          <w:tcPr>
            <w:tcW w:w="156" w:type="pct"/>
            <w:vMerge w:val="restart"/>
            <w:noWrap w:val="0"/>
            <w:vAlign w:val="center"/>
          </w:tcPr>
          <w:p w14:paraId="559BAB88">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6"/>
                <w:sz w:val="21"/>
                <w:szCs w:val="21"/>
                <w:highlight w:val="none"/>
                <w:u w:val="none" w:color="auto"/>
              </w:rPr>
              <w:t>重点</w:t>
            </w:r>
            <w:r>
              <w:rPr>
                <w:rFonts w:hint="default" w:ascii="Times New Roman" w:hAnsi="Times New Roman" w:eastAsia="宋体" w:cs="Times New Roman"/>
                <w:color w:val="auto"/>
                <w:sz w:val="21"/>
                <w:szCs w:val="21"/>
                <w:highlight w:val="none"/>
                <w:u w:val="none" w:color="auto"/>
              </w:rPr>
              <w:t>管控单元</w:t>
            </w:r>
          </w:p>
        </w:tc>
        <w:tc>
          <w:tcPr>
            <w:tcW w:w="156" w:type="pct"/>
            <w:noWrap w:val="0"/>
            <w:vAlign w:val="center"/>
          </w:tcPr>
          <w:p w14:paraId="676B48B6">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pacing w:val="-5"/>
                <w:sz w:val="21"/>
                <w:szCs w:val="21"/>
                <w:highlight w:val="none"/>
                <w:u w:val="none" w:color="auto"/>
              </w:rPr>
            </w:pPr>
            <w:r>
              <w:rPr>
                <w:rFonts w:hint="default" w:ascii="Times New Roman" w:hAnsi="Times New Roman" w:eastAsia="宋体" w:cs="Times New Roman"/>
                <w:color w:val="auto"/>
                <w:sz w:val="21"/>
                <w:szCs w:val="21"/>
                <w:highlight w:val="none"/>
                <w:u w:val="none" w:color="auto"/>
              </w:rPr>
              <w:t>空间布局约束</w:t>
            </w:r>
          </w:p>
        </w:tc>
        <w:tc>
          <w:tcPr>
            <w:tcW w:w="1967" w:type="pct"/>
            <w:noWrap w:val="0"/>
            <w:vAlign w:val="center"/>
          </w:tcPr>
          <w:p w14:paraId="4E3049C7">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lang w:eastAsia="zh-CN"/>
              </w:rPr>
            </w:pPr>
            <w:r>
              <w:rPr>
                <w:rFonts w:hint="default" w:ascii="Times New Roman" w:hAnsi="Times New Roman" w:eastAsia="宋体" w:cs="Times New Roman"/>
                <w:color w:val="auto"/>
                <w:spacing w:val="-4"/>
                <w:sz w:val="21"/>
                <w:szCs w:val="21"/>
                <w:highlight w:val="none"/>
                <w:u w:val="none" w:color="auto"/>
                <w:lang w:eastAsia="zh-CN"/>
              </w:rPr>
              <w:t>1、在各省辖市城市建成区内，禁止新建每小时二十蒸吨以下的燃烧煤炭、重油、渣油蹦及直接燃用生物质的锅炉，其他地区禁止新建每小时十蒸吨以下的燃烧煤炭、重油、渣油以及直接燃用生物质的锅炉。</w:t>
            </w:r>
          </w:p>
          <w:p w14:paraId="085DD10D">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lang w:eastAsia="zh-CN"/>
              </w:rPr>
            </w:pPr>
            <w:r>
              <w:rPr>
                <w:rFonts w:hint="default" w:ascii="Times New Roman" w:hAnsi="Times New Roman" w:eastAsia="宋体" w:cs="Times New Roman"/>
                <w:color w:val="auto"/>
                <w:spacing w:val="-4"/>
                <w:sz w:val="21"/>
                <w:szCs w:val="21"/>
                <w:highlight w:val="none"/>
                <w:u w:val="none" w:color="auto"/>
                <w:lang w:eastAsia="zh-CN"/>
              </w:rPr>
              <w:t>2、在居民住宅区等人口密集区域和医院、学校、幼儿园、养老院等其他需要特殊保护的区域及其周边，不得新建、改建和扩建石化、焦化、制药、油漆、塑料、橡胶、造纸、饲料等易产生恶臭气体的生产项目或者从事其他产生恶臭气体的生产经营活动。已建成的，应当逐步搬迁或者升级改造。</w:t>
            </w:r>
          </w:p>
          <w:p w14:paraId="381EF25B">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lang w:eastAsia="zh-CN"/>
              </w:rPr>
            </w:pPr>
            <w:r>
              <w:rPr>
                <w:rFonts w:hint="default" w:ascii="Times New Roman" w:hAnsi="Times New Roman" w:eastAsia="宋体" w:cs="Times New Roman"/>
                <w:color w:val="auto"/>
                <w:spacing w:val="-4"/>
                <w:sz w:val="21"/>
                <w:szCs w:val="21"/>
                <w:highlight w:val="none"/>
                <w:u w:val="none" w:color="auto"/>
                <w:lang w:eastAsia="zh-CN"/>
              </w:rPr>
              <w:t>3、加快城市建成区水泥企业搬迁改造或关闭退出，对明确实施退城但逾期未退的水泥企业予以停产。到2025年，城市建成区内重污染企业分类完成就地改造、退城入园、转型转产或关闭退出任务。</w:t>
            </w:r>
          </w:p>
        </w:tc>
        <w:tc>
          <w:tcPr>
            <w:tcW w:w="1191" w:type="pct"/>
            <w:noWrap w:val="0"/>
            <w:vAlign w:val="center"/>
          </w:tcPr>
          <w:p w14:paraId="26EF14A3">
            <w:pPr>
              <w:keepNext w:val="0"/>
              <w:keepLines w:val="0"/>
              <w:pageBreakBefore w:val="0"/>
              <w:widowControl w:val="0"/>
              <w:kinsoku/>
              <w:wordWrap/>
              <w:overflowPunct/>
              <w:topLinePunct w:val="0"/>
              <w:autoSpaceDE/>
              <w:autoSpaceDN/>
              <w:bidi w:val="0"/>
              <w:adjustRightInd/>
              <w:snapToGrid w:val="0"/>
              <w:spacing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1、本项目不涉及</w:t>
            </w:r>
            <w:r>
              <w:rPr>
                <w:rFonts w:hint="default" w:ascii="Times New Roman" w:hAnsi="Times New Roman" w:eastAsia="宋体" w:cs="Times New Roman"/>
                <w:color w:val="auto"/>
                <w:sz w:val="21"/>
                <w:szCs w:val="21"/>
                <w:highlight w:val="none"/>
                <w:u w:val="none" w:color="auto"/>
                <w:lang w:val="en-US" w:eastAsia="zh-CN"/>
              </w:rPr>
              <w:t>锅炉使用</w:t>
            </w:r>
            <w:r>
              <w:rPr>
                <w:rFonts w:hint="default" w:ascii="Times New Roman" w:hAnsi="Times New Roman" w:eastAsia="宋体" w:cs="Times New Roman"/>
                <w:color w:val="auto"/>
                <w:sz w:val="21"/>
                <w:szCs w:val="21"/>
                <w:highlight w:val="none"/>
                <w:u w:val="none" w:color="auto"/>
              </w:rPr>
              <w:t>；</w:t>
            </w:r>
          </w:p>
          <w:p w14:paraId="018E9B61">
            <w:pPr>
              <w:keepNext w:val="0"/>
              <w:keepLines w:val="0"/>
              <w:pageBreakBefore w:val="0"/>
              <w:widowControl w:val="0"/>
              <w:kinsoku/>
              <w:wordWrap/>
              <w:overflowPunct/>
              <w:topLinePunct w:val="0"/>
              <w:autoSpaceDE/>
              <w:autoSpaceDN/>
              <w:bidi w:val="0"/>
              <w:adjustRightInd/>
              <w:snapToGrid w:val="0"/>
              <w:spacing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2、本项目</w:t>
            </w:r>
            <w:r>
              <w:rPr>
                <w:rFonts w:hint="default" w:ascii="Times New Roman" w:hAnsi="Times New Roman" w:eastAsia="宋体" w:cs="Times New Roman"/>
                <w:color w:val="auto"/>
                <w:sz w:val="21"/>
                <w:szCs w:val="21"/>
                <w:highlight w:val="none"/>
                <w:u w:val="none" w:color="auto"/>
                <w:lang w:val="en-US" w:eastAsia="zh-CN"/>
              </w:rPr>
              <w:t>属于社会事业与服务业，</w:t>
            </w:r>
            <w:r>
              <w:rPr>
                <w:rFonts w:hint="default" w:ascii="Times New Roman" w:hAnsi="Times New Roman" w:eastAsia="宋体" w:cs="Times New Roman"/>
                <w:color w:val="auto"/>
                <w:sz w:val="21"/>
                <w:szCs w:val="21"/>
                <w:highlight w:val="none"/>
                <w:u w:val="none" w:color="auto"/>
              </w:rPr>
              <w:t>不属于</w:t>
            </w:r>
            <w:r>
              <w:rPr>
                <w:rFonts w:hint="default" w:ascii="Times New Roman" w:hAnsi="Times New Roman" w:eastAsia="宋体" w:cs="Times New Roman"/>
                <w:color w:val="auto"/>
                <w:spacing w:val="-4"/>
                <w:sz w:val="21"/>
                <w:szCs w:val="21"/>
                <w:highlight w:val="none"/>
                <w:u w:val="none" w:color="auto"/>
                <w:lang w:eastAsia="zh-CN"/>
              </w:rPr>
              <w:t>石化、焦化、制药、油漆、塑料、橡胶、造纸、饲料等易产生恶臭气体</w:t>
            </w:r>
            <w:r>
              <w:rPr>
                <w:rFonts w:hint="default" w:ascii="Times New Roman" w:hAnsi="Times New Roman" w:eastAsia="宋体" w:cs="Times New Roman"/>
                <w:color w:val="auto"/>
                <w:spacing w:val="-4"/>
                <w:sz w:val="21"/>
                <w:szCs w:val="21"/>
                <w:highlight w:val="none"/>
                <w:u w:val="none" w:color="auto"/>
                <w:lang w:val="en-US" w:eastAsia="zh-CN"/>
              </w:rPr>
              <w:t>的</w:t>
            </w:r>
            <w:r>
              <w:rPr>
                <w:rFonts w:hint="default" w:ascii="Times New Roman" w:hAnsi="Times New Roman" w:eastAsia="宋体" w:cs="Times New Roman"/>
                <w:color w:val="auto"/>
                <w:sz w:val="21"/>
                <w:szCs w:val="21"/>
                <w:highlight w:val="none"/>
                <w:u w:val="none" w:color="auto"/>
              </w:rPr>
              <w:t>项目；</w:t>
            </w:r>
          </w:p>
          <w:p w14:paraId="780D13CA">
            <w:pPr>
              <w:keepNext w:val="0"/>
              <w:keepLines w:val="0"/>
              <w:pageBreakBefore w:val="0"/>
              <w:widowControl w:val="0"/>
              <w:kinsoku/>
              <w:wordWrap/>
              <w:overflowPunct/>
              <w:topLinePunct w:val="0"/>
              <w:autoSpaceDE/>
              <w:autoSpaceDN/>
              <w:bidi w:val="0"/>
              <w:adjustRightInd/>
              <w:snapToGrid w:val="0"/>
              <w:spacing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rPr>
              <w:t>3、本项目不涉及</w:t>
            </w:r>
            <w:r>
              <w:rPr>
                <w:rFonts w:hint="default" w:ascii="Times New Roman" w:hAnsi="Times New Roman" w:eastAsia="宋体" w:cs="Times New Roman"/>
                <w:color w:val="auto"/>
                <w:sz w:val="21"/>
                <w:szCs w:val="21"/>
                <w:highlight w:val="none"/>
                <w:u w:val="none" w:color="auto"/>
                <w:lang w:eastAsia="zh-CN"/>
              </w:rPr>
              <w:t>；</w:t>
            </w:r>
          </w:p>
        </w:tc>
        <w:tc>
          <w:tcPr>
            <w:tcW w:w="168" w:type="pct"/>
            <w:noWrap w:val="0"/>
            <w:vAlign w:val="center"/>
          </w:tcPr>
          <w:p w14:paraId="50792CBD">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667CB3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05" w:type="pct"/>
            <w:vMerge w:val="continue"/>
            <w:noWrap w:val="0"/>
            <w:vAlign w:val="center"/>
          </w:tcPr>
          <w:p w14:paraId="36C35167">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291" w:type="pct"/>
            <w:vMerge w:val="continue"/>
            <w:noWrap w:val="0"/>
            <w:vAlign w:val="center"/>
          </w:tcPr>
          <w:p w14:paraId="03071A51">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84" w:type="pct"/>
            <w:vMerge w:val="continue"/>
            <w:noWrap w:val="0"/>
            <w:vAlign w:val="center"/>
          </w:tcPr>
          <w:p w14:paraId="7EF75663">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79" w:type="pct"/>
            <w:vMerge w:val="continue"/>
            <w:noWrap w:val="0"/>
            <w:vAlign w:val="center"/>
          </w:tcPr>
          <w:p w14:paraId="0D9BBCC8">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vMerge w:val="continue"/>
            <w:noWrap w:val="0"/>
            <w:vAlign w:val="center"/>
          </w:tcPr>
          <w:p w14:paraId="09D2B00E">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noWrap w:val="0"/>
            <w:vAlign w:val="center"/>
          </w:tcPr>
          <w:p w14:paraId="3BFFE17A">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pacing w:val="-5"/>
                <w:sz w:val="21"/>
                <w:szCs w:val="21"/>
                <w:highlight w:val="none"/>
                <w:u w:val="none" w:color="auto"/>
              </w:rPr>
            </w:pPr>
            <w:r>
              <w:rPr>
                <w:rFonts w:hint="default" w:ascii="Times New Roman" w:hAnsi="Times New Roman" w:eastAsia="宋体" w:cs="Times New Roman"/>
                <w:color w:val="auto"/>
                <w:sz w:val="21"/>
                <w:szCs w:val="21"/>
                <w:highlight w:val="none"/>
                <w:u w:val="none" w:color="auto"/>
              </w:rPr>
              <w:t>污染物排放管控</w:t>
            </w:r>
          </w:p>
        </w:tc>
        <w:tc>
          <w:tcPr>
            <w:tcW w:w="1967" w:type="pct"/>
            <w:noWrap w:val="0"/>
            <w:vAlign w:val="center"/>
          </w:tcPr>
          <w:p w14:paraId="215A4EF3">
            <w:pPr>
              <w:keepNext w:val="0"/>
              <w:keepLines w:val="0"/>
              <w:pageBreakBefore w:val="0"/>
              <w:widowControl w:val="0"/>
              <w:numPr>
                <w:ilvl w:val="0"/>
                <w:numId w:val="0"/>
              </w:numPr>
              <w:kinsoku w:val="0"/>
              <w:wordWrap/>
              <w:overflowPunct/>
              <w:topLinePunct w:val="0"/>
              <w:autoSpaceDE w:val="0"/>
              <w:autoSpaceDN w:val="0"/>
              <w:bidi w:val="0"/>
              <w:adjustRightInd w:val="0"/>
              <w:snapToGrid w:val="0"/>
              <w:spacing w:line="240" w:lineRule="auto"/>
              <w:ind w:left="0" w:leftChars="0" w:right="0" w:rightChars="0" w:firstLine="404" w:firstLineChars="200"/>
              <w:jc w:val="both"/>
              <w:textAlignment w:val="baseline"/>
              <w:rPr>
                <w:rFonts w:hint="default" w:ascii="Times New Roman" w:hAnsi="Times New Roman" w:eastAsia="宋体" w:cs="Times New Roman"/>
                <w:color w:val="auto"/>
                <w:spacing w:val="-4"/>
                <w:sz w:val="21"/>
                <w:szCs w:val="21"/>
                <w:highlight w:val="none"/>
                <w:u w:val="none" w:color="auto"/>
                <w:lang w:eastAsia="zh-CN"/>
              </w:rPr>
            </w:pPr>
            <w:r>
              <w:rPr>
                <w:rFonts w:hint="default" w:ascii="Times New Roman" w:hAnsi="Times New Roman" w:eastAsia="宋体" w:cs="Times New Roman"/>
                <w:color w:val="auto"/>
                <w:spacing w:val="-4"/>
                <w:sz w:val="21"/>
                <w:szCs w:val="21"/>
                <w:highlight w:val="none"/>
                <w:u w:val="none" w:color="auto"/>
                <w:lang w:eastAsia="zh-CN"/>
              </w:rPr>
              <w:t>1、大力推进钢铁、焦化等重点行业产业结构调整和转型升级，加快钢铁、水泥、焦化行业及锅炉超低排放改造。深化有色金属冶炼、铸造、碳素、耐材、烧结类砖瓦等行业工业炉窑综合整治及垃圾焚烧发电、生物质发电烟气深度治理。</w:t>
            </w:r>
          </w:p>
          <w:p w14:paraId="085A6435">
            <w:pPr>
              <w:keepNext w:val="0"/>
              <w:keepLines w:val="0"/>
              <w:pageBreakBefore w:val="0"/>
              <w:widowControl w:val="0"/>
              <w:numPr>
                <w:ilvl w:val="0"/>
                <w:numId w:val="0"/>
              </w:numPr>
              <w:kinsoku w:val="0"/>
              <w:wordWrap/>
              <w:overflowPunct/>
              <w:topLinePunct w:val="0"/>
              <w:autoSpaceDE w:val="0"/>
              <w:autoSpaceDN w:val="0"/>
              <w:bidi w:val="0"/>
              <w:adjustRightInd w:val="0"/>
              <w:snapToGrid w:val="0"/>
              <w:spacing w:line="240" w:lineRule="auto"/>
              <w:ind w:left="0" w:leftChars="0" w:right="0" w:rightChars="0" w:firstLine="404" w:firstLineChars="200"/>
              <w:jc w:val="both"/>
              <w:textAlignment w:val="baseline"/>
              <w:rPr>
                <w:rFonts w:hint="default" w:ascii="Times New Roman" w:hAnsi="Times New Roman" w:eastAsia="宋体" w:cs="Times New Roman"/>
                <w:color w:val="auto"/>
                <w:spacing w:val="-4"/>
                <w:sz w:val="21"/>
                <w:szCs w:val="21"/>
                <w:highlight w:val="none"/>
                <w:u w:val="none" w:color="auto"/>
                <w:lang w:eastAsia="zh-CN"/>
              </w:rPr>
            </w:pPr>
            <w:r>
              <w:rPr>
                <w:rFonts w:hint="default" w:ascii="Times New Roman" w:hAnsi="Times New Roman" w:eastAsia="宋体" w:cs="Times New Roman"/>
                <w:color w:val="auto"/>
                <w:spacing w:val="-4"/>
                <w:sz w:val="21"/>
                <w:szCs w:val="21"/>
                <w:highlight w:val="none"/>
                <w:u w:val="none" w:color="auto"/>
                <w:lang w:eastAsia="zh-CN"/>
              </w:rPr>
              <w:t>2、推动氢燃料电池汽车示范应用，推广新能源汽车和非道路移动机械。推进公共领域车辆新能源化。实施清洁柴油车（机）行动，基本淘汰国三及以下排放标准汽车，基本消除未登记或冒黑烟工程机械。</w:t>
            </w:r>
          </w:p>
          <w:p w14:paraId="65312C14">
            <w:pPr>
              <w:keepNext w:val="0"/>
              <w:keepLines w:val="0"/>
              <w:pageBreakBefore w:val="0"/>
              <w:widowControl w:val="0"/>
              <w:numPr>
                <w:ilvl w:val="0"/>
                <w:numId w:val="0"/>
              </w:numPr>
              <w:kinsoku w:val="0"/>
              <w:wordWrap/>
              <w:overflowPunct/>
              <w:topLinePunct w:val="0"/>
              <w:autoSpaceDE w:val="0"/>
              <w:autoSpaceDN w:val="0"/>
              <w:bidi w:val="0"/>
              <w:adjustRightInd w:val="0"/>
              <w:snapToGrid w:val="0"/>
              <w:spacing w:line="240" w:lineRule="auto"/>
              <w:ind w:left="0" w:leftChars="0" w:right="0" w:rightChars="0" w:firstLine="404" w:firstLineChars="200"/>
              <w:jc w:val="both"/>
              <w:textAlignment w:val="baseline"/>
              <w:rPr>
                <w:rFonts w:hint="default" w:ascii="Times New Roman" w:hAnsi="Times New Roman" w:eastAsia="宋体" w:cs="Times New Roman"/>
                <w:color w:val="auto"/>
                <w:spacing w:val="-4"/>
                <w:sz w:val="21"/>
                <w:szCs w:val="21"/>
                <w:highlight w:val="none"/>
                <w:u w:val="none" w:color="auto"/>
                <w:lang w:eastAsia="zh-CN"/>
              </w:rPr>
            </w:pPr>
            <w:r>
              <w:rPr>
                <w:rFonts w:hint="default" w:ascii="Times New Roman" w:hAnsi="Times New Roman" w:eastAsia="宋体" w:cs="Times New Roman"/>
                <w:color w:val="auto"/>
                <w:spacing w:val="-4"/>
                <w:sz w:val="21"/>
                <w:szCs w:val="21"/>
                <w:highlight w:val="none"/>
                <w:u w:val="none" w:color="auto"/>
                <w:lang w:eastAsia="zh-CN"/>
              </w:rPr>
              <w:t>3、加强道路扬尘综合整治，大力推进道路机械化清扫保洁作业，到2025年，各设区市建成区道路机械化清扫率达到95%以上，县城达到90%以上。各市平均降尘量到2025年不得高于7吨/月</w:t>
            </w:r>
            <w:r>
              <w:rPr>
                <w:rFonts w:hint="default" w:ascii="Times New Roman" w:hAnsi="Times New Roman" w:eastAsia="宋体" w:cs="Times New Roman"/>
                <w:color w:val="auto"/>
                <w:spacing w:val="-4"/>
                <w:sz w:val="21"/>
                <w:szCs w:val="21"/>
                <w:highlight w:val="none"/>
                <w:u w:val="none" w:color="auto"/>
                <w:lang w:val="en-US" w:eastAsia="zh-CN"/>
              </w:rPr>
              <w:t>·</w:t>
            </w:r>
            <w:r>
              <w:rPr>
                <w:rFonts w:hint="default" w:ascii="Times New Roman" w:hAnsi="Times New Roman" w:eastAsia="宋体" w:cs="Times New Roman"/>
                <w:color w:val="auto"/>
                <w:spacing w:val="-4"/>
                <w:sz w:val="21"/>
                <w:szCs w:val="21"/>
                <w:highlight w:val="none"/>
                <w:u w:val="none" w:color="auto"/>
                <w:lang w:eastAsia="zh-CN"/>
              </w:rPr>
              <w:t>平方公里。</w:t>
            </w:r>
          </w:p>
        </w:tc>
        <w:tc>
          <w:tcPr>
            <w:tcW w:w="1191" w:type="pct"/>
            <w:noWrap w:val="0"/>
            <w:vAlign w:val="center"/>
          </w:tcPr>
          <w:p w14:paraId="1FB049B6">
            <w:pPr>
              <w:keepNext w:val="0"/>
              <w:keepLines w:val="0"/>
              <w:pageBreakBefore w:val="0"/>
              <w:widowControl w:val="0"/>
              <w:kinsoku/>
              <w:wordWrap/>
              <w:overflowPunct/>
              <w:topLinePunct w:val="0"/>
              <w:autoSpaceDE/>
              <w:autoSpaceDN/>
              <w:bidi w:val="0"/>
              <w:adjustRightInd/>
              <w:snapToGrid w:val="0"/>
              <w:spacing w:line="240" w:lineRule="auto"/>
              <w:ind w:left="0" w:right="0" w:firstLine="420" w:firstLineChars="200"/>
              <w:jc w:val="both"/>
              <w:textAlignment w:val="auto"/>
              <w:rPr>
                <w:rFonts w:hint="default" w:ascii="Times New Roman" w:hAnsi="Times New Roman" w:eastAsia="宋体" w:cs="Times New Roman"/>
                <w:color w:val="auto"/>
                <w:spacing w:val="-4"/>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val="en-US" w:eastAsia="zh-CN"/>
              </w:rPr>
              <w:t>1、本项目属于社会事业与服务业，不属于</w:t>
            </w:r>
            <w:r>
              <w:rPr>
                <w:rFonts w:hint="default" w:ascii="Times New Roman" w:hAnsi="Times New Roman" w:eastAsia="宋体" w:cs="Times New Roman"/>
                <w:color w:val="auto"/>
                <w:spacing w:val="-4"/>
                <w:sz w:val="21"/>
                <w:szCs w:val="21"/>
                <w:highlight w:val="none"/>
                <w:u w:val="none" w:color="auto"/>
                <w:lang w:eastAsia="zh-CN"/>
              </w:rPr>
              <w:t>钢铁、焦化、水泥、焦化、有色金属冶炼、铸造、碳素、耐材、烧结类砖瓦等行业；</w:t>
            </w:r>
          </w:p>
          <w:p w14:paraId="4B32D579">
            <w:pPr>
              <w:keepNext w:val="0"/>
              <w:keepLines w:val="0"/>
              <w:pageBreakBefore w:val="0"/>
              <w:widowControl w:val="0"/>
              <w:kinsoku/>
              <w:wordWrap/>
              <w:overflowPunct/>
              <w:topLinePunct w:val="0"/>
              <w:autoSpaceDE/>
              <w:autoSpaceDN/>
              <w:bidi w:val="0"/>
              <w:adjustRightInd/>
              <w:snapToGrid w:val="0"/>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lang w:eastAsia="zh-CN"/>
              </w:rPr>
            </w:pPr>
            <w:r>
              <w:rPr>
                <w:rFonts w:hint="default" w:ascii="Times New Roman" w:hAnsi="Times New Roman" w:eastAsia="宋体" w:cs="Times New Roman"/>
                <w:color w:val="auto"/>
                <w:spacing w:val="-4"/>
                <w:sz w:val="21"/>
                <w:szCs w:val="21"/>
                <w:highlight w:val="none"/>
                <w:u w:val="none" w:color="auto"/>
                <w:lang w:val="en-US" w:eastAsia="zh-CN"/>
              </w:rPr>
              <w:t>2、本项目不使用</w:t>
            </w:r>
            <w:r>
              <w:rPr>
                <w:rFonts w:hint="default" w:ascii="Times New Roman" w:hAnsi="Times New Roman" w:eastAsia="宋体" w:cs="Times New Roman"/>
                <w:color w:val="auto"/>
                <w:spacing w:val="-4"/>
                <w:sz w:val="21"/>
                <w:szCs w:val="21"/>
                <w:highlight w:val="none"/>
                <w:u w:val="none" w:color="auto"/>
                <w:lang w:eastAsia="zh-CN"/>
              </w:rPr>
              <w:t>国三及以下排放标准汽车；</w:t>
            </w:r>
          </w:p>
          <w:p w14:paraId="0033E130">
            <w:pPr>
              <w:keepNext w:val="0"/>
              <w:keepLines w:val="0"/>
              <w:pageBreakBefore w:val="0"/>
              <w:widowControl w:val="0"/>
              <w:kinsoku/>
              <w:wordWrap/>
              <w:overflowPunct/>
              <w:topLinePunct w:val="0"/>
              <w:autoSpaceDE/>
              <w:autoSpaceDN/>
              <w:bidi w:val="0"/>
              <w:adjustRightInd/>
              <w:snapToGrid w:val="0"/>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lang w:val="en-US" w:eastAsia="zh-CN"/>
              </w:rPr>
            </w:pPr>
            <w:r>
              <w:rPr>
                <w:rFonts w:hint="default" w:ascii="Times New Roman" w:hAnsi="Times New Roman" w:eastAsia="宋体" w:cs="Times New Roman"/>
                <w:color w:val="auto"/>
                <w:spacing w:val="-4"/>
                <w:sz w:val="21"/>
                <w:szCs w:val="21"/>
                <w:highlight w:val="none"/>
                <w:u w:val="none" w:color="auto"/>
                <w:lang w:val="en-US" w:eastAsia="zh-CN"/>
              </w:rPr>
              <w:t>3、</w:t>
            </w:r>
            <w:r>
              <w:rPr>
                <w:rFonts w:hint="eastAsia" w:ascii="Times New Roman" w:hAnsi="Times New Roman" w:eastAsia="宋体" w:cs="Times New Roman"/>
                <w:color w:val="auto"/>
                <w:spacing w:val="-4"/>
                <w:sz w:val="21"/>
                <w:szCs w:val="21"/>
                <w:highlight w:val="none"/>
                <w:u w:val="none" w:color="auto"/>
                <w:lang w:val="en-US" w:eastAsia="zh-CN"/>
              </w:rPr>
              <w:t>本项目不涉及；</w:t>
            </w:r>
          </w:p>
        </w:tc>
        <w:tc>
          <w:tcPr>
            <w:tcW w:w="168" w:type="pct"/>
            <w:noWrap w:val="0"/>
            <w:vAlign w:val="center"/>
          </w:tcPr>
          <w:p w14:paraId="1CD80A31">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相符</w:t>
            </w:r>
          </w:p>
        </w:tc>
      </w:tr>
      <w:tr w14:paraId="7D49B7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05" w:type="pct"/>
            <w:vMerge w:val="continue"/>
            <w:noWrap w:val="0"/>
            <w:vAlign w:val="center"/>
          </w:tcPr>
          <w:p w14:paraId="196D6BD9">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291" w:type="pct"/>
            <w:vMerge w:val="continue"/>
            <w:noWrap w:val="0"/>
            <w:vAlign w:val="center"/>
          </w:tcPr>
          <w:p w14:paraId="6C9BCBFD">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84" w:type="pct"/>
            <w:vMerge w:val="continue"/>
            <w:noWrap w:val="0"/>
            <w:vAlign w:val="center"/>
          </w:tcPr>
          <w:p w14:paraId="24FDC909">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79" w:type="pct"/>
            <w:vMerge w:val="continue"/>
            <w:noWrap w:val="0"/>
            <w:vAlign w:val="center"/>
          </w:tcPr>
          <w:p w14:paraId="60A26070">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vMerge w:val="continue"/>
            <w:noWrap w:val="0"/>
            <w:vAlign w:val="center"/>
          </w:tcPr>
          <w:p w14:paraId="66285CB5">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noWrap w:val="0"/>
            <w:vAlign w:val="center"/>
          </w:tcPr>
          <w:p w14:paraId="1F036B69">
            <w:pPr>
              <w:keepNext w:val="0"/>
              <w:keepLines w:val="0"/>
              <w:pageBreakBefore w:val="0"/>
              <w:widowControl w:val="0"/>
              <w:wordWrap/>
              <w:overflowPunct/>
              <w:topLinePunct w:val="0"/>
              <w:bidi w:val="0"/>
              <w:snapToGrid w:val="0"/>
              <w:spacing w:line="240" w:lineRule="auto"/>
              <w:ind w:left="0" w:right="0" w:firstLine="0" w:firstLineChars="0"/>
              <w:jc w:val="center"/>
              <w:rPr>
                <w:rFonts w:hint="default" w:ascii="Times New Roman" w:hAnsi="Times New Roman" w:eastAsia="宋体" w:cs="Times New Roman"/>
                <w:color w:val="auto"/>
                <w:spacing w:val="-5"/>
                <w:sz w:val="21"/>
                <w:szCs w:val="21"/>
                <w:highlight w:val="none"/>
                <w:u w:val="none" w:color="auto"/>
              </w:rPr>
            </w:pPr>
            <w:r>
              <w:rPr>
                <w:rFonts w:hint="default" w:ascii="Times New Roman" w:hAnsi="Times New Roman" w:eastAsia="宋体" w:cs="Times New Roman"/>
                <w:bCs/>
                <w:color w:val="auto"/>
                <w:sz w:val="21"/>
                <w:szCs w:val="21"/>
                <w:highlight w:val="none"/>
                <w:u w:val="none" w:color="auto"/>
              </w:rPr>
              <w:t>环境风险防控</w:t>
            </w:r>
          </w:p>
        </w:tc>
        <w:tc>
          <w:tcPr>
            <w:tcW w:w="1967" w:type="pct"/>
            <w:noWrap w:val="0"/>
            <w:vAlign w:val="center"/>
          </w:tcPr>
          <w:p w14:paraId="1907EFE2">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lang w:val="en-US" w:eastAsia="zh-CN"/>
              </w:rPr>
            </w:pPr>
            <w:r>
              <w:rPr>
                <w:rFonts w:hint="default" w:ascii="Times New Roman" w:hAnsi="Times New Roman" w:eastAsia="宋体" w:cs="Times New Roman"/>
                <w:color w:val="auto"/>
                <w:spacing w:val="-4"/>
                <w:sz w:val="21"/>
                <w:szCs w:val="21"/>
                <w:highlight w:val="none"/>
                <w:u w:val="none" w:color="auto"/>
                <w:lang w:val="en-US" w:eastAsia="zh-CN"/>
              </w:rPr>
              <w:t>1、实施重污染企业退城搬迁，加快城市建成区、人群密集区、重点流域的重污染企业和危险化学品等环境风险大的企业搬迁改造、关停退出，推动实施一批水泥、玻璃、焦化、化工等重污染企业退城工程。</w:t>
            </w:r>
          </w:p>
          <w:p w14:paraId="4C76F852">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lang w:val="en-US" w:eastAsia="zh-CN"/>
              </w:rPr>
            </w:pPr>
            <w:r>
              <w:rPr>
                <w:rFonts w:hint="default" w:ascii="Times New Roman" w:hAnsi="Times New Roman" w:eastAsia="宋体" w:cs="Times New Roman"/>
                <w:color w:val="auto"/>
                <w:spacing w:val="-4"/>
                <w:sz w:val="21"/>
                <w:szCs w:val="21"/>
                <w:highlight w:val="none"/>
                <w:u w:val="none" w:color="auto"/>
                <w:lang w:val="en-US" w:eastAsia="zh-CN"/>
              </w:rPr>
              <w:t>2、 提升城乡极端气候事件监测预警、防灾减灾综合评估和风险管控能力，保障城乡建设和基础设施安全。适时开展气候变化影响风险评估，实施适应气候变化行动。</w:t>
            </w:r>
          </w:p>
        </w:tc>
        <w:tc>
          <w:tcPr>
            <w:tcW w:w="1191" w:type="pct"/>
            <w:noWrap w:val="0"/>
            <w:vAlign w:val="center"/>
          </w:tcPr>
          <w:p w14:paraId="1BC4A6F3">
            <w:pPr>
              <w:keepNext w:val="0"/>
              <w:keepLines w:val="0"/>
              <w:pageBreakBefore w:val="0"/>
              <w:widowControl w:val="0"/>
              <w:numPr>
                <w:ilvl w:val="0"/>
                <w:numId w:val="0"/>
              </w:numPr>
              <w:kinsoku/>
              <w:wordWrap/>
              <w:overflowPunct/>
              <w:topLinePunct w:val="0"/>
              <w:autoSpaceDE/>
              <w:autoSpaceDN/>
              <w:bidi w:val="0"/>
              <w:adjustRightInd/>
              <w:snapToGrid w:val="0"/>
              <w:spacing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kern w:val="2"/>
                <w:sz w:val="21"/>
                <w:szCs w:val="21"/>
                <w:u w:val="none" w:color="auto"/>
                <w:lang w:val="en-US" w:eastAsia="zh-CN" w:bidi="ar-SA"/>
              </w:rPr>
              <w:t>1、</w:t>
            </w:r>
            <w:r>
              <w:rPr>
                <w:rFonts w:hint="default" w:ascii="Times New Roman" w:hAnsi="Times New Roman" w:eastAsia="宋体" w:cs="Times New Roman"/>
                <w:color w:val="auto"/>
                <w:sz w:val="21"/>
                <w:szCs w:val="21"/>
                <w:highlight w:val="none"/>
                <w:u w:val="none" w:color="auto"/>
                <w:lang w:val="en-US" w:eastAsia="zh-CN"/>
              </w:rPr>
              <w:t>本项目属于社会事业与服务业，不属于水泥、玻璃、焦化、化工等重污染企业；</w:t>
            </w:r>
          </w:p>
          <w:p w14:paraId="22083B1A">
            <w:pPr>
              <w:keepNext w:val="0"/>
              <w:keepLines w:val="0"/>
              <w:pageBreakBefore w:val="0"/>
              <w:widowControl w:val="0"/>
              <w:numPr>
                <w:ilvl w:val="0"/>
                <w:numId w:val="0"/>
              </w:numPr>
              <w:kinsoku/>
              <w:wordWrap/>
              <w:overflowPunct/>
              <w:topLinePunct w:val="0"/>
              <w:autoSpaceDE/>
              <w:autoSpaceDN/>
              <w:bidi w:val="0"/>
              <w:adjustRightInd/>
              <w:snapToGrid w:val="0"/>
              <w:spacing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kern w:val="2"/>
                <w:sz w:val="21"/>
                <w:szCs w:val="21"/>
                <w:u w:val="none" w:color="auto"/>
                <w:lang w:val="en-US" w:eastAsia="zh-CN" w:bidi="ar-SA"/>
              </w:rPr>
              <w:t>2、</w:t>
            </w:r>
            <w:r>
              <w:rPr>
                <w:rFonts w:hint="default" w:ascii="Times New Roman" w:hAnsi="Times New Roman" w:eastAsia="宋体" w:cs="Times New Roman"/>
                <w:color w:val="auto"/>
                <w:sz w:val="21"/>
                <w:szCs w:val="21"/>
                <w:highlight w:val="none"/>
                <w:u w:val="none" w:color="auto"/>
                <w:lang w:val="en-US" w:eastAsia="zh-CN"/>
              </w:rPr>
              <w:t>本项目不涉及；</w:t>
            </w:r>
          </w:p>
        </w:tc>
        <w:tc>
          <w:tcPr>
            <w:tcW w:w="168" w:type="pct"/>
            <w:noWrap w:val="0"/>
            <w:vAlign w:val="center"/>
          </w:tcPr>
          <w:p w14:paraId="2FB22819">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相符</w:t>
            </w:r>
          </w:p>
        </w:tc>
      </w:tr>
      <w:tr w14:paraId="794187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05" w:type="pct"/>
            <w:vMerge w:val="continue"/>
            <w:noWrap w:val="0"/>
            <w:vAlign w:val="center"/>
          </w:tcPr>
          <w:p w14:paraId="235816BD">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291" w:type="pct"/>
            <w:vMerge w:val="continue"/>
            <w:noWrap w:val="0"/>
            <w:vAlign w:val="center"/>
          </w:tcPr>
          <w:p w14:paraId="3EEF4ECF">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84" w:type="pct"/>
            <w:vMerge w:val="continue"/>
            <w:noWrap w:val="0"/>
            <w:vAlign w:val="center"/>
          </w:tcPr>
          <w:p w14:paraId="697A62CB">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79" w:type="pct"/>
            <w:vMerge w:val="continue"/>
            <w:noWrap w:val="0"/>
            <w:vAlign w:val="center"/>
          </w:tcPr>
          <w:p w14:paraId="2CD5ED21">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vMerge w:val="continue"/>
            <w:noWrap w:val="0"/>
            <w:vAlign w:val="center"/>
          </w:tcPr>
          <w:p w14:paraId="180753DC">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noWrap w:val="0"/>
            <w:vAlign w:val="center"/>
          </w:tcPr>
          <w:p w14:paraId="2CD6AF29">
            <w:pPr>
              <w:keepNext w:val="0"/>
              <w:keepLines w:val="0"/>
              <w:pageBreakBefore w:val="0"/>
              <w:widowControl w:val="0"/>
              <w:wordWrap/>
              <w:overflowPunct/>
              <w:topLinePunct w:val="0"/>
              <w:bidi w:val="0"/>
              <w:snapToGrid w:val="0"/>
              <w:spacing w:line="240" w:lineRule="auto"/>
              <w:ind w:left="0" w:right="0" w:firstLine="0" w:firstLineChars="0"/>
              <w:jc w:val="center"/>
              <w:rPr>
                <w:rFonts w:hint="default" w:ascii="Times New Roman" w:hAnsi="Times New Roman" w:eastAsia="宋体" w:cs="Times New Roman"/>
                <w:color w:val="auto"/>
                <w:spacing w:val="-5"/>
                <w:sz w:val="21"/>
                <w:szCs w:val="21"/>
                <w:highlight w:val="none"/>
                <w:u w:val="none" w:color="auto"/>
              </w:rPr>
            </w:pPr>
            <w:r>
              <w:rPr>
                <w:rFonts w:hint="default" w:ascii="Times New Roman" w:hAnsi="Times New Roman" w:eastAsia="宋体" w:cs="Times New Roman"/>
                <w:color w:val="auto"/>
                <w:spacing w:val="-5"/>
                <w:sz w:val="21"/>
                <w:szCs w:val="21"/>
                <w:highlight w:val="none"/>
                <w:u w:val="none" w:color="auto"/>
              </w:rPr>
              <w:t>资源开发</w:t>
            </w:r>
            <w:r>
              <w:rPr>
                <w:rFonts w:hint="default" w:ascii="Times New Roman" w:hAnsi="Times New Roman" w:eastAsia="宋体" w:cs="Times New Roman"/>
                <w:color w:val="auto"/>
                <w:spacing w:val="-4"/>
                <w:sz w:val="21"/>
                <w:szCs w:val="21"/>
                <w:highlight w:val="none"/>
                <w:u w:val="none" w:color="auto"/>
              </w:rPr>
              <w:t>效率要求</w:t>
            </w:r>
          </w:p>
        </w:tc>
        <w:tc>
          <w:tcPr>
            <w:tcW w:w="1967" w:type="pct"/>
            <w:noWrap w:val="0"/>
            <w:vAlign w:val="center"/>
          </w:tcPr>
          <w:p w14:paraId="72BCCA1B">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lang w:val="en-US" w:eastAsia="zh-CN"/>
              </w:rPr>
            </w:pPr>
            <w:r>
              <w:rPr>
                <w:rFonts w:hint="default" w:ascii="Times New Roman" w:hAnsi="Times New Roman" w:eastAsia="宋体" w:cs="Times New Roman"/>
                <w:color w:val="auto"/>
                <w:spacing w:val="-4"/>
                <w:sz w:val="21"/>
                <w:szCs w:val="21"/>
                <w:highlight w:val="none"/>
                <w:u w:val="none" w:color="auto"/>
                <w:lang w:val="en-US" w:eastAsia="zh-CN"/>
              </w:rPr>
              <w:t>1、在禁燃区内，禁止销售、燃用高污染燃料；禁止新建、扩建燃用高污染燃料的设施，已建成的，应当在各省辖市、 县（市）人民政府规定的期限内改用天然气、页岩气、液化石油气、电或者其他清洁能源。</w:t>
            </w:r>
          </w:p>
          <w:p w14:paraId="7EB83910">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lang w:val="en-US" w:eastAsia="zh-CN"/>
              </w:rPr>
            </w:pPr>
            <w:r>
              <w:rPr>
                <w:rFonts w:hint="default" w:ascii="Times New Roman" w:hAnsi="Times New Roman" w:eastAsia="宋体" w:cs="Times New Roman"/>
                <w:color w:val="auto"/>
                <w:spacing w:val="-4"/>
                <w:sz w:val="21"/>
                <w:szCs w:val="21"/>
                <w:highlight w:val="none"/>
                <w:u w:val="none" w:color="auto"/>
                <w:lang w:val="en-US" w:eastAsia="zh-CN"/>
              </w:rPr>
              <w:t>2、基本实现城区集中供暖全覆盖。</w:t>
            </w:r>
          </w:p>
        </w:tc>
        <w:tc>
          <w:tcPr>
            <w:tcW w:w="1191" w:type="pct"/>
            <w:noWrap w:val="0"/>
            <w:vAlign w:val="center"/>
          </w:tcPr>
          <w:p w14:paraId="4D1DB456">
            <w:pPr>
              <w:keepNext w:val="0"/>
              <w:keepLines w:val="0"/>
              <w:pageBreakBefore w:val="0"/>
              <w:widowControl w:val="0"/>
              <w:kinsoku/>
              <w:wordWrap/>
              <w:overflowPunct/>
              <w:topLinePunct w:val="0"/>
              <w:autoSpaceDE/>
              <w:autoSpaceDN/>
              <w:bidi w:val="0"/>
              <w:adjustRightInd/>
              <w:snapToGrid w:val="0"/>
              <w:spacing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1、本项目使用电，电不属于高污染燃料；</w:t>
            </w:r>
          </w:p>
          <w:p w14:paraId="5AE24226">
            <w:pPr>
              <w:keepNext w:val="0"/>
              <w:keepLines w:val="0"/>
              <w:pageBreakBefore w:val="0"/>
              <w:widowControl w:val="0"/>
              <w:kinsoku/>
              <w:wordWrap/>
              <w:overflowPunct/>
              <w:topLinePunct w:val="0"/>
              <w:autoSpaceDE/>
              <w:autoSpaceDN/>
              <w:bidi w:val="0"/>
              <w:adjustRightInd/>
              <w:snapToGrid w:val="0"/>
              <w:spacing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2、本项目不涉及；</w:t>
            </w:r>
          </w:p>
        </w:tc>
        <w:tc>
          <w:tcPr>
            <w:tcW w:w="168" w:type="pct"/>
            <w:noWrap w:val="0"/>
            <w:vAlign w:val="center"/>
          </w:tcPr>
          <w:p w14:paraId="2E13A8B4">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相符</w:t>
            </w:r>
          </w:p>
        </w:tc>
      </w:tr>
      <w:tr w14:paraId="4108B5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05" w:type="pct"/>
            <w:vMerge w:val="restart"/>
            <w:noWrap w:val="0"/>
            <w:vAlign w:val="center"/>
          </w:tcPr>
          <w:p w14:paraId="18D758EB">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bookmarkStart w:id="8" w:name="_Toc13190"/>
            <w:bookmarkStart w:id="9" w:name="_Toc2072"/>
            <w:r>
              <w:rPr>
                <w:rFonts w:hint="default" w:ascii="Times New Roman" w:hAnsi="Times New Roman" w:eastAsia="宋体" w:cs="Times New Roman"/>
                <w:color w:val="auto"/>
                <w:sz w:val="21"/>
                <w:szCs w:val="21"/>
                <w:highlight w:val="none"/>
                <w:u w:val="none" w:color="auto"/>
              </w:rPr>
              <w:t>YS4113242540001</w:t>
            </w:r>
          </w:p>
        </w:tc>
        <w:tc>
          <w:tcPr>
            <w:tcW w:w="291" w:type="pct"/>
            <w:vMerge w:val="restart"/>
            <w:noWrap w:val="0"/>
            <w:vAlign w:val="center"/>
          </w:tcPr>
          <w:p w14:paraId="19379C12">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河南省南阳市</w:t>
            </w:r>
          </w:p>
          <w:p w14:paraId="7D6F178E">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镇平县高污染</w:t>
            </w:r>
          </w:p>
          <w:p w14:paraId="21D049ED">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燃料禁燃区</w:t>
            </w:r>
          </w:p>
        </w:tc>
        <w:tc>
          <w:tcPr>
            <w:tcW w:w="184" w:type="pct"/>
            <w:vMerge w:val="restart"/>
            <w:shd w:val="clear" w:color="auto" w:fill="auto"/>
            <w:noWrap w:val="0"/>
            <w:vAlign w:val="center"/>
          </w:tcPr>
          <w:p w14:paraId="40CE08C5">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pacing w:val="-5"/>
                <w:sz w:val="21"/>
                <w:szCs w:val="21"/>
                <w:highlight w:val="none"/>
                <w:u w:val="none" w:color="auto"/>
              </w:rPr>
              <w:t>南阳市</w:t>
            </w:r>
          </w:p>
        </w:tc>
        <w:tc>
          <w:tcPr>
            <w:tcW w:w="179" w:type="pct"/>
            <w:vMerge w:val="restart"/>
            <w:shd w:val="clear" w:color="auto" w:fill="auto"/>
            <w:noWrap w:val="0"/>
            <w:vAlign w:val="center"/>
          </w:tcPr>
          <w:p w14:paraId="7F4A0BF1">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pacing w:val="-4"/>
                <w:sz w:val="21"/>
                <w:szCs w:val="21"/>
                <w:highlight w:val="none"/>
                <w:u w:val="none" w:color="auto"/>
              </w:rPr>
              <w:t>镇平县</w:t>
            </w:r>
          </w:p>
        </w:tc>
        <w:tc>
          <w:tcPr>
            <w:tcW w:w="156" w:type="pct"/>
            <w:vMerge w:val="restart"/>
            <w:shd w:val="clear" w:color="auto" w:fill="auto"/>
            <w:noWrap w:val="0"/>
            <w:vAlign w:val="center"/>
          </w:tcPr>
          <w:p w14:paraId="0B3899FA">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pacing w:val="-6"/>
                <w:sz w:val="21"/>
                <w:szCs w:val="21"/>
                <w:highlight w:val="none"/>
                <w:u w:val="none" w:color="auto"/>
              </w:rPr>
              <w:t>重点</w:t>
            </w:r>
            <w:r>
              <w:rPr>
                <w:rFonts w:hint="default" w:ascii="Times New Roman" w:hAnsi="Times New Roman" w:eastAsia="宋体" w:cs="Times New Roman"/>
                <w:color w:val="auto"/>
                <w:sz w:val="21"/>
                <w:szCs w:val="21"/>
                <w:highlight w:val="none"/>
                <w:u w:val="none" w:color="auto"/>
              </w:rPr>
              <w:t>管控单元</w:t>
            </w:r>
          </w:p>
        </w:tc>
        <w:tc>
          <w:tcPr>
            <w:tcW w:w="156" w:type="pct"/>
            <w:shd w:val="clear" w:color="auto" w:fill="auto"/>
            <w:noWrap w:val="0"/>
            <w:vAlign w:val="center"/>
          </w:tcPr>
          <w:p w14:paraId="0E7C3603">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pacing w:val="-5"/>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空间布局约束</w:t>
            </w:r>
          </w:p>
        </w:tc>
        <w:tc>
          <w:tcPr>
            <w:tcW w:w="1967" w:type="pct"/>
            <w:noWrap w:val="0"/>
            <w:vAlign w:val="center"/>
          </w:tcPr>
          <w:p w14:paraId="7BCEE791">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lang w:val="en-US" w:eastAsia="zh-CN"/>
              </w:rPr>
            </w:pPr>
            <w:r>
              <w:rPr>
                <w:rFonts w:hint="default" w:ascii="Times New Roman" w:hAnsi="Times New Roman" w:eastAsia="宋体" w:cs="Times New Roman"/>
                <w:color w:val="auto"/>
                <w:spacing w:val="-4"/>
                <w:sz w:val="21"/>
                <w:szCs w:val="21"/>
                <w:highlight w:val="none"/>
                <w:u w:val="none" w:color="auto"/>
                <w:lang w:val="en-US" w:eastAsia="zh-CN"/>
              </w:rPr>
              <w:t>东至东十二里河，南至新312国道，西至西十二里河，北至宁西铁路以及县产业集聚区范围内</w:t>
            </w:r>
          </w:p>
        </w:tc>
        <w:tc>
          <w:tcPr>
            <w:tcW w:w="1191" w:type="pct"/>
            <w:noWrap w:val="0"/>
            <w:vAlign w:val="center"/>
          </w:tcPr>
          <w:p w14:paraId="3D768CDC">
            <w:pPr>
              <w:keepNext w:val="0"/>
              <w:keepLines w:val="0"/>
              <w:pageBreakBefore w:val="0"/>
              <w:widowControl w:val="0"/>
              <w:wordWrap/>
              <w:overflowPunct/>
              <w:topLinePunct w:val="0"/>
              <w:bidi w:val="0"/>
              <w:snapToGrid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本项目不涉及；</w:t>
            </w:r>
          </w:p>
        </w:tc>
        <w:tc>
          <w:tcPr>
            <w:tcW w:w="168" w:type="pct"/>
            <w:noWrap w:val="0"/>
            <w:vAlign w:val="center"/>
          </w:tcPr>
          <w:p w14:paraId="0FAE9904">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相符</w:t>
            </w:r>
          </w:p>
        </w:tc>
      </w:tr>
      <w:tr w14:paraId="52C4D4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05" w:type="pct"/>
            <w:vMerge w:val="continue"/>
            <w:noWrap w:val="0"/>
            <w:vAlign w:val="center"/>
          </w:tcPr>
          <w:p w14:paraId="0DA54DD3">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291" w:type="pct"/>
            <w:vMerge w:val="continue"/>
            <w:noWrap w:val="0"/>
            <w:vAlign w:val="center"/>
          </w:tcPr>
          <w:p w14:paraId="2CD07497">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84" w:type="pct"/>
            <w:vMerge w:val="continue"/>
            <w:noWrap w:val="0"/>
            <w:vAlign w:val="center"/>
          </w:tcPr>
          <w:p w14:paraId="73E16E5A">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79" w:type="pct"/>
            <w:vMerge w:val="continue"/>
            <w:noWrap w:val="0"/>
            <w:vAlign w:val="center"/>
          </w:tcPr>
          <w:p w14:paraId="28BDE558">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vMerge w:val="continue"/>
            <w:noWrap w:val="0"/>
            <w:vAlign w:val="center"/>
          </w:tcPr>
          <w:p w14:paraId="20D14A52">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shd w:val="clear" w:color="auto" w:fill="auto"/>
            <w:noWrap w:val="0"/>
            <w:vAlign w:val="center"/>
          </w:tcPr>
          <w:p w14:paraId="46B863B4">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pacing w:val="-5"/>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rPr>
              <w:t>污染物排放管控</w:t>
            </w:r>
          </w:p>
        </w:tc>
        <w:tc>
          <w:tcPr>
            <w:tcW w:w="1967" w:type="pct"/>
            <w:noWrap w:val="0"/>
            <w:vAlign w:val="center"/>
          </w:tcPr>
          <w:p w14:paraId="66247ADF">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pacing w:val="-4"/>
                <w:sz w:val="21"/>
                <w:szCs w:val="21"/>
                <w:highlight w:val="none"/>
                <w:u w:val="none" w:color="auto"/>
                <w:lang w:val="en-US" w:eastAsia="zh-CN"/>
              </w:rPr>
            </w:pPr>
            <w:r>
              <w:rPr>
                <w:rFonts w:hint="default" w:ascii="Times New Roman" w:hAnsi="Times New Roman" w:eastAsia="宋体" w:cs="Times New Roman"/>
                <w:color w:val="auto"/>
                <w:spacing w:val="-4"/>
                <w:sz w:val="21"/>
                <w:szCs w:val="21"/>
                <w:highlight w:val="none"/>
                <w:u w:val="none" w:color="auto"/>
                <w:lang w:val="en-US" w:eastAsia="zh-CN"/>
              </w:rPr>
              <w:t>/</w:t>
            </w:r>
          </w:p>
        </w:tc>
        <w:tc>
          <w:tcPr>
            <w:tcW w:w="1191" w:type="pct"/>
            <w:noWrap w:val="0"/>
            <w:vAlign w:val="center"/>
          </w:tcPr>
          <w:p w14:paraId="26B17F37">
            <w:pPr>
              <w:keepNext w:val="0"/>
              <w:keepLines w:val="0"/>
              <w:pageBreakBefore w:val="0"/>
              <w:widowControl w:val="0"/>
              <w:wordWrap/>
              <w:overflowPunct/>
              <w:topLinePunct w:val="0"/>
              <w:bidi w:val="0"/>
              <w:snapToGrid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c>
          <w:tcPr>
            <w:tcW w:w="168" w:type="pct"/>
            <w:noWrap w:val="0"/>
            <w:vAlign w:val="center"/>
          </w:tcPr>
          <w:p w14:paraId="554B5F2B">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r>
      <w:tr w14:paraId="3A0E24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05" w:type="pct"/>
            <w:vMerge w:val="continue"/>
            <w:noWrap w:val="0"/>
            <w:vAlign w:val="center"/>
          </w:tcPr>
          <w:p w14:paraId="54BCBE87">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291" w:type="pct"/>
            <w:vMerge w:val="continue"/>
            <w:noWrap w:val="0"/>
            <w:vAlign w:val="center"/>
          </w:tcPr>
          <w:p w14:paraId="6B7CBFFF">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84" w:type="pct"/>
            <w:vMerge w:val="continue"/>
            <w:noWrap w:val="0"/>
            <w:vAlign w:val="center"/>
          </w:tcPr>
          <w:p w14:paraId="38A2C952">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79" w:type="pct"/>
            <w:vMerge w:val="continue"/>
            <w:noWrap w:val="0"/>
            <w:vAlign w:val="center"/>
          </w:tcPr>
          <w:p w14:paraId="3A731E8A">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vMerge w:val="continue"/>
            <w:noWrap w:val="0"/>
            <w:vAlign w:val="center"/>
          </w:tcPr>
          <w:p w14:paraId="57CE359B">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shd w:val="clear" w:color="auto" w:fill="auto"/>
            <w:noWrap w:val="0"/>
            <w:vAlign w:val="center"/>
          </w:tcPr>
          <w:p w14:paraId="3B1F90A5">
            <w:pPr>
              <w:keepNext w:val="0"/>
              <w:keepLines w:val="0"/>
              <w:pageBreakBefore w:val="0"/>
              <w:widowControl w:val="0"/>
              <w:wordWrap/>
              <w:overflowPunct/>
              <w:topLinePunct w:val="0"/>
              <w:bidi w:val="0"/>
              <w:snapToGrid w:val="0"/>
              <w:spacing w:line="240" w:lineRule="auto"/>
              <w:ind w:left="0" w:right="0" w:firstLine="0" w:firstLineChars="0"/>
              <w:jc w:val="center"/>
              <w:rPr>
                <w:rFonts w:hint="default" w:ascii="Times New Roman" w:hAnsi="Times New Roman" w:eastAsia="宋体" w:cs="Times New Roman"/>
                <w:color w:val="auto"/>
                <w:spacing w:val="-5"/>
                <w:kern w:val="2"/>
                <w:sz w:val="21"/>
                <w:szCs w:val="21"/>
                <w:highlight w:val="none"/>
                <w:u w:val="none" w:color="auto"/>
                <w:lang w:val="en-US" w:eastAsia="zh-CN" w:bidi="ar-SA"/>
              </w:rPr>
            </w:pPr>
            <w:r>
              <w:rPr>
                <w:rFonts w:hint="default" w:ascii="Times New Roman" w:hAnsi="Times New Roman" w:eastAsia="宋体" w:cs="Times New Roman"/>
                <w:bCs/>
                <w:color w:val="auto"/>
                <w:sz w:val="21"/>
                <w:szCs w:val="21"/>
                <w:highlight w:val="none"/>
                <w:u w:val="none" w:color="auto"/>
              </w:rPr>
              <w:t>环境风险防控</w:t>
            </w:r>
          </w:p>
        </w:tc>
        <w:tc>
          <w:tcPr>
            <w:tcW w:w="1967" w:type="pct"/>
            <w:noWrap w:val="0"/>
            <w:vAlign w:val="center"/>
          </w:tcPr>
          <w:p w14:paraId="49D47069">
            <w:pPr>
              <w:pStyle w:val="170"/>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pacing w:val="-4"/>
                <w:sz w:val="21"/>
                <w:szCs w:val="21"/>
                <w:highlight w:val="none"/>
                <w:u w:val="none" w:color="auto"/>
                <w:lang w:val="en-US" w:eastAsia="zh-CN"/>
              </w:rPr>
            </w:pPr>
            <w:r>
              <w:rPr>
                <w:rFonts w:hint="default" w:ascii="Times New Roman" w:hAnsi="Times New Roman" w:eastAsia="宋体" w:cs="Times New Roman"/>
                <w:color w:val="auto"/>
                <w:spacing w:val="-4"/>
                <w:sz w:val="21"/>
                <w:szCs w:val="21"/>
                <w:highlight w:val="none"/>
                <w:u w:val="none" w:color="auto"/>
                <w:lang w:val="en-US" w:eastAsia="zh-CN"/>
              </w:rPr>
              <w:t>/</w:t>
            </w:r>
          </w:p>
        </w:tc>
        <w:tc>
          <w:tcPr>
            <w:tcW w:w="1191" w:type="pct"/>
            <w:noWrap w:val="0"/>
            <w:vAlign w:val="center"/>
          </w:tcPr>
          <w:p w14:paraId="2C648E6F">
            <w:pPr>
              <w:keepNext w:val="0"/>
              <w:keepLines w:val="0"/>
              <w:pageBreakBefore w:val="0"/>
              <w:widowControl w:val="0"/>
              <w:wordWrap/>
              <w:overflowPunct/>
              <w:topLinePunct w:val="0"/>
              <w:bidi w:val="0"/>
              <w:snapToGrid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c>
          <w:tcPr>
            <w:tcW w:w="168" w:type="pct"/>
            <w:noWrap w:val="0"/>
            <w:vAlign w:val="center"/>
          </w:tcPr>
          <w:p w14:paraId="1C6E5F1C">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r>
      <w:tr w14:paraId="669483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705" w:type="pct"/>
            <w:vMerge w:val="continue"/>
            <w:noWrap w:val="0"/>
            <w:vAlign w:val="center"/>
          </w:tcPr>
          <w:p w14:paraId="0857E4FF">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291" w:type="pct"/>
            <w:vMerge w:val="continue"/>
            <w:noWrap w:val="0"/>
            <w:vAlign w:val="center"/>
          </w:tcPr>
          <w:p w14:paraId="17AFE2C0">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84" w:type="pct"/>
            <w:vMerge w:val="continue"/>
            <w:noWrap w:val="0"/>
            <w:vAlign w:val="center"/>
          </w:tcPr>
          <w:p w14:paraId="729EC743">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79" w:type="pct"/>
            <w:vMerge w:val="continue"/>
            <w:noWrap w:val="0"/>
            <w:vAlign w:val="center"/>
          </w:tcPr>
          <w:p w14:paraId="572E4599">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vMerge w:val="continue"/>
            <w:noWrap w:val="0"/>
            <w:vAlign w:val="center"/>
          </w:tcPr>
          <w:p w14:paraId="1CD625D7">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rPr>
            </w:pPr>
          </w:p>
        </w:tc>
        <w:tc>
          <w:tcPr>
            <w:tcW w:w="156" w:type="pct"/>
            <w:shd w:val="clear" w:color="auto" w:fill="auto"/>
            <w:noWrap w:val="0"/>
            <w:vAlign w:val="center"/>
          </w:tcPr>
          <w:p w14:paraId="77A0889D">
            <w:pPr>
              <w:keepNext w:val="0"/>
              <w:keepLines w:val="0"/>
              <w:pageBreakBefore w:val="0"/>
              <w:widowControl w:val="0"/>
              <w:wordWrap/>
              <w:overflowPunct/>
              <w:topLinePunct w:val="0"/>
              <w:bidi w:val="0"/>
              <w:snapToGrid w:val="0"/>
              <w:spacing w:line="240" w:lineRule="auto"/>
              <w:ind w:left="0" w:right="0" w:firstLine="0" w:firstLineChars="0"/>
              <w:jc w:val="center"/>
              <w:rPr>
                <w:rFonts w:hint="default" w:ascii="Times New Roman" w:hAnsi="Times New Roman" w:eastAsia="宋体" w:cs="Times New Roman"/>
                <w:color w:val="auto"/>
                <w:spacing w:val="-5"/>
                <w:kern w:val="2"/>
                <w:sz w:val="21"/>
                <w:szCs w:val="21"/>
                <w:highlight w:val="none"/>
                <w:u w:val="none" w:color="auto"/>
                <w:lang w:val="en-US" w:eastAsia="zh-CN" w:bidi="ar-SA"/>
              </w:rPr>
            </w:pPr>
            <w:r>
              <w:rPr>
                <w:rFonts w:hint="default" w:ascii="Times New Roman" w:hAnsi="Times New Roman" w:eastAsia="宋体" w:cs="Times New Roman"/>
                <w:color w:val="auto"/>
                <w:spacing w:val="-5"/>
                <w:sz w:val="21"/>
                <w:szCs w:val="21"/>
                <w:highlight w:val="none"/>
                <w:u w:val="none" w:color="auto"/>
              </w:rPr>
              <w:t>资源开发</w:t>
            </w:r>
            <w:r>
              <w:rPr>
                <w:rFonts w:hint="default" w:ascii="Times New Roman" w:hAnsi="Times New Roman" w:eastAsia="宋体" w:cs="Times New Roman"/>
                <w:color w:val="auto"/>
                <w:spacing w:val="-4"/>
                <w:sz w:val="21"/>
                <w:szCs w:val="21"/>
                <w:highlight w:val="none"/>
                <w:u w:val="none" w:color="auto"/>
              </w:rPr>
              <w:t>效率要求</w:t>
            </w:r>
          </w:p>
        </w:tc>
        <w:tc>
          <w:tcPr>
            <w:tcW w:w="1967" w:type="pct"/>
            <w:noWrap w:val="0"/>
            <w:vAlign w:val="center"/>
          </w:tcPr>
          <w:p w14:paraId="6F636690">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404" w:firstLineChars="200"/>
              <w:jc w:val="both"/>
              <w:textAlignment w:val="auto"/>
              <w:rPr>
                <w:rFonts w:hint="default" w:ascii="Times New Roman" w:hAnsi="Times New Roman" w:eastAsia="宋体" w:cs="Times New Roman"/>
                <w:color w:val="auto"/>
                <w:spacing w:val="-4"/>
                <w:sz w:val="21"/>
                <w:szCs w:val="21"/>
                <w:highlight w:val="none"/>
                <w:u w:val="none" w:color="auto"/>
                <w:lang w:val="en-US" w:eastAsia="zh-CN"/>
              </w:rPr>
            </w:pPr>
            <w:r>
              <w:rPr>
                <w:rFonts w:hint="default" w:ascii="Times New Roman" w:hAnsi="Times New Roman" w:eastAsia="宋体" w:cs="Times New Roman"/>
                <w:color w:val="auto"/>
                <w:spacing w:val="-4"/>
                <w:sz w:val="21"/>
                <w:szCs w:val="21"/>
                <w:highlight w:val="none"/>
                <w:u w:val="none" w:color="auto"/>
                <w:lang w:val="en-US" w:eastAsia="zh-CN"/>
              </w:rPr>
              <w:t>禁止销售、使用煤等高污染燃料，现有使用高污染燃料的单位和个人，应当按照市、县（市）人民政府规定的期限改用清洁能源或拆除使用高污染燃料的设施</w:t>
            </w:r>
          </w:p>
        </w:tc>
        <w:tc>
          <w:tcPr>
            <w:tcW w:w="1191" w:type="pct"/>
            <w:noWrap w:val="0"/>
            <w:vAlign w:val="center"/>
          </w:tcPr>
          <w:p w14:paraId="5ADD5B66">
            <w:pPr>
              <w:keepNext w:val="0"/>
              <w:keepLines w:val="0"/>
              <w:pageBreakBefore w:val="0"/>
              <w:widowControl w:val="0"/>
              <w:kinsoku/>
              <w:wordWrap/>
              <w:overflowPunct/>
              <w:topLinePunct w:val="0"/>
              <w:autoSpaceDE/>
              <w:autoSpaceDN/>
              <w:bidi w:val="0"/>
              <w:adjustRightInd/>
              <w:snapToGrid w:val="0"/>
              <w:spacing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本项目使用电，电不属于高污染燃料；</w:t>
            </w:r>
          </w:p>
        </w:tc>
        <w:tc>
          <w:tcPr>
            <w:tcW w:w="168" w:type="pct"/>
            <w:noWrap w:val="0"/>
            <w:vAlign w:val="center"/>
          </w:tcPr>
          <w:p w14:paraId="54ECCE95">
            <w:pPr>
              <w:keepNext w:val="0"/>
              <w:keepLines w:val="0"/>
              <w:pageBreakBefore w:val="0"/>
              <w:widowControl w:val="0"/>
              <w:wordWrap/>
              <w:overflowPunct/>
              <w:topLinePunct w:val="0"/>
              <w:bidi w:val="0"/>
              <w:spacing w:line="240" w:lineRule="auto"/>
              <w:ind w:left="0" w:right="0"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相符</w:t>
            </w:r>
          </w:p>
        </w:tc>
      </w:tr>
    </w:tbl>
    <w:p w14:paraId="5B84861C">
      <w:pPr>
        <w:spacing w:line="360" w:lineRule="auto"/>
        <w:rPr>
          <w:rFonts w:hint="default" w:ascii="Times New Roman" w:hAnsi="Times New Roman" w:eastAsia="黑体" w:cs="Times New Roman"/>
          <w:color w:val="auto"/>
          <w:sz w:val="30"/>
          <w:highlight w:val="none"/>
          <w:u w:val="none" w:color="auto"/>
        </w:rPr>
        <w:sectPr>
          <w:pgSz w:w="16838" w:h="11906" w:orient="landscape"/>
          <w:pgMar w:top="1531" w:right="1701" w:bottom="1531" w:left="1701" w:header="851" w:footer="1077" w:gutter="0"/>
          <w:cols w:space="720" w:num="1"/>
          <w:docGrid w:linePitch="312" w:charSpace="0"/>
        </w:sectPr>
      </w:pPr>
      <w:r>
        <w:rPr>
          <w:rFonts w:hint="default" w:ascii="Times New Roman" w:hAnsi="Times New Roman" w:cs="Times New Roman"/>
          <w:color w:val="auto"/>
          <w:highlight w:val="none"/>
          <w:u w:val="none" w:color="auto"/>
        </w:rPr>
        <w:t>综上所述，项目建设符合“三线一单”分区管控要求。</w:t>
      </w:r>
      <w:bookmarkEnd w:id="8"/>
      <w:bookmarkEnd w:id="9"/>
    </w:p>
    <w:p w14:paraId="44B12DC3">
      <w:pPr>
        <w:pStyle w:val="34"/>
        <w:spacing w:line="360" w:lineRule="auto"/>
        <w:ind w:firstLine="480"/>
        <w:rPr>
          <w:rFonts w:hint="default" w:ascii="Times New Roman" w:hAnsi="Times New Roman" w:cs="Times New Roman"/>
          <w:color w:val="auto"/>
          <w:sz w:val="24"/>
          <w:highlight w:val="none"/>
          <w:u w:val="none" w:color="auto"/>
        </w:rPr>
      </w:pPr>
    </w:p>
    <w:p w14:paraId="75FEDCB9">
      <w:pPr>
        <w:pStyle w:val="2"/>
        <w:ind w:left="0" w:firstLine="0"/>
        <w:rPr>
          <w:rFonts w:hint="default" w:ascii="Times New Roman" w:hAnsi="Times New Roman" w:cs="Times New Roman"/>
          <w:color w:val="auto"/>
          <w:highlight w:val="none"/>
          <w:u w:val="none" w:color="auto"/>
        </w:rPr>
      </w:pPr>
      <w:bookmarkStart w:id="10" w:name="_Toc12022"/>
      <w:bookmarkStart w:id="11" w:name="_Toc31340"/>
      <w:bookmarkStart w:id="12" w:name="_Toc19818"/>
      <w:bookmarkStart w:id="13" w:name="_Toc18476"/>
      <w:bookmarkStart w:id="14" w:name="_Toc18080"/>
      <w:bookmarkStart w:id="15" w:name="_Toc20691"/>
      <w:r>
        <w:rPr>
          <w:rFonts w:hint="default" w:ascii="Times New Roman" w:hAnsi="Times New Roman" w:cs="Times New Roman"/>
          <w:color w:val="auto"/>
          <w:highlight w:val="none"/>
          <w:u w:val="none" w:color="auto"/>
        </w:rPr>
        <w:t>二、建设项目工程分析</w:t>
      </w:r>
      <w:bookmarkEnd w:id="10"/>
      <w:bookmarkEnd w:id="11"/>
      <w:bookmarkEnd w:id="12"/>
      <w:bookmarkEnd w:id="13"/>
      <w:bookmarkEnd w:id="14"/>
      <w:bookmarkEnd w:id="15"/>
    </w:p>
    <w:tbl>
      <w:tblPr>
        <w:tblStyle w:val="3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99"/>
        <w:gridCol w:w="8362"/>
      </w:tblGrid>
      <w:tr w14:paraId="58B92A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51" w:hRule="atLeast"/>
          <w:jc w:val="center"/>
        </w:trPr>
        <w:tc>
          <w:tcPr>
            <w:tcW w:w="386" w:type="pct"/>
            <w:noWrap w:val="0"/>
            <w:vAlign w:val="center"/>
          </w:tcPr>
          <w:p w14:paraId="362EC9C9">
            <w:pPr>
              <w:pStyle w:val="32"/>
              <w:adjustRightInd w:val="0"/>
              <w:snapToGrid w:val="0"/>
              <w:spacing w:before="0" w:beforeAutospacing="0" w:after="0" w:afterAutospacing="0"/>
              <w:jc w:val="center"/>
              <w:rPr>
                <w:rFonts w:hint="default" w:ascii="Times New Roman" w:hAnsi="Times New Roman" w:cs="Times New Roman"/>
                <w:color w:val="auto"/>
                <w:szCs w:val="24"/>
                <w:highlight w:val="none"/>
                <w:u w:val="none" w:color="auto"/>
              </w:rPr>
            </w:pPr>
            <w:r>
              <w:rPr>
                <w:rFonts w:hint="default" w:ascii="Times New Roman" w:hAnsi="Times New Roman" w:cs="Times New Roman"/>
                <w:color w:val="auto"/>
                <w:szCs w:val="24"/>
                <w:highlight w:val="none"/>
                <w:u w:val="none" w:color="auto"/>
              </w:rPr>
              <w:t>建设内容</w:t>
            </w:r>
          </w:p>
        </w:tc>
        <w:tc>
          <w:tcPr>
            <w:tcW w:w="4613" w:type="pct"/>
            <w:noWrap w:val="0"/>
            <w:vAlign w:val="top"/>
          </w:tcPr>
          <w:p w14:paraId="1EE15357">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olor w:val="auto"/>
                <w:sz w:val="24"/>
                <w:szCs w:val="24"/>
                <w:highlight w:val="none"/>
                <w:u w:val="none" w:color="auto"/>
              </w:rPr>
            </w:pPr>
            <w:r>
              <w:rPr>
                <w:rFonts w:hint="default" w:ascii="Times New Roman" w:hAnsi="Times New Roman" w:eastAsia="宋体" w:cs="Times New Roman"/>
                <w:b/>
                <w:color w:val="auto"/>
                <w:sz w:val="24"/>
                <w:szCs w:val="24"/>
                <w:highlight w:val="none"/>
                <w:u w:val="none" w:color="auto"/>
              </w:rPr>
              <w:t>1、项目由来</w:t>
            </w:r>
          </w:p>
          <w:p w14:paraId="525922B3">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lang w:val="en-US" w:eastAsia="zh-CN"/>
              </w:rPr>
              <w:t>河南省</w:t>
            </w:r>
            <w:r>
              <w:rPr>
                <w:rFonts w:hint="default" w:ascii="Times New Roman" w:hAnsi="Times New Roman" w:eastAsia="宋体" w:cs="Times New Roman"/>
                <w:color w:val="auto"/>
                <w:sz w:val="24"/>
                <w:szCs w:val="24"/>
                <w:highlight w:val="none"/>
                <w:u w:val="none" w:color="auto"/>
              </w:rPr>
              <w:t>人民政府办公厅关于印发《河南省“十四五”教育事业发展规划》文中指出：</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要巩固提升高中阶段教育普及水平。推进普通高中教育和中等职业教育协调发展，保持普职比大体相当。继续实施普通高中改造计划，推进普通高中标准化建设，努力消除大班额、超大班额，为新课程改革实施提供保障。重点推动县域普通高中质量提升，创新人才培养模式，引导</w:t>
            </w:r>
            <w:r>
              <w:rPr>
                <w:rFonts w:hint="default" w:ascii="Times New Roman" w:hAnsi="Times New Roman" w:eastAsia="宋体" w:cs="Times New Roman"/>
                <w:color w:val="auto"/>
                <w:sz w:val="24"/>
                <w:szCs w:val="24"/>
                <w:highlight w:val="none"/>
                <w:u w:val="none" w:color="auto"/>
                <w:lang w:val="en-US" w:eastAsia="zh-CN"/>
              </w:rPr>
              <w:t>学校自主特色发展，构建良好育人生态，逐步形成优质化、多元化、特色化普通高中发展格局”</w:t>
            </w:r>
            <w:r>
              <w:rPr>
                <w:rFonts w:hint="default" w:ascii="Times New Roman" w:hAnsi="Times New Roman" w:eastAsia="宋体" w:cs="Times New Roman"/>
                <w:color w:val="auto"/>
                <w:sz w:val="24"/>
                <w:szCs w:val="24"/>
                <w:highlight w:val="none"/>
                <w:u w:val="none" w:color="auto"/>
              </w:rPr>
              <w:t>，项目的实施进一步</w:t>
            </w:r>
            <w:r>
              <w:rPr>
                <w:rFonts w:hint="default" w:ascii="Times New Roman" w:hAnsi="Times New Roman" w:eastAsia="宋体" w:cs="Times New Roman"/>
                <w:color w:val="auto"/>
                <w:sz w:val="24"/>
                <w:szCs w:val="24"/>
                <w:highlight w:val="none"/>
                <w:u w:val="none" w:color="auto"/>
                <w:lang w:val="en-US" w:eastAsia="zh-CN"/>
              </w:rPr>
              <w:t>消除</w:t>
            </w:r>
            <w:r>
              <w:rPr>
                <w:rFonts w:hint="default" w:ascii="Times New Roman" w:hAnsi="Times New Roman" w:eastAsia="宋体" w:cs="Times New Roman"/>
                <w:color w:val="auto"/>
                <w:sz w:val="24"/>
                <w:szCs w:val="24"/>
                <w:highlight w:val="none"/>
                <w:u w:val="none" w:color="auto"/>
              </w:rPr>
              <w:t>大班额</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lang w:val="en-US" w:eastAsia="zh-CN"/>
              </w:rPr>
              <w:t>减小学校规模条件与现代化教育差距</w:t>
            </w:r>
            <w:r>
              <w:rPr>
                <w:rFonts w:hint="default" w:ascii="Times New Roman" w:hAnsi="Times New Roman" w:eastAsia="宋体" w:cs="Times New Roman"/>
                <w:color w:val="auto"/>
                <w:sz w:val="24"/>
                <w:szCs w:val="24"/>
                <w:highlight w:val="none"/>
                <w:u w:val="none" w:color="auto"/>
              </w:rPr>
              <w:t>。</w:t>
            </w:r>
          </w:p>
          <w:p w14:paraId="49A364FC">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镇平县雪枫中学于2017年11月24日已取得镇平县环境保护局关于《镇平县雪枫中学教学楼、实验楼建设项目环境影响报告表》的批复（批复文号：宛镇环审[2017]71号），但因资金问题，直至现在仍未进行建设，现有校区目前正常运行，因此，本项目拟在现有校区西侧新建1座综合楼以及1座实验楼，项目建成后可促进镇平县教育服务高质量发展。</w:t>
            </w:r>
          </w:p>
          <w:p w14:paraId="14355549">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根据《中华人民共和国环境影响评价法》和国务院令第682号《建设项目环境保护管理条例》有关规定，该项目需进行环境影响评价工作。受</w:t>
            </w:r>
            <w:r>
              <w:rPr>
                <w:rFonts w:hint="default" w:ascii="Times New Roman" w:hAnsi="Times New Roman" w:eastAsia="宋体" w:cs="Times New Roman"/>
                <w:color w:val="auto"/>
                <w:sz w:val="24"/>
                <w:szCs w:val="24"/>
                <w:highlight w:val="none"/>
                <w:u w:val="none" w:color="auto"/>
                <w:lang w:val="en-US" w:eastAsia="zh-CN"/>
              </w:rPr>
              <w:t>镇平县教育体育局</w:t>
            </w:r>
            <w:r>
              <w:rPr>
                <w:rFonts w:hint="default" w:ascii="Times New Roman" w:hAnsi="Times New Roman" w:eastAsia="宋体" w:cs="Times New Roman"/>
                <w:color w:val="auto"/>
                <w:sz w:val="24"/>
                <w:szCs w:val="24"/>
                <w:highlight w:val="none"/>
                <w:u w:val="none" w:color="auto"/>
              </w:rPr>
              <w:t>委托，我公司承担了该项目的环境影响评价工作。经比对《建设项目环境影响评价分类管理名录（2021年版）》（中华人民共和国生态环境部令第16号），本项目属于</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五十、社会事业与服务业</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中</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110、学校、福利院、养老院（建筑面积5000平方米及以上的）</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中的</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新建涉及环境敏感区的</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有化学、生物实验室的学校</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类别，应编制环境影响报告表。</w:t>
            </w:r>
          </w:p>
          <w:p w14:paraId="35E38EBF">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评价单位在现场踏勘、资料收集、充分类比分析等工作的基础上，按照《建设项目环境影响报告表编制技术指南（污染影响类）（试行）》相关要求，编制完成了本项目的环境影响报告表。</w:t>
            </w:r>
          </w:p>
          <w:p w14:paraId="643F7F74">
            <w:pPr>
              <w:keepNext w:val="0"/>
              <w:keepLines w:val="0"/>
              <w:pageBreakBefore w:val="0"/>
              <w:widowControl w:val="0"/>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auto"/>
                <w:sz w:val="24"/>
                <w:szCs w:val="24"/>
                <w:highlight w:val="none"/>
                <w:u w:val="none" w:color="auto"/>
                <w:lang w:val="en-US" w:eastAsia="zh-CN"/>
              </w:rPr>
            </w:pPr>
            <w:r>
              <w:rPr>
                <w:rFonts w:hint="default" w:ascii="Times New Roman" w:hAnsi="Times New Roman" w:eastAsia="宋体" w:cs="Times New Roman"/>
                <w:b/>
                <w:bCs/>
                <w:color w:val="auto"/>
                <w:sz w:val="24"/>
                <w:szCs w:val="24"/>
                <w:highlight w:val="none"/>
                <w:u w:val="none" w:color="auto"/>
              </w:rPr>
              <w:t>2、</w:t>
            </w:r>
            <w:r>
              <w:rPr>
                <w:rFonts w:hint="default" w:ascii="Times New Roman" w:hAnsi="Times New Roman" w:eastAsia="宋体" w:cs="Times New Roman"/>
                <w:b/>
                <w:bCs/>
                <w:color w:val="auto"/>
                <w:sz w:val="24"/>
                <w:szCs w:val="24"/>
                <w:highlight w:val="none"/>
                <w:u w:val="none" w:color="auto"/>
                <w:lang w:val="en-US" w:eastAsia="zh-CN"/>
              </w:rPr>
              <w:t>项目概况</w:t>
            </w:r>
          </w:p>
          <w:p w14:paraId="59865EE8">
            <w:pPr>
              <w:pStyle w:val="170"/>
              <w:keepNext w:val="0"/>
              <w:keepLines w:val="0"/>
              <w:pageBreakBefore w:val="0"/>
              <w:widowControl w:val="0"/>
              <w:kinsoku/>
              <w:wordWrap/>
              <w:overflowPunct/>
              <w:topLinePunct w:val="0"/>
              <w:autoSpaceDE/>
              <w:autoSpaceDN/>
              <w:bidi w:val="0"/>
              <w:adjustRightInd/>
              <w:snapToGrid/>
              <w:spacing w:line="360" w:lineRule="auto"/>
              <w:ind w:left="0" w:firstLine="472"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2"/>
                <w:sz w:val="24"/>
                <w:szCs w:val="24"/>
                <w:u w:val="none" w:color="auto"/>
              </w:rPr>
              <w:t>本项目基本情况见</w:t>
            </w:r>
            <w:r>
              <w:rPr>
                <w:rFonts w:hint="default" w:ascii="Times New Roman" w:hAnsi="Times New Roman" w:eastAsia="宋体" w:cs="Times New Roman"/>
                <w:color w:val="auto"/>
                <w:spacing w:val="-2"/>
                <w:sz w:val="24"/>
                <w:szCs w:val="24"/>
                <w:u w:val="none" w:color="auto"/>
                <w:lang w:val="en-US" w:eastAsia="zh-CN"/>
              </w:rPr>
              <w:t>下表</w:t>
            </w:r>
            <w:r>
              <w:rPr>
                <w:rFonts w:hint="default" w:ascii="Times New Roman" w:hAnsi="Times New Roman" w:eastAsia="宋体" w:cs="Times New Roman"/>
                <w:color w:val="auto"/>
                <w:spacing w:val="-2"/>
                <w:sz w:val="24"/>
                <w:szCs w:val="24"/>
                <w:u w:val="none" w:color="auto"/>
              </w:rPr>
              <w:t>。</w:t>
            </w:r>
          </w:p>
          <w:p w14:paraId="27C2E8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highlight w:val="none"/>
                <w:u w:val="none" w:color="auto"/>
              </w:rPr>
            </w:pPr>
            <w:r>
              <w:rPr>
                <w:rFonts w:hint="default" w:ascii="Times New Roman" w:hAnsi="Times New Roman" w:eastAsia="宋体" w:cs="Times New Roman"/>
                <w:b/>
                <w:bCs/>
                <w:color w:val="auto"/>
                <w:sz w:val="24"/>
                <w:highlight w:val="none"/>
                <w:u w:val="none" w:color="auto"/>
              </w:rPr>
              <w:t>表 2-1        项目建设情况一览表</w:t>
            </w:r>
          </w:p>
          <w:tbl>
            <w:tblPr>
              <w:tblStyle w:val="172"/>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43"/>
              <w:gridCol w:w="6996"/>
            </w:tblGrid>
            <w:tr w14:paraId="4640FB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702" w:type="pct"/>
                  <w:vAlign w:val="center"/>
                </w:tcPr>
                <w:p w14:paraId="57968ED1">
                  <w:pPr>
                    <w:pStyle w:val="17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6"/>
                      <w:sz w:val="21"/>
                      <w:szCs w:val="21"/>
                      <w:u w:val="none" w:color="auto"/>
                    </w:rPr>
                    <w:t>项目名称</w:t>
                  </w:r>
                </w:p>
              </w:tc>
              <w:tc>
                <w:tcPr>
                  <w:tcW w:w="4297" w:type="pct"/>
                  <w:vAlign w:val="center"/>
                </w:tcPr>
                <w:p w14:paraId="28DBE8E8">
                  <w:pPr>
                    <w:pStyle w:val="17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镇平县雪枫中学扩建项目</w:t>
                  </w:r>
                </w:p>
              </w:tc>
            </w:tr>
            <w:tr w14:paraId="4E02BF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702" w:type="pct"/>
                  <w:vAlign w:val="center"/>
                </w:tcPr>
                <w:p w14:paraId="73F4BDBB">
                  <w:pPr>
                    <w:pStyle w:val="17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6"/>
                      <w:sz w:val="21"/>
                      <w:szCs w:val="21"/>
                      <w:u w:val="none" w:color="auto"/>
                    </w:rPr>
                    <w:t>建设单位</w:t>
                  </w:r>
                </w:p>
              </w:tc>
              <w:tc>
                <w:tcPr>
                  <w:tcW w:w="4297" w:type="pct"/>
                  <w:vAlign w:val="center"/>
                </w:tcPr>
                <w:p w14:paraId="4703D209">
                  <w:pPr>
                    <w:pStyle w:val="17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镇平县教育体育局</w:t>
                  </w:r>
                </w:p>
              </w:tc>
            </w:tr>
            <w:tr w14:paraId="602C11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702" w:type="pct"/>
                  <w:vAlign w:val="center"/>
                </w:tcPr>
                <w:p w14:paraId="68650A83">
                  <w:pPr>
                    <w:pStyle w:val="17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6"/>
                      <w:sz w:val="21"/>
                      <w:szCs w:val="21"/>
                      <w:u w:val="none" w:color="auto"/>
                    </w:rPr>
                    <w:t>建设性质</w:t>
                  </w:r>
                </w:p>
              </w:tc>
              <w:tc>
                <w:tcPr>
                  <w:tcW w:w="4297" w:type="pct"/>
                  <w:vAlign w:val="center"/>
                </w:tcPr>
                <w:p w14:paraId="4058BBD9">
                  <w:pPr>
                    <w:pStyle w:val="17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pacing w:val="4"/>
                      <w:sz w:val="21"/>
                      <w:szCs w:val="21"/>
                      <w:u w:val="none" w:color="auto"/>
                      <w:lang w:val="en-US" w:eastAsia="zh-CN"/>
                    </w:rPr>
                    <w:t>扩建</w:t>
                  </w:r>
                </w:p>
              </w:tc>
            </w:tr>
            <w:tr w14:paraId="668D1C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702" w:type="pct"/>
                  <w:vAlign w:val="center"/>
                </w:tcPr>
                <w:p w14:paraId="22B0D787">
                  <w:pPr>
                    <w:pStyle w:val="17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6"/>
                      <w:sz w:val="21"/>
                      <w:szCs w:val="21"/>
                      <w:u w:val="none" w:color="auto"/>
                    </w:rPr>
                    <w:t>行业类别</w:t>
                  </w:r>
                </w:p>
              </w:tc>
              <w:tc>
                <w:tcPr>
                  <w:tcW w:w="4297" w:type="pct"/>
                  <w:vAlign w:val="center"/>
                </w:tcPr>
                <w:p w14:paraId="05AFD94F">
                  <w:pPr>
                    <w:pStyle w:val="17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6"/>
                      <w:sz w:val="21"/>
                      <w:szCs w:val="21"/>
                      <w:u w:val="none" w:color="auto"/>
                    </w:rPr>
                    <w:t>普通高中教育（P8334）</w:t>
                  </w:r>
                </w:p>
              </w:tc>
            </w:tr>
            <w:tr w14:paraId="7F547C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702" w:type="pct"/>
                  <w:vAlign w:val="center"/>
                </w:tcPr>
                <w:p w14:paraId="4740CA8B">
                  <w:pPr>
                    <w:pStyle w:val="17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6"/>
                      <w:sz w:val="21"/>
                      <w:szCs w:val="21"/>
                      <w:u w:val="none" w:color="auto"/>
                    </w:rPr>
                    <w:t>建设地点</w:t>
                  </w:r>
                </w:p>
              </w:tc>
              <w:tc>
                <w:tcPr>
                  <w:tcW w:w="4297" w:type="pct"/>
                  <w:vAlign w:val="center"/>
                </w:tcPr>
                <w:p w14:paraId="4E888D86">
                  <w:pPr>
                    <w:pStyle w:val="17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镇平县涅阳街道中山街东段北侧，镇平县雪枫中学西侧</w:t>
                  </w:r>
                </w:p>
              </w:tc>
            </w:tr>
            <w:tr w14:paraId="5B7567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702" w:type="pct"/>
                  <w:vAlign w:val="center"/>
                </w:tcPr>
                <w:p w14:paraId="6D2556D4">
                  <w:pPr>
                    <w:pStyle w:val="17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6"/>
                      <w:sz w:val="21"/>
                      <w:szCs w:val="21"/>
                      <w:u w:val="none" w:color="auto"/>
                    </w:rPr>
                    <w:t>投资总额</w:t>
                  </w:r>
                </w:p>
              </w:tc>
              <w:tc>
                <w:tcPr>
                  <w:tcW w:w="4297" w:type="pct"/>
                  <w:vAlign w:val="center"/>
                </w:tcPr>
                <w:p w14:paraId="4CFB9214">
                  <w:pPr>
                    <w:pStyle w:val="17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5"/>
                      <w:sz w:val="21"/>
                      <w:szCs w:val="21"/>
                      <w:highlight w:val="none"/>
                      <w:u w:val="none" w:color="auto"/>
                    </w:rPr>
                    <w:t>项目总投资</w:t>
                  </w:r>
                  <w:r>
                    <w:rPr>
                      <w:rFonts w:hint="default" w:ascii="Times New Roman" w:hAnsi="Times New Roman" w:eastAsia="宋体" w:cs="Times New Roman"/>
                      <w:color w:val="auto"/>
                      <w:spacing w:val="5"/>
                      <w:sz w:val="21"/>
                      <w:szCs w:val="21"/>
                      <w:highlight w:val="none"/>
                      <w:u w:val="none" w:color="auto"/>
                      <w:lang w:val="en-US" w:eastAsia="zh-CN"/>
                    </w:rPr>
                    <w:t>6440.06</w:t>
                  </w:r>
                  <w:r>
                    <w:rPr>
                      <w:rFonts w:hint="default" w:ascii="Times New Roman" w:hAnsi="Times New Roman" w:eastAsia="宋体" w:cs="Times New Roman"/>
                      <w:color w:val="auto"/>
                      <w:spacing w:val="5"/>
                      <w:sz w:val="21"/>
                      <w:szCs w:val="21"/>
                      <w:highlight w:val="none"/>
                      <w:u w:val="none" w:color="auto"/>
                    </w:rPr>
                    <w:t>万元，其中环保投资</w:t>
                  </w:r>
                  <w:r>
                    <w:rPr>
                      <w:rFonts w:hint="default" w:ascii="Times New Roman" w:hAnsi="Times New Roman" w:eastAsia="宋体" w:cs="Times New Roman"/>
                      <w:color w:val="auto"/>
                      <w:spacing w:val="5"/>
                      <w:sz w:val="21"/>
                      <w:szCs w:val="21"/>
                      <w:highlight w:val="none"/>
                      <w:u w:val="none" w:color="auto"/>
                      <w:lang w:val="en-US" w:eastAsia="zh-CN"/>
                    </w:rPr>
                    <w:t>120</w:t>
                  </w:r>
                  <w:r>
                    <w:rPr>
                      <w:rFonts w:hint="default" w:ascii="Times New Roman" w:hAnsi="Times New Roman" w:eastAsia="宋体" w:cs="Times New Roman"/>
                      <w:color w:val="auto"/>
                      <w:spacing w:val="4"/>
                      <w:sz w:val="21"/>
                      <w:szCs w:val="21"/>
                      <w:highlight w:val="none"/>
                      <w:u w:val="none" w:color="auto"/>
                    </w:rPr>
                    <w:t>万元，占项目总投资的</w:t>
                  </w:r>
                  <w:r>
                    <w:rPr>
                      <w:rFonts w:hint="default" w:ascii="Times New Roman" w:hAnsi="Times New Roman" w:eastAsia="宋体" w:cs="Times New Roman"/>
                      <w:color w:val="auto"/>
                      <w:spacing w:val="-43"/>
                      <w:sz w:val="21"/>
                      <w:szCs w:val="21"/>
                      <w:highlight w:val="none"/>
                      <w:u w:val="none" w:color="auto"/>
                    </w:rPr>
                    <w:t xml:space="preserve"> </w:t>
                  </w:r>
                  <w:r>
                    <w:rPr>
                      <w:rFonts w:hint="default" w:ascii="Times New Roman" w:hAnsi="Times New Roman" w:eastAsia="宋体" w:cs="Times New Roman"/>
                      <w:color w:val="auto"/>
                      <w:spacing w:val="4"/>
                      <w:sz w:val="21"/>
                      <w:szCs w:val="21"/>
                      <w:highlight w:val="none"/>
                      <w:u w:val="none" w:color="auto"/>
                      <w:lang w:val="en-US" w:eastAsia="zh-CN"/>
                    </w:rPr>
                    <w:t>1.9</w:t>
                  </w:r>
                  <w:r>
                    <w:rPr>
                      <w:rFonts w:hint="default" w:ascii="Times New Roman" w:hAnsi="Times New Roman" w:eastAsia="宋体" w:cs="Times New Roman"/>
                      <w:color w:val="auto"/>
                      <w:spacing w:val="4"/>
                      <w:sz w:val="21"/>
                      <w:szCs w:val="21"/>
                      <w:highlight w:val="none"/>
                      <w:u w:val="none" w:color="auto"/>
                    </w:rPr>
                    <w:t>%。</w:t>
                  </w:r>
                </w:p>
              </w:tc>
            </w:tr>
          </w:tbl>
          <w:p w14:paraId="54C7DCD9">
            <w:pPr>
              <w:spacing w:line="360" w:lineRule="auto"/>
              <w:ind w:firstLine="482" w:firstLineChars="200"/>
              <w:rPr>
                <w:rFonts w:hint="default" w:ascii="Times New Roman" w:hAnsi="Times New Roman" w:cs="Times New Roman"/>
                <w:b/>
                <w:bCs/>
                <w:color w:val="auto"/>
                <w:sz w:val="24"/>
                <w:highlight w:val="none"/>
                <w:u w:val="none" w:color="auto"/>
              </w:rPr>
            </w:pPr>
            <w:r>
              <w:rPr>
                <w:rFonts w:hint="default" w:ascii="Times New Roman" w:hAnsi="Times New Roman" w:cs="Times New Roman"/>
                <w:b/>
                <w:bCs/>
                <w:color w:val="auto"/>
                <w:sz w:val="24"/>
                <w:highlight w:val="none"/>
                <w:u w:val="none" w:color="auto"/>
              </w:rPr>
              <w:t>3、建设内容</w:t>
            </w:r>
          </w:p>
          <w:p w14:paraId="08AB2929">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本项目</w:t>
            </w:r>
            <w:r>
              <w:rPr>
                <w:rFonts w:hint="eastAsia" w:cs="Times New Roman"/>
                <w:color w:val="auto"/>
                <w:sz w:val="24"/>
                <w:highlight w:val="none"/>
                <w:u w:val="none" w:color="auto"/>
                <w:lang w:val="en-US" w:eastAsia="zh-CN"/>
              </w:rPr>
              <w:t>建设内容</w:t>
            </w:r>
            <w:r>
              <w:rPr>
                <w:rFonts w:hint="default" w:ascii="Times New Roman" w:hAnsi="Times New Roman" w:cs="Times New Roman"/>
                <w:color w:val="auto"/>
                <w:sz w:val="24"/>
                <w:highlight w:val="none"/>
                <w:u w:val="none" w:color="auto"/>
              </w:rPr>
              <w:t>见下表。</w:t>
            </w:r>
          </w:p>
          <w:p w14:paraId="73F4D7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highlight w:val="none"/>
                <w:u w:val="none" w:color="auto"/>
                <w:lang w:val="en-US" w:eastAsia="zh-CN"/>
              </w:rPr>
            </w:pPr>
            <w:r>
              <w:rPr>
                <w:rFonts w:hint="default" w:ascii="Times New Roman" w:hAnsi="Times New Roman" w:eastAsia="宋体" w:cs="Times New Roman"/>
                <w:b/>
                <w:bCs/>
                <w:color w:val="auto"/>
                <w:sz w:val="24"/>
                <w:highlight w:val="none"/>
                <w:u w:val="none" w:color="auto"/>
                <w:lang w:val="en-US" w:eastAsia="zh-CN"/>
              </w:rPr>
              <w:t>表2-</w:t>
            </w:r>
            <w:r>
              <w:rPr>
                <w:rFonts w:hint="eastAsia" w:ascii="Times New Roman" w:hAnsi="Times New Roman" w:eastAsia="宋体" w:cs="Times New Roman"/>
                <w:b/>
                <w:bCs/>
                <w:color w:val="auto"/>
                <w:sz w:val="24"/>
                <w:highlight w:val="none"/>
                <w:u w:val="none" w:color="auto"/>
                <w:lang w:val="en-US" w:eastAsia="zh-CN"/>
              </w:rPr>
              <w:t>2</w:t>
            </w:r>
            <w:r>
              <w:rPr>
                <w:rFonts w:hint="default" w:ascii="Times New Roman" w:hAnsi="Times New Roman" w:eastAsia="宋体" w:cs="Times New Roman"/>
                <w:b/>
                <w:bCs/>
                <w:color w:val="auto"/>
                <w:sz w:val="24"/>
                <w:highlight w:val="none"/>
                <w:u w:val="none" w:color="auto"/>
                <w:lang w:val="en-US" w:eastAsia="zh-CN"/>
              </w:rPr>
              <w:t xml:space="preserve">      项目主要建设内容一览表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0"/>
              <w:gridCol w:w="468"/>
              <w:gridCol w:w="453"/>
              <w:gridCol w:w="453"/>
              <w:gridCol w:w="475"/>
              <w:gridCol w:w="703"/>
              <w:gridCol w:w="1094"/>
              <w:gridCol w:w="658"/>
              <w:gridCol w:w="736"/>
              <w:gridCol w:w="2193"/>
              <w:gridCol w:w="453"/>
            </w:tblGrid>
            <w:tr w14:paraId="20902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restart"/>
                  <w:noWrap w:val="0"/>
                  <w:vAlign w:val="center"/>
                </w:tcPr>
                <w:p w14:paraId="4E9B9BDA">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eastAsia="zh-CN"/>
                    </w:rPr>
                  </w:pPr>
                  <w:r>
                    <w:rPr>
                      <w:rFonts w:hint="default" w:ascii="Times New Roman" w:hAnsi="Times New Roman" w:eastAsia="宋体" w:cs="Times New Roman"/>
                      <w:bCs/>
                      <w:color w:val="auto"/>
                      <w:sz w:val="21"/>
                      <w:szCs w:val="21"/>
                      <w:highlight w:val="none"/>
                      <w:u w:val="none" w:color="auto"/>
                      <w:lang w:val="en-US" w:eastAsia="zh-CN"/>
                    </w:rPr>
                    <w:t>分类</w:t>
                  </w:r>
                </w:p>
              </w:tc>
              <w:tc>
                <w:tcPr>
                  <w:tcW w:w="288" w:type="pct"/>
                  <w:vMerge w:val="restart"/>
                  <w:noWrap w:val="0"/>
                  <w:vAlign w:val="center"/>
                </w:tcPr>
                <w:p w14:paraId="02F1C075">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名称</w:t>
                  </w:r>
                </w:p>
              </w:tc>
              <w:tc>
                <w:tcPr>
                  <w:tcW w:w="1280" w:type="pct"/>
                  <w:gridSpan w:val="4"/>
                  <w:vMerge w:val="restart"/>
                  <w:noWrap w:val="0"/>
                  <w:vAlign w:val="center"/>
                </w:tcPr>
                <w:p w14:paraId="79774CCA">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spacing w:val="-2"/>
                      <w:sz w:val="21"/>
                      <w:szCs w:val="21"/>
                      <w:highlight w:val="none"/>
                      <w:u w:val="none" w:color="auto"/>
                    </w:rPr>
                  </w:pPr>
                  <w:r>
                    <w:rPr>
                      <w:rFonts w:hint="default" w:ascii="Times New Roman" w:hAnsi="Times New Roman" w:eastAsia="宋体" w:cs="Times New Roman"/>
                      <w:color w:val="auto"/>
                      <w:spacing w:val="-2"/>
                      <w:sz w:val="21"/>
                      <w:szCs w:val="21"/>
                      <w:highlight w:val="none"/>
                      <w:u w:val="none" w:color="auto"/>
                    </w:rPr>
                    <w:t>建筑内容</w:t>
                  </w:r>
                </w:p>
              </w:tc>
              <w:tc>
                <w:tcPr>
                  <w:tcW w:w="672" w:type="pct"/>
                  <w:vMerge w:val="restart"/>
                  <w:noWrap w:val="0"/>
                  <w:vAlign w:val="center"/>
                </w:tcPr>
                <w:p w14:paraId="5E2468CB">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right="0" w:rightChars="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pacing w:val="-3"/>
                      <w:sz w:val="21"/>
                      <w:szCs w:val="21"/>
                      <w:highlight w:val="none"/>
                      <w:u w:val="none" w:color="auto"/>
                    </w:rPr>
                    <w:t>建筑面积</w:t>
                  </w:r>
                  <w:r>
                    <w:rPr>
                      <w:rFonts w:hint="default" w:ascii="Times New Roman" w:hAnsi="Times New Roman" w:eastAsia="宋体" w:cs="Times New Roman"/>
                      <w:color w:val="auto"/>
                      <w:spacing w:val="-49"/>
                      <w:sz w:val="21"/>
                      <w:szCs w:val="21"/>
                      <w:highlight w:val="none"/>
                      <w:u w:val="none" w:color="auto"/>
                    </w:rPr>
                    <w:t xml:space="preserve"> </w:t>
                  </w:r>
                  <w:r>
                    <w:rPr>
                      <w:rFonts w:hint="default" w:ascii="Times New Roman" w:hAnsi="Times New Roman" w:eastAsia="宋体" w:cs="Times New Roman"/>
                      <w:color w:val="auto"/>
                      <w:spacing w:val="-3"/>
                      <w:sz w:val="21"/>
                      <w:szCs w:val="21"/>
                      <w:highlight w:val="none"/>
                      <w:u w:val="none" w:color="auto"/>
                    </w:rPr>
                    <w:t>m</w:t>
                  </w:r>
                  <w:r>
                    <w:rPr>
                      <w:rFonts w:hint="default" w:ascii="Times New Roman" w:hAnsi="Times New Roman" w:eastAsia="宋体" w:cs="Times New Roman"/>
                      <w:color w:val="auto"/>
                      <w:spacing w:val="-3"/>
                      <w:sz w:val="21"/>
                      <w:szCs w:val="21"/>
                      <w:highlight w:val="none"/>
                      <w:u w:val="none" w:color="auto"/>
                      <w:vertAlign w:val="superscript"/>
                      <w:lang w:val="en-US" w:eastAsia="zh-CN"/>
                    </w:rPr>
                    <w:t>2</w:t>
                  </w:r>
                </w:p>
              </w:tc>
              <w:tc>
                <w:tcPr>
                  <w:tcW w:w="2203" w:type="pct"/>
                  <w:gridSpan w:val="3"/>
                  <w:noWrap w:val="0"/>
                  <w:vAlign w:val="center"/>
                </w:tcPr>
                <w:p w14:paraId="17B856F2">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spacing w:val="-3"/>
                      <w:sz w:val="21"/>
                      <w:szCs w:val="21"/>
                      <w:highlight w:val="none"/>
                      <w:u w:val="none" w:color="auto"/>
                    </w:rPr>
                  </w:pPr>
                  <w:r>
                    <w:rPr>
                      <w:rFonts w:hint="default" w:ascii="Times New Roman" w:hAnsi="Times New Roman" w:eastAsia="宋体" w:cs="Times New Roman"/>
                      <w:color w:val="auto"/>
                      <w:spacing w:val="-3"/>
                      <w:sz w:val="21"/>
                      <w:szCs w:val="21"/>
                      <w:highlight w:val="none"/>
                      <w:u w:val="none" w:color="auto"/>
                    </w:rPr>
                    <w:t>备注</w:t>
                  </w:r>
                </w:p>
              </w:tc>
              <w:tc>
                <w:tcPr>
                  <w:tcW w:w="278" w:type="pct"/>
                  <w:vMerge w:val="restart"/>
                  <w:noWrap w:val="0"/>
                  <w:vAlign w:val="center"/>
                </w:tcPr>
                <w:p w14:paraId="65FFB7ED">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color w:val="auto"/>
                      <w:spacing w:val="-2"/>
                      <w:sz w:val="21"/>
                      <w:szCs w:val="21"/>
                      <w:highlight w:val="none"/>
                      <w:u w:val="none" w:color="auto"/>
                      <w:lang w:eastAsia="zh-CN"/>
                    </w:rPr>
                    <w:t>依托</w:t>
                  </w:r>
                  <w:r>
                    <w:rPr>
                      <w:rFonts w:hint="default" w:ascii="Times New Roman" w:hAnsi="Times New Roman" w:eastAsia="宋体" w:cs="Times New Roman"/>
                      <w:color w:val="auto"/>
                      <w:spacing w:val="-2"/>
                      <w:sz w:val="21"/>
                      <w:szCs w:val="21"/>
                      <w:highlight w:val="none"/>
                      <w:u w:val="none" w:color="auto"/>
                    </w:rPr>
                    <w:t>情况</w:t>
                  </w:r>
                </w:p>
              </w:tc>
            </w:tr>
            <w:tr w14:paraId="7DEBE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0B235BAF">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288" w:type="pct"/>
                  <w:vMerge w:val="continue"/>
                  <w:noWrap w:val="0"/>
                  <w:vAlign w:val="center"/>
                </w:tcPr>
                <w:p w14:paraId="5BF41F8C">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1280" w:type="pct"/>
                  <w:gridSpan w:val="4"/>
                  <w:vMerge w:val="continue"/>
                  <w:noWrap w:val="0"/>
                  <w:vAlign w:val="center"/>
                </w:tcPr>
                <w:p w14:paraId="13205EE7">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672" w:type="pct"/>
                  <w:vMerge w:val="continue"/>
                  <w:noWrap w:val="0"/>
                  <w:vAlign w:val="center"/>
                </w:tcPr>
                <w:p w14:paraId="0F092B6F">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404" w:type="pct"/>
                  <w:noWrap w:val="0"/>
                  <w:vAlign w:val="center"/>
                </w:tcPr>
                <w:p w14:paraId="16CB2241">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现有工程</w:t>
                  </w:r>
                </w:p>
              </w:tc>
              <w:tc>
                <w:tcPr>
                  <w:tcW w:w="452" w:type="pct"/>
                  <w:noWrap w:val="0"/>
                  <w:vAlign w:val="center"/>
                </w:tcPr>
                <w:p w14:paraId="50EA173B">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本次工程</w:t>
                  </w:r>
                </w:p>
              </w:tc>
              <w:tc>
                <w:tcPr>
                  <w:tcW w:w="1345" w:type="pct"/>
                  <w:noWrap w:val="0"/>
                  <w:vAlign w:val="center"/>
                </w:tcPr>
                <w:p w14:paraId="77119247">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扩建后全厂</w:t>
                  </w:r>
                </w:p>
              </w:tc>
              <w:tc>
                <w:tcPr>
                  <w:tcW w:w="278" w:type="pct"/>
                  <w:vMerge w:val="continue"/>
                  <w:noWrap w:val="0"/>
                  <w:vAlign w:val="center"/>
                </w:tcPr>
                <w:p w14:paraId="140E6DF7">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sz w:val="21"/>
                      <w:szCs w:val="21"/>
                      <w:highlight w:val="none"/>
                      <w:u w:val="none" w:color="auto"/>
                    </w:rPr>
                  </w:pPr>
                </w:p>
              </w:tc>
            </w:tr>
            <w:tr w14:paraId="4FB4D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restart"/>
                  <w:noWrap w:val="0"/>
                  <w:vAlign w:val="center"/>
                </w:tcPr>
                <w:p w14:paraId="32C4BB62">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主体工程</w:t>
                  </w:r>
                </w:p>
              </w:tc>
              <w:tc>
                <w:tcPr>
                  <w:tcW w:w="288" w:type="pct"/>
                  <w:noWrap w:val="0"/>
                  <w:vAlign w:val="center"/>
                </w:tcPr>
                <w:p w14:paraId="6264C505">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教学楼</w:t>
                  </w:r>
                </w:p>
              </w:tc>
              <w:tc>
                <w:tcPr>
                  <w:tcW w:w="1280" w:type="pct"/>
                  <w:gridSpan w:val="4"/>
                  <w:noWrap w:val="0"/>
                  <w:vAlign w:val="center"/>
                </w:tcPr>
                <w:p w14:paraId="1BD4026D">
                  <w:pPr>
                    <w:pStyle w:val="170"/>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pacing w:val="4"/>
                      <w:sz w:val="21"/>
                      <w:szCs w:val="21"/>
                      <w:u w:val="none" w:color="auto"/>
                    </w:rPr>
                    <w:t>砖混</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5</w:t>
                  </w:r>
                  <w:r>
                    <w:rPr>
                      <w:rFonts w:hint="default" w:ascii="Times New Roman" w:hAnsi="Times New Roman" w:eastAsia="宋体" w:cs="Times New Roman"/>
                      <w:color w:val="auto"/>
                      <w:sz w:val="21"/>
                      <w:szCs w:val="21"/>
                      <w:u w:val="none" w:color="auto"/>
                      <w:lang w:val="en-US" w:eastAsia="zh-CN"/>
                    </w:rPr>
                    <w:t>层</w:t>
                  </w:r>
                </w:p>
              </w:tc>
              <w:tc>
                <w:tcPr>
                  <w:tcW w:w="672" w:type="pct"/>
                  <w:noWrap w:val="0"/>
                  <w:vAlign w:val="center"/>
                </w:tcPr>
                <w:p w14:paraId="2B4FB34F">
                  <w:pPr>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bCs/>
                      <w:color w:val="auto"/>
                      <w:sz w:val="21"/>
                      <w:szCs w:val="21"/>
                      <w:highlight w:val="none"/>
                      <w:u w:val="none" w:color="auto"/>
                      <w:lang w:val="en-US"/>
                    </w:rPr>
                  </w:pPr>
                  <w:r>
                    <w:rPr>
                      <w:rFonts w:hint="default" w:ascii="Times New Roman" w:hAnsi="Times New Roman" w:eastAsia="宋体" w:cs="Times New Roman"/>
                      <w:color w:val="auto"/>
                      <w:position w:val="2"/>
                      <w:sz w:val="21"/>
                      <w:szCs w:val="21"/>
                      <w:u w:val="none" w:color="auto"/>
                    </w:rPr>
                    <w:t>15570</w:t>
                  </w:r>
                </w:p>
              </w:tc>
              <w:tc>
                <w:tcPr>
                  <w:tcW w:w="404" w:type="pct"/>
                  <w:noWrap w:val="0"/>
                  <w:vAlign w:val="center"/>
                </w:tcPr>
                <w:p w14:paraId="6A042647">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用于教学使用</w:t>
                  </w:r>
                </w:p>
              </w:tc>
              <w:tc>
                <w:tcPr>
                  <w:tcW w:w="452" w:type="pct"/>
                  <w:noWrap w:val="0"/>
                  <w:vAlign w:val="center"/>
                </w:tcPr>
                <w:p w14:paraId="2D161796">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w:t>
                  </w:r>
                </w:p>
              </w:tc>
              <w:tc>
                <w:tcPr>
                  <w:tcW w:w="1345" w:type="pct"/>
                  <w:noWrap w:val="0"/>
                  <w:vAlign w:val="center"/>
                </w:tcPr>
                <w:p w14:paraId="2DCA669C">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用于教学使用</w:t>
                  </w:r>
                </w:p>
              </w:tc>
              <w:tc>
                <w:tcPr>
                  <w:tcW w:w="278" w:type="pct"/>
                  <w:noWrap w:val="0"/>
                  <w:vAlign w:val="center"/>
                </w:tcPr>
                <w:p w14:paraId="678AAA54">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依托现有</w:t>
                  </w:r>
                </w:p>
              </w:tc>
            </w:tr>
            <w:tr w14:paraId="798F3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7B146E97">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noWrap w:val="0"/>
                  <w:vAlign w:val="center"/>
                </w:tcPr>
                <w:p w14:paraId="60BB32F0">
                  <w:pPr>
                    <w:pStyle w:val="170"/>
                    <w:keepNext w:val="0"/>
                    <w:keepLines w:val="0"/>
                    <w:pageBreakBefore w:val="0"/>
                    <w:kinsoku/>
                    <w:wordWrap/>
                    <w:overflowPunct/>
                    <w:topLinePunct w:val="0"/>
                    <w:bidi w:val="0"/>
                    <w:spacing w:line="240" w:lineRule="auto"/>
                    <w:ind w:left="0" w:right="0" w:firstLine="0"/>
                    <w:jc w:val="center"/>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7"/>
                      <w:sz w:val="21"/>
                      <w:szCs w:val="21"/>
                      <w:u w:val="none" w:color="auto"/>
                    </w:rPr>
                    <w:t>行政办公楼</w:t>
                  </w:r>
                </w:p>
              </w:tc>
              <w:tc>
                <w:tcPr>
                  <w:tcW w:w="1280" w:type="pct"/>
                  <w:gridSpan w:val="4"/>
                  <w:noWrap w:val="0"/>
                  <w:vAlign w:val="center"/>
                </w:tcPr>
                <w:p w14:paraId="6999339C">
                  <w:pPr>
                    <w:pStyle w:val="170"/>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pacing w:val="4"/>
                      <w:sz w:val="21"/>
                      <w:szCs w:val="21"/>
                      <w:u w:val="none" w:color="auto"/>
                    </w:rPr>
                    <w:t>砖混</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position w:val="1"/>
                      <w:sz w:val="21"/>
                      <w:szCs w:val="21"/>
                      <w:u w:val="none" w:color="auto"/>
                    </w:rPr>
                    <w:t>3</w:t>
                  </w:r>
                  <w:r>
                    <w:rPr>
                      <w:rFonts w:hint="default" w:ascii="Times New Roman" w:hAnsi="Times New Roman" w:eastAsia="宋体" w:cs="Times New Roman"/>
                      <w:color w:val="auto"/>
                      <w:sz w:val="21"/>
                      <w:szCs w:val="21"/>
                      <w:u w:val="none" w:color="auto"/>
                      <w:lang w:val="en-US" w:eastAsia="zh-CN"/>
                    </w:rPr>
                    <w:t>层</w:t>
                  </w:r>
                </w:p>
              </w:tc>
              <w:tc>
                <w:tcPr>
                  <w:tcW w:w="672" w:type="pct"/>
                  <w:noWrap w:val="0"/>
                  <w:vAlign w:val="center"/>
                </w:tcPr>
                <w:p w14:paraId="0A02305A">
                  <w:pPr>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bCs/>
                      <w:color w:val="auto"/>
                      <w:sz w:val="21"/>
                      <w:szCs w:val="21"/>
                      <w:highlight w:val="none"/>
                      <w:u w:val="none" w:color="auto"/>
                      <w:lang w:val="en-US"/>
                    </w:rPr>
                  </w:pPr>
                  <w:r>
                    <w:rPr>
                      <w:rFonts w:hint="default" w:ascii="Times New Roman" w:hAnsi="Times New Roman" w:eastAsia="宋体" w:cs="Times New Roman"/>
                      <w:color w:val="auto"/>
                      <w:spacing w:val="-1"/>
                      <w:position w:val="1"/>
                      <w:sz w:val="21"/>
                      <w:szCs w:val="21"/>
                      <w:u w:val="none" w:color="auto"/>
                    </w:rPr>
                    <w:t>1671</w:t>
                  </w:r>
                </w:p>
              </w:tc>
              <w:tc>
                <w:tcPr>
                  <w:tcW w:w="404" w:type="pct"/>
                  <w:noWrap w:val="0"/>
                  <w:vAlign w:val="center"/>
                </w:tcPr>
                <w:p w14:paraId="64CCF517">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用于教职工办公使用</w:t>
                  </w:r>
                </w:p>
              </w:tc>
              <w:tc>
                <w:tcPr>
                  <w:tcW w:w="452" w:type="pct"/>
                  <w:noWrap w:val="0"/>
                  <w:vAlign w:val="center"/>
                </w:tcPr>
                <w:p w14:paraId="7527E851">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w:t>
                  </w:r>
                </w:p>
              </w:tc>
              <w:tc>
                <w:tcPr>
                  <w:tcW w:w="1345" w:type="pct"/>
                  <w:noWrap w:val="0"/>
                  <w:vAlign w:val="center"/>
                </w:tcPr>
                <w:p w14:paraId="54EA5F9E">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用于教职工办公使用</w:t>
                  </w:r>
                </w:p>
              </w:tc>
              <w:tc>
                <w:tcPr>
                  <w:tcW w:w="278" w:type="pct"/>
                  <w:noWrap w:val="0"/>
                  <w:vAlign w:val="center"/>
                </w:tcPr>
                <w:p w14:paraId="577ACF3B">
                  <w:pPr>
                    <w:keepNext w:val="0"/>
                    <w:keepLines w:val="0"/>
                    <w:pageBreakBefore w:val="0"/>
                    <w:widowControl w:val="0"/>
                    <w:suppressLineNumbers w:val="0"/>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lang w:val="en-US" w:eastAsia="zh-CN"/>
                    </w:rPr>
                    <w:t>依托现有</w:t>
                  </w:r>
                </w:p>
              </w:tc>
            </w:tr>
            <w:tr w14:paraId="22E52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5E1A7514">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noWrap w:val="0"/>
                  <w:vAlign w:val="center"/>
                </w:tcPr>
                <w:p w14:paraId="105835C0">
                  <w:pPr>
                    <w:pStyle w:val="170"/>
                    <w:keepNext w:val="0"/>
                    <w:keepLines w:val="0"/>
                    <w:pageBreakBefore w:val="0"/>
                    <w:kinsoku/>
                    <w:wordWrap/>
                    <w:overflowPunct/>
                    <w:topLinePunct w:val="0"/>
                    <w:bidi w:val="0"/>
                    <w:spacing w:line="240" w:lineRule="auto"/>
                    <w:ind w:left="0" w:right="0" w:firstLine="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pacing w:val="3"/>
                      <w:sz w:val="21"/>
                      <w:szCs w:val="21"/>
                      <w:u w:val="none" w:color="auto"/>
                    </w:rPr>
                    <w:t>餐厅</w:t>
                  </w:r>
                </w:p>
              </w:tc>
              <w:tc>
                <w:tcPr>
                  <w:tcW w:w="1280" w:type="pct"/>
                  <w:gridSpan w:val="4"/>
                  <w:noWrap w:val="0"/>
                  <w:vAlign w:val="center"/>
                </w:tcPr>
                <w:p w14:paraId="08E3ED7E">
                  <w:pPr>
                    <w:pStyle w:val="170"/>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pacing w:val="7"/>
                      <w:sz w:val="21"/>
                      <w:szCs w:val="21"/>
                      <w:u w:val="none" w:color="auto"/>
                    </w:rPr>
                    <w:t>砖混+钢构顶棚</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每个</w:t>
                  </w:r>
                  <w:r>
                    <w:rPr>
                      <w:rFonts w:hint="default" w:ascii="Times New Roman" w:hAnsi="Times New Roman" w:eastAsia="宋体" w:cs="Times New Roman"/>
                      <w:color w:val="auto"/>
                      <w:position w:val="1"/>
                      <w:sz w:val="21"/>
                      <w:szCs w:val="21"/>
                      <w:u w:val="none" w:color="auto"/>
                    </w:rPr>
                    <w:t>2</w:t>
                  </w:r>
                  <w:r>
                    <w:rPr>
                      <w:rFonts w:hint="default" w:ascii="Times New Roman" w:hAnsi="Times New Roman" w:eastAsia="宋体" w:cs="Times New Roman"/>
                      <w:color w:val="auto"/>
                      <w:sz w:val="21"/>
                      <w:szCs w:val="21"/>
                      <w:u w:val="none" w:color="auto"/>
                      <w:lang w:val="en-US" w:eastAsia="zh-CN"/>
                    </w:rPr>
                    <w:t>层，2座</w:t>
                  </w:r>
                </w:p>
              </w:tc>
              <w:tc>
                <w:tcPr>
                  <w:tcW w:w="672" w:type="pct"/>
                  <w:noWrap w:val="0"/>
                  <w:vAlign w:val="center"/>
                </w:tcPr>
                <w:p w14:paraId="21415058">
                  <w:pPr>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pacing w:val="2"/>
                      <w:position w:val="1"/>
                      <w:sz w:val="21"/>
                      <w:szCs w:val="21"/>
                      <w:u w:val="none" w:color="auto"/>
                      <w:lang w:val="en-US" w:eastAsia="zh-CN"/>
                    </w:rPr>
                    <w:t>11336</w:t>
                  </w:r>
                </w:p>
              </w:tc>
              <w:tc>
                <w:tcPr>
                  <w:tcW w:w="404" w:type="pct"/>
                  <w:noWrap w:val="0"/>
                  <w:vAlign w:val="center"/>
                </w:tcPr>
                <w:p w14:paraId="04A2CD30">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使用学生以及教职工就餐使用</w:t>
                  </w:r>
                </w:p>
              </w:tc>
              <w:tc>
                <w:tcPr>
                  <w:tcW w:w="452" w:type="pct"/>
                  <w:noWrap w:val="0"/>
                  <w:vAlign w:val="center"/>
                </w:tcPr>
                <w:p w14:paraId="003C11A6">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w:t>
                  </w:r>
                </w:p>
              </w:tc>
              <w:tc>
                <w:tcPr>
                  <w:tcW w:w="1345" w:type="pct"/>
                  <w:noWrap w:val="0"/>
                  <w:vAlign w:val="center"/>
                </w:tcPr>
                <w:p w14:paraId="4E2A26D4">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使用学生以及教职工就餐使用</w:t>
                  </w:r>
                </w:p>
              </w:tc>
              <w:tc>
                <w:tcPr>
                  <w:tcW w:w="278" w:type="pct"/>
                  <w:noWrap w:val="0"/>
                  <w:vAlign w:val="center"/>
                </w:tcPr>
                <w:p w14:paraId="14F77C95">
                  <w:pPr>
                    <w:keepNext w:val="0"/>
                    <w:keepLines w:val="0"/>
                    <w:pageBreakBefore w:val="0"/>
                    <w:widowControl w:val="0"/>
                    <w:suppressLineNumbers w:val="0"/>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依托现有</w:t>
                  </w:r>
                </w:p>
              </w:tc>
            </w:tr>
            <w:tr w14:paraId="1169D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3F5C848D">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noWrap w:val="0"/>
                  <w:vAlign w:val="center"/>
                </w:tcPr>
                <w:p w14:paraId="6B75E8BA">
                  <w:pPr>
                    <w:pStyle w:val="170"/>
                    <w:keepNext w:val="0"/>
                    <w:keepLines w:val="0"/>
                    <w:pageBreakBefore w:val="0"/>
                    <w:kinsoku/>
                    <w:wordWrap/>
                    <w:overflowPunct/>
                    <w:topLinePunct w:val="0"/>
                    <w:bidi w:val="0"/>
                    <w:spacing w:line="240" w:lineRule="auto"/>
                    <w:ind w:left="0" w:right="0" w:firstLine="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pacing w:val="6"/>
                      <w:sz w:val="21"/>
                      <w:szCs w:val="21"/>
                      <w:u w:val="none" w:color="auto"/>
                    </w:rPr>
                    <w:t>清华苑</w:t>
                  </w:r>
                </w:p>
              </w:tc>
              <w:tc>
                <w:tcPr>
                  <w:tcW w:w="1280" w:type="pct"/>
                  <w:gridSpan w:val="4"/>
                  <w:noWrap w:val="0"/>
                  <w:vAlign w:val="center"/>
                </w:tcPr>
                <w:p w14:paraId="750FA9F5">
                  <w:pPr>
                    <w:pStyle w:val="170"/>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pacing w:val="4"/>
                      <w:sz w:val="21"/>
                      <w:szCs w:val="21"/>
                      <w:u w:val="none" w:color="auto"/>
                    </w:rPr>
                    <w:t>框架结构，教学楼</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position w:val="1"/>
                      <w:sz w:val="21"/>
                      <w:szCs w:val="21"/>
                      <w:u w:val="none" w:color="auto"/>
                    </w:rPr>
                    <w:t>3</w:t>
                  </w:r>
                  <w:r>
                    <w:rPr>
                      <w:rFonts w:hint="default" w:ascii="Times New Roman" w:hAnsi="Times New Roman" w:eastAsia="宋体" w:cs="Times New Roman"/>
                      <w:color w:val="auto"/>
                      <w:sz w:val="21"/>
                      <w:szCs w:val="21"/>
                      <w:u w:val="none" w:color="auto"/>
                      <w:lang w:val="en-US" w:eastAsia="zh-CN"/>
                    </w:rPr>
                    <w:t>层</w:t>
                  </w:r>
                </w:p>
              </w:tc>
              <w:tc>
                <w:tcPr>
                  <w:tcW w:w="672" w:type="pct"/>
                  <w:noWrap w:val="0"/>
                  <w:vAlign w:val="center"/>
                </w:tcPr>
                <w:p w14:paraId="0190AA81">
                  <w:pPr>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pacing w:val="3"/>
                      <w:position w:val="1"/>
                      <w:sz w:val="21"/>
                      <w:szCs w:val="21"/>
                      <w:u w:val="none" w:color="auto"/>
                    </w:rPr>
                    <w:t>3360</w:t>
                  </w:r>
                </w:p>
              </w:tc>
              <w:tc>
                <w:tcPr>
                  <w:tcW w:w="404" w:type="pct"/>
                  <w:noWrap w:val="0"/>
                  <w:vAlign w:val="center"/>
                </w:tcPr>
                <w:p w14:paraId="60464F26">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用于教学使用</w:t>
                  </w:r>
                </w:p>
              </w:tc>
              <w:tc>
                <w:tcPr>
                  <w:tcW w:w="452" w:type="pct"/>
                  <w:noWrap w:val="0"/>
                  <w:vAlign w:val="center"/>
                </w:tcPr>
                <w:p w14:paraId="1930D069">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w:t>
                  </w:r>
                </w:p>
              </w:tc>
              <w:tc>
                <w:tcPr>
                  <w:tcW w:w="1345" w:type="pct"/>
                  <w:noWrap w:val="0"/>
                  <w:vAlign w:val="center"/>
                </w:tcPr>
                <w:p w14:paraId="60C356D3">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用于教学使用</w:t>
                  </w:r>
                </w:p>
              </w:tc>
              <w:tc>
                <w:tcPr>
                  <w:tcW w:w="278" w:type="pct"/>
                  <w:noWrap w:val="0"/>
                  <w:vAlign w:val="center"/>
                </w:tcPr>
                <w:p w14:paraId="21E5EFEB">
                  <w:pPr>
                    <w:keepNext w:val="0"/>
                    <w:keepLines w:val="0"/>
                    <w:pageBreakBefore w:val="0"/>
                    <w:widowControl w:val="0"/>
                    <w:suppressLineNumbers w:val="0"/>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依托现有</w:t>
                  </w:r>
                </w:p>
              </w:tc>
            </w:tr>
            <w:tr w14:paraId="35C5F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4A50F033">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noWrap w:val="0"/>
                  <w:vAlign w:val="center"/>
                </w:tcPr>
                <w:p w14:paraId="590F1318">
                  <w:pPr>
                    <w:pStyle w:val="170"/>
                    <w:keepNext w:val="0"/>
                    <w:keepLines w:val="0"/>
                    <w:pageBreakBefore w:val="0"/>
                    <w:kinsoku/>
                    <w:wordWrap/>
                    <w:overflowPunct/>
                    <w:topLinePunct w:val="0"/>
                    <w:bidi w:val="0"/>
                    <w:spacing w:line="240" w:lineRule="auto"/>
                    <w:ind w:left="0" w:right="0" w:firstLine="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pacing w:val="6"/>
                      <w:sz w:val="21"/>
                      <w:szCs w:val="21"/>
                      <w:u w:val="none" w:color="auto"/>
                    </w:rPr>
                    <w:t>静益楼</w:t>
                  </w:r>
                </w:p>
              </w:tc>
              <w:tc>
                <w:tcPr>
                  <w:tcW w:w="1280" w:type="pct"/>
                  <w:gridSpan w:val="4"/>
                  <w:noWrap w:val="0"/>
                  <w:vAlign w:val="center"/>
                </w:tcPr>
                <w:p w14:paraId="5703C13D">
                  <w:pPr>
                    <w:pStyle w:val="170"/>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pacing w:val="8"/>
                      <w:sz w:val="21"/>
                      <w:szCs w:val="21"/>
                      <w:u w:val="none" w:color="auto"/>
                    </w:rPr>
                    <w:t>砖混，</w:t>
                  </w:r>
                  <w:r>
                    <w:rPr>
                      <w:rFonts w:hint="default" w:ascii="Times New Roman" w:hAnsi="Times New Roman" w:eastAsia="宋体" w:cs="Times New Roman"/>
                      <w:color w:val="auto"/>
                      <w:position w:val="1"/>
                      <w:sz w:val="21"/>
                      <w:szCs w:val="21"/>
                      <w:u w:val="none" w:color="auto"/>
                    </w:rPr>
                    <w:t>3</w:t>
                  </w:r>
                  <w:r>
                    <w:rPr>
                      <w:rFonts w:hint="default" w:ascii="Times New Roman" w:hAnsi="Times New Roman" w:eastAsia="宋体" w:cs="Times New Roman"/>
                      <w:color w:val="auto"/>
                      <w:sz w:val="21"/>
                      <w:szCs w:val="21"/>
                      <w:u w:val="none" w:color="auto"/>
                      <w:lang w:val="en-US" w:eastAsia="zh-CN"/>
                    </w:rPr>
                    <w:t>层</w:t>
                  </w:r>
                </w:p>
              </w:tc>
              <w:tc>
                <w:tcPr>
                  <w:tcW w:w="672" w:type="pct"/>
                  <w:noWrap w:val="0"/>
                  <w:vAlign w:val="center"/>
                </w:tcPr>
                <w:p w14:paraId="06485AB6">
                  <w:pPr>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pacing w:val="3"/>
                      <w:position w:val="1"/>
                      <w:sz w:val="21"/>
                      <w:szCs w:val="21"/>
                      <w:u w:val="none" w:color="auto"/>
                    </w:rPr>
                    <w:t>3579</w:t>
                  </w:r>
                </w:p>
              </w:tc>
              <w:tc>
                <w:tcPr>
                  <w:tcW w:w="404" w:type="pct"/>
                  <w:noWrap w:val="0"/>
                  <w:vAlign w:val="center"/>
                </w:tcPr>
                <w:p w14:paraId="4355F884">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学生宿舍</w:t>
                  </w:r>
                </w:p>
              </w:tc>
              <w:tc>
                <w:tcPr>
                  <w:tcW w:w="452" w:type="pct"/>
                  <w:noWrap w:val="0"/>
                  <w:vAlign w:val="center"/>
                </w:tcPr>
                <w:p w14:paraId="29FD6F5F">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w:t>
                  </w:r>
                </w:p>
              </w:tc>
              <w:tc>
                <w:tcPr>
                  <w:tcW w:w="1345" w:type="pct"/>
                  <w:noWrap w:val="0"/>
                  <w:vAlign w:val="center"/>
                </w:tcPr>
                <w:p w14:paraId="09A526AB">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学生宿舍</w:t>
                  </w:r>
                </w:p>
              </w:tc>
              <w:tc>
                <w:tcPr>
                  <w:tcW w:w="278" w:type="pct"/>
                  <w:noWrap w:val="0"/>
                  <w:vAlign w:val="center"/>
                </w:tcPr>
                <w:p w14:paraId="644293F1">
                  <w:pPr>
                    <w:keepNext w:val="0"/>
                    <w:keepLines w:val="0"/>
                    <w:pageBreakBefore w:val="0"/>
                    <w:widowControl w:val="0"/>
                    <w:suppressLineNumbers w:val="0"/>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依托现有</w:t>
                  </w:r>
                </w:p>
              </w:tc>
            </w:tr>
            <w:tr w14:paraId="7AFEB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140BF85E">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noWrap w:val="0"/>
                  <w:vAlign w:val="center"/>
                </w:tcPr>
                <w:p w14:paraId="3691FE9C">
                  <w:pPr>
                    <w:pStyle w:val="170"/>
                    <w:keepNext w:val="0"/>
                    <w:keepLines w:val="0"/>
                    <w:pageBreakBefore w:val="0"/>
                    <w:kinsoku/>
                    <w:wordWrap/>
                    <w:overflowPunct/>
                    <w:topLinePunct w:val="0"/>
                    <w:bidi w:val="0"/>
                    <w:spacing w:line="240" w:lineRule="auto"/>
                    <w:ind w:left="0" w:right="0" w:firstLine="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pacing w:val="6"/>
                      <w:sz w:val="21"/>
                      <w:szCs w:val="21"/>
                      <w:u w:val="none" w:color="auto"/>
                    </w:rPr>
                    <w:t>文益楼</w:t>
                  </w:r>
                </w:p>
              </w:tc>
              <w:tc>
                <w:tcPr>
                  <w:tcW w:w="1280" w:type="pct"/>
                  <w:gridSpan w:val="4"/>
                  <w:noWrap w:val="0"/>
                  <w:vAlign w:val="center"/>
                </w:tcPr>
                <w:p w14:paraId="6D3292CC">
                  <w:pPr>
                    <w:pStyle w:val="170"/>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pacing w:val="8"/>
                      <w:sz w:val="21"/>
                      <w:szCs w:val="21"/>
                      <w:u w:val="none" w:color="auto"/>
                    </w:rPr>
                    <w:t>砖混，</w:t>
                  </w:r>
                  <w:r>
                    <w:rPr>
                      <w:rFonts w:hint="default" w:ascii="Times New Roman" w:hAnsi="Times New Roman" w:eastAsia="宋体" w:cs="Times New Roman"/>
                      <w:color w:val="auto"/>
                      <w:position w:val="1"/>
                      <w:sz w:val="21"/>
                      <w:szCs w:val="21"/>
                      <w:u w:val="none" w:color="auto"/>
                    </w:rPr>
                    <w:t>3</w:t>
                  </w:r>
                  <w:r>
                    <w:rPr>
                      <w:rFonts w:hint="default" w:ascii="Times New Roman" w:hAnsi="Times New Roman" w:eastAsia="宋体" w:cs="Times New Roman"/>
                      <w:color w:val="auto"/>
                      <w:sz w:val="21"/>
                      <w:szCs w:val="21"/>
                      <w:u w:val="none" w:color="auto"/>
                      <w:lang w:val="en-US" w:eastAsia="zh-CN"/>
                    </w:rPr>
                    <w:t>层</w:t>
                  </w:r>
                </w:p>
              </w:tc>
              <w:tc>
                <w:tcPr>
                  <w:tcW w:w="672" w:type="pct"/>
                  <w:noWrap w:val="0"/>
                  <w:vAlign w:val="center"/>
                </w:tcPr>
                <w:p w14:paraId="53CB5061">
                  <w:pPr>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pacing w:val="3"/>
                      <w:position w:val="1"/>
                      <w:sz w:val="21"/>
                      <w:szCs w:val="21"/>
                      <w:u w:val="none" w:color="auto"/>
                    </w:rPr>
                    <w:t>3399</w:t>
                  </w:r>
                </w:p>
              </w:tc>
              <w:tc>
                <w:tcPr>
                  <w:tcW w:w="404" w:type="pct"/>
                  <w:noWrap w:val="0"/>
                  <w:vAlign w:val="center"/>
                </w:tcPr>
                <w:p w14:paraId="29972895">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学生宿舍</w:t>
                  </w:r>
                </w:p>
              </w:tc>
              <w:tc>
                <w:tcPr>
                  <w:tcW w:w="452" w:type="pct"/>
                  <w:noWrap w:val="0"/>
                  <w:vAlign w:val="center"/>
                </w:tcPr>
                <w:p w14:paraId="67428DA4">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w:t>
                  </w:r>
                </w:p>
              </w:tc>
              <w:tc>
                <w:tcPr>
                  <w:tcW w:w="1345" w:type="pct"/>
                  <w:noWrap w:val="0"/>
                  <w:vAlign w:val="center"/>
                </w:tcPr>
                <w:p w14:paraId="7AD07E23">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学生宿舍</w:t>
                  </w:r>
                </w:p>
              </w:tc>
              <w:tc>
                <w:tcPr>
                  <w:tcW w:w="278" w:type="pct"/>
                  <w:noWrap w:val="0"/>
                  <w:vAlign w:val="center"/>
                </w:tcPr>
                <w:p w14:paraId="4FF74880">
                  <w:pPr>
                    <w:keepNext w:val="0"/>
                    <w:keepLines w:val="0"/>
                    <w:pageBreakBefore w:val="0"/>
                    <w:widowControl w:val="0"/>
                    <w:suppressLineNumbers w:val="0"/>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依托现有</w:t>
                  </w:r>
                </w:p>
              </w:tc>
            </w:tr>
            <w:tr w14:paraId="00F03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6D30686B">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noWrap w:val="0"/>
                  <w:vAlign w:val="center"/>
                </w:tcPr>
                <w:p w14:paraId="32965A3E">
                  <w:pPr>
                    <w:pStyle w:val="170"/>
                    <w:keepNext w:val="0"/>
                    <w:keepLines w:val="0"/>
                    <w:pageBreakBefore w:val="0"/>
                    <w:kinsoku/>
                    <w:wordWrap/>
                    <w:overflowPunct/>
                    <w:topLinePunct w:val="0"/>
                    <w:bidi w:val="0"/>
                    <w:spacing w:line="240" w:lineRule="auto"/>
                    <w:ind w:left="0" w:right="0" w:firstLine="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pacing w:val="6"/>
                      <w:sz w:val="21"/>
                      <w:szCs w:val="21"/>
                      <w:u w:val="none" w:color="auto"/>
                    </w:rPr>
                    <w:t>仁益楼</w:t>
                  </w:r>
                </w:p>
              </w:tc>
              <w:tc>
                <w:tcPr>
                  <w:tcW w:w="1280" w:type="pct"/>
                  <w:gridSpan w:val="4"/>
                  <w:noWrap w:val="0"/>
                  <w:vAlign w:val="center"/>
                </w:tcPr>
                <w:p w14:paraId="5574EE88">
                  <w:pPr>
                    <w:pStyle w:val="170"/>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pacing w:val="8"/>
                      <w:sz w:val="21"/>
                      <w:szCs w:val="21"/>
                      <w:u w:val="none" w:color="auto"/>
                    </w:rPr>
                    <w:t>砖混，</w:t>
                  </w:r>
                  <w:r>
                    <w:rPr>
                      <w:rFonts w:hint="default" w:ascii="Times New Roman" w:hAnsi="Times New Roman" w:eastAsia="宋体" w:cs="Times New Roman"/>
                      <w:color w:val="auto"/>
                      <w:sz w:val="21"/>
                      <w:szCs w:val="21"/>
                      <w:u w:val="none" w:color="auto"/>
                    </w:rPr>
                    <w:t>5</w:t>
                  </w:r>
                  <w:r>
                    <w:rPr>
                      <w:rFonts w:hint="default" w:ascii="Times New Roman" w:hAnsi="Times New Roman" w:eastAsia="宋体" w:cs="Times New Roman"/>
                      <w:color w:val="auto"/>
                      <w:sz w:val="21"/>
                      <w:szCs w:val="21"/>
                      <w:u w:val="none" w:color="auto"/>
                      <w:lang w:val="en-US" w:eastAsia="zh-CN"/>
                    </w:rPr>
                    <w:t>层</w:t>
                  </w:r>
                </w:p>
              </w:tc>
              <w:tc>
                <w:tcPr>
                  <w:tcW w:w="672" w:type="pct"/>
                  <w:noWrap w:val="0"/>
                  <w:vAlign w:val="center"/>
                </w:tcPr>
                <w:p w14:paraId="223BB717">
                  <w:pPr>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position w:val="1"/>
                      <w:sz w:val="21"/>
                      <w:szCs w:val="21"/>
                      <w:u w:val="none" w:color="auto"/>
                    </w:rPr>
                    <w:t>13265</w:t>
                  </w:r>
                </w:p>
              </w:tc>
              <w:tc>
                <w:tcPr>
                  <w:tcW w:w="404" w:type="pct"/>
                  <w:noWrap w:val="0"/>
                  <w:vAlign w:val="center"/>
                </w:tcPr>
                <w:p w14:paraId="7CD18FA3">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学生宿舍</w:t>
                  </w:r>
                </w:p>
              </w:tc>
              <w:tc>
                <w:tcPr>
                  <w:tcW w:w="452" w:type="pct"/>
                  <w:noWrap w:val="0"/>
                  <w:vAlign w:val="center"/>
                </w:tcPr>
                <w:p w14:paraId="546EE279">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w:t>
                  </w:r>
                </w:p>
              </w:tc>
              <w:tc>
                <w:tcPr>
                  <w:tcW w:w="1345" w:type="pct"/>
                  <w:noWrap w:val="0"/>
                  <w:vAlign w:val="center"/>
                </w:tcPr>
                <w:p w14:paraId="326B7867">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学生宿舍</w:t>
                  </w:r>
                </w:p>
              </w:tc>
              <w:tc>
                <w:tcPr>
                  <w:tcW w:w="278" w:type="pct"/>
                  <w:noWrap w:val="0"/>
                  <w:vAlign w:val="center"/>
                </w:tcPr>
                <w:p w14:paraId="40988759">
                  <w:pPr>
                    <w:keepNext w:val="0"/>
                    <w:keepLines w:val="0"/>
                    <w:pageBreakBefore w:val="0"/>
                    <w:widowControl w:val="0"/>
                    <w:suppressLineNumbers w:val="0"/>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依托现有</w:t>
                  </w:r>
                </w:p>
              </w:tc>
            </w:tr>
            <w:tr w14:paraId="64BC3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1C986A33">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noWrap w:val="0"/>
                  <w:vAlign w:val="center"/>
                </w:tcPr>
                <w:p w14:paraId="2703F685">
                  <w:pPr>
                    <w:pStyle w:val="170"/>
                    <w:keepNext w:val="0"/>
                    <w:keepLines w:val="0"/>
                    <w:pageBreakBefore w:val="0"/>
                    <w:kinsoku/>
                    <w:wordWrap/>
                    <w:overflowPunct/>
                    <w:topLinePunct w:val="0"/>
                    <w:bidi w:val="0"/>
                    <w:spacing w:line="240" w:lineRule="auto"/>
                    <w:ind w:left="0" w:right="0" w:firstLine="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pacing w:val="6"/>
                      <w:sz w:val="21"/>
                      <w:szCs w:val="21"/>
                      <w:u w:val="none" w:color="auto"/>
                    </w:rPr>
                    <w:t>教师宿舍</w:t>
                  </w:r>
                </w:p>
              </w:tc>
              <w:tc>
                <w:tcPr>
                  <w:tcW w:w="1280" w:type="pct"/>
                  <w:gridSpan w:val="4"/>
                  <w:noWrap w:val="0"/>
                  <w:vAlign w:val="center"/>
                </w:tcPr>
                <w:p w14:paraId="08E6B890">
                  <w:pPr>
                    <w:pStyle w:val="170"/>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pacing w:val="4"/>
                      <w:sz w:val="21"/>
                      <w:szCs w:val="21"/>
                      <w:u w:val="none" w:color="auto"/>
                    </w:rPr>
                    <w:t>砖混</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pacing w:val="1"/>
                      <w:position w:val="1"/>
                      <w:sz w:val="21"/>
                      <w:szCs w:val="21"/>
                      <w:u w:val="none" w:color="auto"/>
                    </w:rPr>
                    <w:t>4</w:t>
                  </w:r>
                  <w:r>
                    <w:rPr>
                      <w:rFonts w:hint="default" w:ascii="Times New Roman" w:hAnsi="Times New Roman" w:eastAsia="宋体" w:cs="Times New Roman"/>
                      <w:color w:val="auto"/>
                      <w:sz w:val="21"/>
                      <w:szCs w:val="21"/>
                      <w:u w:val="none" w:color="auto"/>
                      <w:lang w:val="en-US" w:eastAsia="zh-CN"/>
                    </w:rPr>
                    <w:t>层</w:t>
                  </w:r>
                </w:p>
              </w:tc>
              <w:tc>
                <w:tcPr>
                  <w:tcW w:w="672" w:type="pct"/>
                  <w:noWrap w:val="0"/>
                  <w:vAlign w:val="center"/>
                </w:tcPr>
                <w:p w14:paraId="2911C240">
                  <w:pPr>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pacing w:val="-1"/>
                      <w:position w:val="1"/>
                      <w:sz w:val="21"/>
                      <w:szCs w:val="21"/>
                      <w:u w:val="none" w:color="auto"/>
                    </w:rPr>
                    <w:t>1376</w:t>
                  </w:r>
                </w:p>
              </w:tc>
              <w:tc>
                <w:tcPr>
                  <w:tcW w:w="404" w:type="pct"/>
                  <w:noWrap w:val="0"/>
                  <w:vAlign w:val="center"/>
                </w:tcPr>
                <w:p w14:paraId="2ACD73E1">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教师宿舍</w:t>
                  </w:r>
                </w:p>
              </w:tc>
              <w:tc>
                <w:tcPr>
                  <w:tcW w:w="452" w:type="pct"/>
                  <w:noWrap w:val="0"/>
                  <w:vAlign w:val="center"/>
                </w:tcPr>
                <w:p w14:paraId="41F8FD09">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w:t>
                  </w:r>
                </w:p>
              </w:tc>
              <w:tc>
                <w:tcPr>
                  <w:tcW w:w="1345" w:type="pct"/>
                  <w:noWrap w:val="0"/>
                  <w:vAlign w:val="center"/>
                </w:tcPr>
                <w:p w14:paraId="1BDEA866">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教师宿舍</w:t>
                  </w:r>
                </w:p>
              </w:tc>
              <w:tc>
                <w:tcPr>
                  <w:tcW w:w="278" w:type="pct"/>
                  <w:noWrap w:val="0"/>
                  <w:vAlign w:val="center"/>
                </w:tcPr>
                <w:p w14:paraId="3778D716">
                  <w:pPr>
                    <w:keepNext w:val="0"/>
                    <w:keepLines w:val="0"/>
                    <w:pageBreakBefore w:val="0"/>
                    <w:widowControl w:val="0"/>
                    <w:suppressLineNumbers w:val="0"/>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依托现有</w:t>
                  </w:r>
                </w:p>
              </w:tc>
            </w:tr>
            <w:tr w14:paraId="451E9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152E8AD3">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noWrap w:val="0"/>
                  <w:vAlign w:val="center"/>
                </w:tcPr>
                <w:p w14:paraId="0BBE7DC8">
                  <w:pPr>
                    <w:keepNext w:val="0"/>
                    <w:keepLines w:val="0"/>
                    <w:pageBreakBefore w:val="0"/>
                    <w:kinsoku/>
                    <w:wordWrap/>
                    <w:overflowPunct/>
                    <w:topLinePunct w:val="0"/>
                    <w:bidi w:val="0"/>
                    <w:spacing w:line="240" w:lineRule="auto"/>
                    <w:ind w:left="0" w:right="0" w:firstLine="0"/>
                    <w:jc w:val="center"/>
                    <w:outlineLvl w:val="9"/>
                    <w:rPr>
                      <w:rFonts w:hint="default" w:ascii="Times New Roman" w:hAnsi="Times New Roman" w:eastAsia="宋体" w:cs="Times New Roman"/>
                      <w:color w:val="auto"/>
                      <w:sz w:val="21"/>
                      <w:szCs w:val="21"/>
                      <w:u w:val="none" w:color="auto"/>
                    </w:rPr>
                  </w:pPr>
                </w:p>
                <w:p w14:paraId="26E7A280">
                  <w:pPr>
                    <w:pStyle w:val="170"/>
                    <w:keepNext w:val="0"/>
                    <w:keepLines w:val="0"/>
                    <w:pageBreakBefore w:val="0"/>
                    <w:kinsoku/>
                    <w:wordWrap/>
                    <w:overflowPunct/>
                    <w:topLinePunct w:val="0"/>
                    <w:bidi w:val="0"/>
                    <w:spacing w:line="240" w:lineRule="auto"/>
                    <w:ind w:left="0" w:right="0" w:firstLine="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pacing w:val="6"/>
                      <w:sz w:val="21"/>
                      <w:szCs w:val="21"/>
                      <w:u w:val="none" w:color="auto"/>
                    </w:rPr>
                    <w:t>多功能教学楼</w:t>
                  </w:r>
                </w:p>
              </w:tc>
              <w:tc>
                <w:tcPr>
                  <w:tcW w:w="1280" w:type="pct"/>
                  <w:gridSpan w:val="4"/>
                  <w:noWrap w:val="0"/>
                  <w:vAlign w:val="center"/>
                </w:tcPr>
                <w:p w14:paraId="0A8406D5">
                  <w:pPr>
                    <w:pStyle w:val="170"/>
                    <w:keepNext w:val="0"/>
                    <w:keepLines w:val="0"/>
                    <w:pageBreakBefore w:val="0"/>
                    <w:kinsoku/>
                    <w:wordWrap/>
                    <w:overflowPunct/>
                    <w:topLinePunct w:val="0"/>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pacing w:val="4"/>
                      <w:sz w:val="21"/>
                      <w:szCs w:val="21"/>
                      <w:u w:val="none" w:color="auto"/>
                    </w:rPr>
                    <w:t>框架机构</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position w:val="2"/>
                      <w:sz w:val="21"/>
                      <w:szCs w:val="21"/>
                      <w:u w:val="none" w:color="auto"/>
                    </w:rPr>
                    <w:t>3</w:t>
                  </w:r>
                  <w:r>
                    <w:rPr>
                      <w:rFonts w:hint="default" w:ascii="Times New Roman" w:hAnsi="Times New Roman" w:eastAsia="宋体" w:cs="Times New Roman"/>
                      <w:color w:val="auto"/>
                      <w:sz w:val="21"/>
                      <w:szCs w:val="21"/>
                      <w:u w:val="none" w:color="auto"/>
                      <w:lang w:val="en-US" w:eastAsia="zh-CN"/>
                    </w:rPr>
                    <w:t>层</w:t>
                  </w:r>
                </w:p>
              </w:tc>
              <w:tc>
                <w:tcPr>
                  <w:tcW w:w="672" w:type="pct"/>
                  <w:noWrap w:val="0"/>
                  <w:vAlign w:val="center"/>
                </w:tcPr>
                <w:p w14:paraId="3986FA0F">
                  <w:pPr>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pacing w:val="-1"/>
                      <w:position w:val="2"/>
                      <w:sz w:val="21"/>
                      <w:szCs w:val="21"/>
                      <w:u w:val="none" w:color="auto"/>
                    </w:rPr>
                    <w:t>1680</w:t>
                  </w:r>
                </w:p>
              </w:tc>
              <w:tc>
                <w:tcPr>
                  <w:tcW w:w="404" w:type="pct"/>
                  <w:noWrap w:val="0"/>
                  <w:vAlign w:val="center"/>
                </w:tcPr>
                <w:p w14:paraId="56DCE325">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美术、 音乐、计算机教学</w:t>
                  </w:r>
                </w:p>
              </w:tc>
              <w:tc>
                <w:tcPr>
                  <w:tcW w:w="452" w:type="pct"/>
                  <w:noWrap w:val="0"/>
                  <w:vAlign w:val="center"/>
                </w:tcPr>
                <w:p w14:paraId="630B2EAC">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w:t>
                  </w:r>
                </w:p>
              </w:tc>
              <w:tc>
                <w:tcPr>
                  <w:tcW w:w="1345" w:type="pct"/>
                  <w:noWrap w:val="0"/>
                  <w:vAlign w:val="center"/>
                </w:tcPr>
                <w:p w14:paraId="0D912489">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美术、 音乐、计算机教学</w:t>
                  </w:r>
                </w:p>
              </w:tc>
              <w:tc>
                <w:tcPr>
                  <w:tcW w:w="278" w:type="pct"/>
                  <w:noWrap w:val="0"/>
                  <w:vAlign w:val="center"/>
                </w:tcPr>
                <w:p w14:paraId="3C1218AE">
                  <w:pPr>
                    <w:keepNext w:val="0"/>
                    <w:keepLines w:val="0"/>
                    <w:pageBreakBefore w:val="0"/>
                    <w:widowControl w:val="0"/>
                    <w:suppressLineNumbers w:val="0"/>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依托现有</w:t>
                  </w:r>
                </w:p>
              </w:tc>
            </w:tr>
            <w:tr w14:paraId="542DD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3AC385C0">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noWrap w:val="0"/>
                  <w:vAlign w:val="center"/>
                </w:tcPr>
                <w:p w14:paraId="498F0220">
                  <w:pPr>
                    <w:pStyle w:val="170"/>
                    <w:keepNext w:val="0"/>
                    <w:keepLines w:val="0"/>
                    <w:pageBreakBefore w:val="0"/>
                    <w:kinsoku/>
                    <w:wordWrap/>
                    <w:overflowPunct/>
                    <w:topLinePunct w:val="0"/>
                    <w:bidi w:val="0"/>
                    <w:spacing w:line="240" w:lineRule="auto"/>
                    <w:ind w:left="0" w:right="0" w:firstLine="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pacing w:val="7"/>
                      <w:sz w:val="21"/>
                      <w:szCs w:val="21"/>
                      <w:u w:val="none" w:color="auto"/>
                    </w:rPr>
                    <w:t>洗浴中心</w:t>
                  </w:r>
                </w:p>
              </w:tc>
              <w:tc>
                <w:tcPr>
                  <w:tcW w:w="1280" w:type="pct"/>
                  <w:gridSpan w:val="4"/>
                  <w:noWrap w:val="0"/>
                  <w:vAlign w:val="center"/>
                </w:tcPr>
                <w:p w14:paraId="4EA3FC5B">
                  <w:pPr>
                    <w:pStyle w:val="170"/>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pacing w:val="4"/>
                      <w:sz w:val="21"/>
                      <w:szCs w:val="21"/>
                      <w:u w:val="none" w:color="auto"/>
                    </w:rPr>
                    <w:t>砖混</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position w:val="1"/>
                      <w:sz w:val="21"/>
                      <w:szCs w:val="21"/>
                      <w:u w:val="none" w:color="auto"/>
                    </w:rPr>
                    <w:t>3</w:t>
                  </w:r>
                  <w:r>
                    <w:rPr>
                      <w:rFonts w:hint="default" w:ascii="Times New Roman" w:hAnsi="Times New Roman" w:eastAsia="宋体" w:cs="Times New Roman"/>
                      <w:color w:val="auto"/>
                      <w:sz w:val="21"/>
                      <w:szCs w:val="21"/>
                      <w:u w:val="none" w:color="auto"/>
                      <w:lang w:val="en-US" w:eastAsia="zh-CN"/>
                    </w:rPr>
                    <w:t>层</w:t>
                  </w:r>
                </w:p>
              </w:tc>
              <w:tc>
                <w:tcPr>
                  <w:tcW w:w="672" w:type="pct"/>
                  <w:noWrap w:val="0"/>
                  <w:vAlign w:val="center"/>
                </w:tcPr>
                <w:p w14:paraId="26A0F8CB">
                  <w:pPr>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pacing w:val="2"/>
                      <w:position w:val="1"/>
                      <w:sz w:val="21"/>
                      <w:szCs w:val="21"/>
                      <w:u w:val="none" w:color="auto"/>
                    </w:rPr>
                    <w:t>675</w:t>
                  </w:r>
                </w:p>
              </w:tc>
              <w:tc>
                <w:tcPr>
                  <w:tcW w:w="404" w:type="pct"/>
                  <w:noWrap w:val="0"/>
                  <w:vAlign w:val="center"/>
                </w:tcPr>
                <w:p w14:paraId="378CCF98">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用于教职工以及学生洗浴使用</w:t>
                  </w:r>
                </w:p>
              </w:tc>
              <w:tc>
                <w:tcPr>
                  <w:tcW w:w="452" w:type="pct"/>
                  <w:noWrap w:val="0"/>
                  <w:vAlign w:val="center"/>
                </w:tcPr>
                <w:p w14:paraId="2981D298">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w:t>
                  </w:r>
                </w:p>
              </w:tc>
              <w:tc>
                <w:tcPr>
                  <w:tcW w:w="1345" w:type="pct"/>
                  <w:noWrap w:val="0"/>
                  <w:vAlign w:val="center"/>
                </w:tcPr>
                <w:p w14:paraId="24443DC6">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用于教职工以及学生洗浴使用</w:t>
                  </w:r>
                </w:p>
              </w:tc>
              <w:tc>
                <w:tcPr>
                  <w:tcW w:w="278" w:type="pct"/>
                  <w:noWrap w:val="0"/>
                  <w:vAlign w:val="center"/>
                </w:tcPr>
                <w:p w14:paraId="74B35233">
                  <w:pPr>
                    <w:keepNext w:val="0"/>
                    <w:keepLines w:val="0"/>
                    <w:pageBreakBefore w:val="0"/>
                    <w:widowControl w:val="0"/>
                    <w:suppressLineNumbers w:val="0"/>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依托现有</w:t>
                  </w:r>
                </w:p>
              </w:tc>
            </w:tr>
            <w:tr w14:paraId="24976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575F7C3F">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noWrap w:val="0"/>
                  <w:vAlign w:val="center"/>
                </w:tcPr>
                <w:p w14:paraId="2030B54B">
                  <w:pPr>
                    <w:pStyle w:val="170"/>
                    <w:keepNext w:val="0"/>
                    <w:keepLines w:val="0"/>
                    <w:pageBreakBefore w:val="0"/>
                    <w:kinsoku/>
                    <w:wordWrap/>
                    <w:overflowPunct/>
                    <w:topLinePunct w:val="0"/>
                    <w:bidi w:val="0"/>
                    <w:spacing w:line="240" w:lineRule="auto"/>
                    <w:ind w:left="0" w:right="0" w:firstLine="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pacing w:val="5"/>
                      <w:sz w:val="21"/>
                      <w:szCs w:val="21"/>
                      <w:u w:val="none" w:color="auto"/>
                    </w:rPr>
                    <w:t>超市</w:t>
                  </w:r>
                </w:p>
              </w:tc>
              <w:tc>
                <w:tcPr>
                  <w:tcW w:w="1280" w:type="pct"/>
                  <w:gridSpan w:val="4"/>
                  <w:noWrap w:val="0"/>
                  <w:vAlign w:val="center"/>
                </w:tcPr>
                <w:p w14:paraId="2D85A314">
                  <w:pPr>
                    <w:pStyle w:val="170"/>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pacing w:val="4"/>
                      <w:sz w:val="21"/>
                      <w:szCs w:val="21"/>
                      <w:u w:val="none" w:color="auto"/>
                    </w:rPr>
                    <w:t>砖混</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position w:val="1"/>
                      <w:sz w:val="21"/>
                      <w:szCs w:val="21"/>
                      <w:u w:val="none" w:color="auto"/>
                    </w:rPr>
                    <w:t>1</w:t>
                  </w:r>
                  <w:r>
                    <w:rPr>
                      <w:rFonts w:hint="default" w:ascii="Times New Roman" w:hAnsi="Times New Roman" w:eastAsia="宋体" w:cs="Times New Roman"/>
                      <w:color w:val="auto"/>
                      <w:sz w:val="21"/>
                      <w:szCs w:val="21"/>
                      <w:u w:val="none" w:color="auto"/>
                      <w:lang w:val="en-US" w:eastAsia="zh-CN"/>
                    </w:rPr>
                    <w:t>层</w:t>
                  </w:r>
                </w:p>
              </w:tc>
              <w:tc>
                <w:tcPr>
                  <w:tcW w:w="672" w:type="pct"/>
                  <w:noWrap w:val="0"/>
                  <w:vAlign w:val="center"/>
                </w:tcPr>
                <w:p w14:paraId="10BDC307">
                  <w:pPr>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pacing w:val="3"/>
                      <w:position w:val="1"/>
                      <w:sz w:val="21"/>
                      <w:szCs w:val="21"/>
                      <w:u w:val="none" w:color="auto"/>
                    </w:rPr>
                    <w:t>202</w:t>
                  </w:r>
                </w:p>
              </w:tc>
              <w:tc>
                <w:tcPr>
                  <w:tcW w:w="404" w:type="pct"/>
                  <w:noWrap w:val="0"/>
                  <w:vAlign w:val="center"/>
                </w:tcPr>
                <w:p w14:paraId="39C9F138">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用于学生以及教职工购买物品使用</w:t>
                  </w:r>
                </w:p>
              </w:tc>
              <w:tc>
                <w:tcPr>
                  <w:tcW w:w="452" w:type="pct"/>
                  <w:noWrap w:val="0"/>
                  <w:vAlign w:val="center"/>
                </w:tcPr>
                <w:p w14:paraId="38EEE8D3">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w:t>
                  </w:r>
                </w:p>
              </w:tc>
              <w:tc>
                <w:tcPr>
                  <w:tcW w:w="1345" w:type="pct"/>
                  <w:noWrap w:val="0"/>
                  <w:vAlign w:val="center"/>
                </w:tcPr>
                <w:p w14:paraId="1BC4661E">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用于学生以及教职工购买物品使用</w:t>
                  </w:r>
                </w:p>
              </w:tc>
              <w:tc>
                <w:tcPr>
                  <w:tcW w:w="278" w:type="pct"/>
                  <w:noWrap w:val="0"/>
                  <w:vAlign w:val="center"/>
                </w:tcPr>
                <w:p w14:paraId="1D5CE3E4">
                  <w:pPr>
                    <w:keepNext w:val="0"/>
                    <w:keepLines w:val="0"/>
                    <w:pageBreakBefore w:val="0"/>
                    <w:widowControl w:val="0"/>
                    <w:suppressLineNumbers w:val="0"/>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依托现有</w:t>
                  </w:r>
                </w:p>
              </w:tc>
            </w:tr>
            <w:tr w14:paraId="21490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755EF327">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noWrap w:val="0"/>
                  <w:vAlign w:val="center"/>
                </w:tcPr>
                <w:p w14:paraId="2C7CD10A">
                  <w:pPr>
                    <w:pStyle w:val="170"/>
                    <w:keepNext w:val="0"/>
                    <w:keepLines w:val="0"/>
                    <w:pageBreakBefore w:val="0"/>
                    <w:kinsoku/>
                    <w:wordWrap/>
                    <w:overflowPunct/>
                    <w:topLinePunct w:val="0"/>
                    <w:bidi w:val="0"/>
                    <w:spacing w:line="240" w:lineRule="auto"/>
                    <w:ind w:left="0" w:right="0" w:firstLine="0"/>
                    <w:jc w:val="center"/>
                    <w:outlineLvl w:val="9"/>
                    <w:rPr>
                      <w:rFonts w:hint="default" w:ascii="Times New Roman" w:hAnsi="Times New Roman" w:eastAsia="宋体" w:cs="Times New Roman"/>
                      <w:color w:val="auto"/>
                      <w:spacing w:val="5"/>
                      <w:sz w:val="21"/>
                      <w:szCs w:val="21"/>
                      <w:u w:val="none" w:color="auto"/>
                      <w:lang w:val="en-US" w:eastAsia="zh-CN"/>
                    </w:rPr>
                  </w:pPr>
                  <w:r>
                    <w:rPr>
                      <w:rFonts w:hint="default" w:ascii="Times New Roman" w:hAnsi="Times New Roman" w:eastAsia="宋体" w:cs="Times New Roman"/>
                      <w:color w:val="auto"/>
                      <w:spacing w:val="5"/>
                      <w:sz w:val="21"/>
                      <w:szCs w:val="21"/>
                      <w:u w:val="none" w:color="auto"/>
                      <w:lang w:val="en-US" w:eastAsia="zh-CN"/>
                    </w:rPr>
                    <w:t>综合楼</w:t>
                  </w:r>
                </w:p>
              </w:tc>
              <w:tc>
                <w:tcPr>
                  <w:tcW w:w="1280" w:type="pct"/>
                  <w:gridSpan w:val="4"/>
                  <w:noWrap w:val="0"/>
                  <w:vAlign w:val="center"/>
                </w:tcPr>
                <w:p w14:paraId="20DF75ED">
                  <w:pPr>
                    <w:pStyle w:val="170"/>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color w:val="auto"/>
                      <w:spacing w:val="4"/>
                      <w:sz w:val="21"/>
                      <w:szCs w:val="21"/>
                      <w:u w:val="none" w:color="auto"/>
                      <w:lang w:val="en-US"/>
                    </w:rPr>
                  </w:pPr>
                  <w:r>
                    <w:rPr>
                      <w:rFonts w:hint="default" w:ascii="Times New Roman" w:hAnsi="Times New Roman" w:eastAsia="宋体" w:cs="Times New Roman"/>
                      <w:color w:val="auto"/>
                      <w:spacing w:val="4"/>
                      <w:sz w:val="21"/>
                      <w:szCs w:val="21"/>
                      <w:u w:val="none" w:color="auto"/>
                      <w:lang w:val="en-US" w:eastAsia="zh-CN"/>
                    </w:rPr>
                    <w:t>新建，6层（地上5层，地下1层）</w:t>
                  </w:r>
                </w:p>
              </w:tc>
              <w:tc>
                <w:tcPr>
                  <w:tcW w:w="672" w:type="pct"/>
                  <w:noWrap w:val="0"/>
                  <w:vAlign w:val="center"/>
                </w:tcPr>
                <w:p w14:paraId="76BEB136">
                  <w:pPr>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color w:val="auto"/>
                      <w:spacing w:val="3"/>
                      <w:position w:val="1"/>
                      <w:sz w:val="21"/>
                      <w:szCs w:val="21"/>
                      <w:u w:val="none" w:color="auto"/>
                      <w:lang w:val="en-US" w:eastAsia="zh-CN"/>
                    </w:rPr>
                  </w:pPr>
                  <w:r>
                    <w:rPr>
                      <w:rFonts w:hint="default" w:ascii="Times New Roman" w:hAnsi="Times New Roman" w:eastAsia="宋体" w:cs="Times New Roman"/>
                      <w:color w:val="auto"/>
                      <w:spacing w:val="3"/>
                      <w:position w:val="1"/>
                      <w:sz w:val="21"/>
                      <w:szCs w:val="21"/>
                      <w:u w:val="none" w:color="auto"/>
                      <w:lang w:val="en-US" w:eastAsia="zh-CN"/>
                    </w:rPr>
                    <w:t>13846.31</w:t>
                  </w:r>
                </w:p>
              </w:tc>
              <w:tc>
                <w:tcPr>
                  <w:tcW w:w="404" w:type="pct"/>
                  <w:noWrap w:val="0"/>
                  <w:vAlign w:val="center"/>
                </w:tcPr>
                <w:p w14:paraId="000861FD">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w:t>
                  </w:r>
                </w:p>
              </w:tc>
              <w:tc>
                <w:tcPr>
                  <w:tcW w:w="452" w:type="pct"/>
                  <w:noWrap w:val="0"/>
                  <w:vAlign w:val="center"/>
                </w:tcPr>
                <w:p w14:paraId="6F6C454F">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地下一层设置生活水泵房、消防水泵房及消防水池。</w:t>
                  </w:r>
                </w:p>
                <w:p w14:paraId="07F79714">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地上主要布设普通教室，学生准备室，外语小教室，教师休息室，师生谈话室，音乐、舞蹈、美术、书法等各专业教室，并设1个合班教室等。</w:t>
                  </w:r>
                </w:p>
              </w:tc>
              <w:tc>
                <w:tcPr>
                  <w:tcW w:w="1345" w:type="pct"/>
                  <w:noWrap w:val="0"/>
                  <w:vAlign w:val="center"/>
                </w:tcPr>
                <w:p w14:paraId="58B08CAB">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地下一层设置生活水泵房、消防水泵房及消防水池。</w:t>
                  </w:r>
                </w:p>
                <w:p w14:paraId="5DDD5D45">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地上主要布设普通教室，学生准备室，外语小教室，教师休息室，师生谈话室，音乐、舞蹈、美术、书法等各专业教室，并设1个合班教室等。</w:t>
                  </w:r>
                </w:p>
              </w:tc>
              <w:tc>
                <w:tcPr>
                  <w:tcW w:w="278" w:type="pct"/>
                  <w:noWrap w:val="0"/>
                  <w:vAlign w:val="center"/>
                </w:tcPr>
                <w:p w14:paraId="579794EA">
                  <w:pPr>
                    <w:keepNext w:val="0"/>
                    <w:keepLines w:val="0"/>
                    <w:pageBreakBefore w:val="0"/>
                    <w:widowControl w:val="0"/>
                    <w:suppressLineNumbers w:val="0"/>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新建</w:t>
                  </w:r>
                </w:p>
              </w:tc>
            </w:tr>
            <w:tr w14:paraId="767C9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5A436420">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noWrap w:val="0"/>
                  <w:vAlign w:val="center"/>
                </w:tcPr>
                <w:p w14:paraId="50963B0B">
                  <w:pPr>
                    <w:pStyle w:val="170"/>
                    <w:keepNext w:val="0"/>
                    <w:keepLines w:val="0"/>
                    <w:pageBreakBefore w:val="0"/>
                    <w:kinsoku/>
                    <w:wordWrap/>
                    <w:overflowPunct/>
                    <w:topLinePunct w:val="0"/>
                    <w:bidi w:val="0"/>
                    <w:spacing w:line="240" w:lineRule="auto"/>
                    <w:ind w:left="0" w:right="0" w:firstLine="0"/>
                    <w:jc w:val="center"/>
                    <w:outlineLvl w:val="9"/>
                    <w:rPr>
                      <w:rFonts w:hint="default" w:ascii="Times New Roman" w:hAnsi="Times New Roman" w:eastAsia="宋体" w:cs="Times New Roman"/>
                      <w:color w:val="auto"/>
                      <w:spacing w:val="5"/>
                      <w:sz w:val="21"/>
                      <w:szCs w:val="21"/>
                      <w:u w:val="none" w:color="auto"/>
                      <w:lang w:val="en-US" w:eastAsia="zh-CN"/>
                    </w:rPr>
                  </w:pPr>
                  <w:r>
                    <w:rPr>
                      <w:rFonts w:hint="default" w:ascii="Times New Roman" w:hAnsi="Times New Roman" w:eastAsia="宋体" w:cs="Times New Roman"/>
                      <w:color w:val="auto"/>
                      <w:spacing w:val="5"/>
                      <w:sz w:val="21"/>
                      <w:szCs w:val="21"/>
                      <w:u w:val="none" w:color="auto"/>
                      <w:lang w:val="en-US" w:eastAsia="zh-CN"/>
                    </w:rPr>
                    <w:t>实验楼</w:t>
                  </w:r>
                </w:p>
              </w:tc>
              <w:tc>
                <w:tcPr>
                  <w:tcW w:w="1280" w:type="pct"/>
                  <w:gridSpan w:val="4"/>
                  <w:noWrap w:val="0"/>
                  <w:vAlign w:val="center"/>
                </w:tcPr>
                <w:p w14:paraId="4612FA95">
                  <w:pPr>
                    <w:pStyle w:val="170"/>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color w:val="auto"/>
                      <w:spacing w:val="4"/>
                      <w:sz w:val="21"/>
                      <w:szCs w:val="21"/>
                      <w:u w:val="none" w:color="auto"/>
                      <w:lang w:val="en-US" w:eastAsia="zh-CN"/>
                    </w:rPr>
                  </w:pPr>
                  <w:r>
                    <w:rPr>
                      <w:rFonts w:hint="default" w:ascii="Times New Roman" w:hAnsi="Times New Roman" w:eastAsia="宋体" w:cs="Times New Roman"/>
                      <w:color w:val="auto"/>
                      <w:spacing w:val="4"/>
                      <w:sz w:val="21"/>
                      <w:szCs w:val="21"/>
                      <w:u w:val="none" w:color="auto"/>
                      <w:lang w:val="en-US" w:eastAsia="zh-CN"/>
                    </w:rPr>
                    <w:t>新建，5层</w:t>
                  </w:r>
                </w:p>
              </w:tc>
              <w:tc>
                <w:tcPr>
                  <w:tcW w:w="672" w:type="pct"/>
                  <w:noWrap w:val="0"/>
                  <w:vAlign w:val="center"/>
                </w:tcPr>
                <w:p w14:paraId="46C2B7C2">
                  <w:pPr>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color w:val="auto"/>
                      <w:spacing w:val="3"/>
                      <w:position w:val="1"/>
                      <w:sz w:val="21"/>
                      <w:szCs w:val="21"/>
                      <w:u w:val="none" w:color="auto"/>
                      <w:lang w:val="en-US" w:eastAsia="zh-CN"/>
                    </w:rPr>
                  </w:pPr>
                  <w:r>
                    <w:rPr>
                      <w:rFonts w:hint="default" w:ascii="Times New Roman" w:hAnsi="Times New Roman" w:eastAsia="宋体" w:cs="Times New Roman"/>
                      <w:color w:val="auto"/>
                      <w:spacing w:val="3"/>
                      <w:position w:val="1"/>
                      <w:sz w:val="21"/>
                      <w:szCs w:val="21"/>
                      <w:u w:val="none" w:color="auto"/>
                      <w:lang w:val="en-US" w:eastAsia="zh-CN"/>
                    </w:rPr>
                    <w:t>5633.76</w:t>
                  </w:r>
                </w:p>
              </w:tc>
              <w:tc>
                <w:tcPr>
                  <w:tcW w:w="404" w:type="pct"/>
                  <w:noWrap w:val="0"/>
                  <w:vAlign w:val="center"/>
                </w:tcPr>
                <w:p w14:paraId="6D6A608F">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w:t>
                  </w:r>
                </w:p>
              </w:tc>
              <w:tc>
                <w:tcPr>
                  <w:tcW w:w="452" w:type="pct"/>
                  <w:noWrap w:val="0"/>
                  <w:vAlign w:val="center"/>
                </w:tcPr>
                <w:p w14:paraId="209D6A30">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主要布设通用实验室、专用实验室、研究工作室、学术活动室、图书资料室、实验动物房、温室、标本室、附属加工厂、器材库、卫生间等。</w:t>
                  </w:r>
                </w:p>
              </w:tc>
              <w:tc>
                <w:tcPr>
                  <w:tcW w:w="1345" w:type="pct"/>
                  <w:noWrap w:val="0"/>
                  <w:vAlign w:val="center"/>
                </w:tcPr>
                <w:p w14:paraId="53D67F66">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主要布设通用实验室、专用实验室、研究工作室、学术活动室、图书资料室、实验动物房、温室、标本室、附属加工厂、器材库、卫生间等。</w:t>
                  </w:r>
                </w:p>
              </w:tc>
              <w:tc>
                <w:tcPr>
                  <w:tcW w:w="278" w:type="pct"/>
                  <w:noWrap w:val="0"/>
                  <w:vAlign w:val="center"/>
                </w:tcPr>
                <w:p w14:paraId="3D24E69B">
                  <w:pPr>
                    <w:keepNext w:val="0"/>
                    <w:keepLines w:val="0"/>
                    <w:pageBreakBefore w:val="0"/>
                    <w:widowControl w:val="0"/>
                    <w:suppressLineNumbers w:val="0"/>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新建</w:t>
                  </w:r>
                </w:p>
              </w:tc>
            </w:tr>
            <w:tr w14:paraId="0CA40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6E2D86C0">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noWrap w:val="0"/>
                  <w:vAlign w:val="center"/>
                </w:tcPr>
                <w:p w14:paraId="42E96F0E">
                  <w:pPr>
                    <w:pStyle w:val="170"/>
                    <w:keepNext w:val="0"/>
                    <w:keepLines w:val="0"/>
                    <w:pageBreakBefore w:val="0"/>
                    <w:kinsoku/>
                    <w:wordWrap/>
                    <w:overflowPunct/>
                    <w:topLinePunct w:val="0"/>
                    <w:bidi w:val="0"/>
                    <w:spacing w:line="240" w:lineRule="auto"/>
                    <w:ind w:left="0" w:right="0" w:firstLine="0"/>
                    <w:jc w:val="center"/>
                    <w:outlineLvl w:val="9"/>
                    <w:rPr>
                      <w:rFonts w:hint="default" w:ascii="Times New Roman" w:hAnsi="Times New Roman" w:eastAsia="宋体" w:cs="Times New Roman"/>
                      <w:color w:val="auto"/>
                      <w:spacing w:val="5"/>
                      <w:sz w:val="21"/>
                      <w:szCs w:val="21"/>
                      <w:u w:val="none" w:color="auto"/>
                      <w:lang w:val="en-US" w:eastAsia="zh-CN"/>
                    </w:rPr>
                  </w:pPr>
                  <w:r>
                    <w:rPr>
                      <w:rFonts w:hint="default" w:ascii="Times New Roman" w:hAnsi="Times New Roman" w:eastAsia="宋体" w:cs="Times New Roman"/>
                      <w:color w:val="auto"/>
                      <w:spacing w:val="5"/>
                      <w:sz w:val="21"/>
                      <w:szCs w:val="21"/>
                      <w:u w:val="none" w:color="auto"/>
                      <w:lang w:val="en-US" w:eastAsia="zh-CN"/>
                    </w:rPr>
                    <w:t>大门</w:t>
                  </w:r>
                </w:p>
              </w:tc>
              <w:tc>
                <w:tcPr>
                  <w:tcW w:w="1280" w:type="pct"/>
                  <w:gridSpan w:val="4"/>
                  <w:noWrap w:val="0"/>
                  <w:vAlign w:val="center"/>
                </w:tcPr>
                <w:p w14:paraId="65E745FA">
                  <w:pPr>
                    <w:pStyle w:val="170"/>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color w:val="auto"/>
                      <w:spacing w:val="4"/>
                      <w:sz w:val="21"/>
                      <w:szCs w:val="21"/>
                      <w:u w:val="none" w:color="auto"/>
                      <w:lang w:val="en-US" w:eastAsia="zh-CN"/>
                    </w:rPr>
                  </w:pPr>
                  <w:r>
                    <w:rPr>
                      <w:rFonts w:hint="default" w:ascii="Times New Roman" w:hAnsi="Times New Roman" w:eastAsia="宋体" w:cs="Times New Roman"/>
                      <w:color w:val="auto"/>
                      <w:spacing w:val="4"/>
                      <w:sz w:val="21"/>
                      <w:szCs w:val="21"/>
                      <w:u w:val="none" w:color="auto"/>
                      <w:lang w:val="en-US" w:eastAsia="zh-CN"/>
                    </w:rPr>
                    <w:t>新建</w:t>
                  </w:r>
                </w:p>
              </w:tc>
              <w:tc>
                <w:tcPr>
                  <w:tcW w:w="672" w:type="pct"/>
                  <w:noWrap w:val="0"/>
                  <w:vAlign w:val="center"/>
                </w:tcPr>
                <w:p w14:paraId="0F7FBF84">
                  <w:pPr>
                    <w:keepNext w:val="0"/>
                    <w:keepLines w:val="0"/>
                    <w:pageBreakBefore w:val="0"/>
                    <w:kinsoku/>
                    <w:wordWrap/>
                    <w:overflowPunct/>
                    <w:topLinePunct w:val="0"/>
                    <w:bidi w:val="0"/>
                    <w:spacing w:line="240" w:lineRule="auto"/>
                    <w:ind w:left="0" w:leftChars="0" w:right="0" w:firstLine="0"/>
                    <w:jc w:val="center"/>
                    <w:outlineLvl w:val="9"/>
                    <w:rPr>
                      <w:rFonts w:hint="default" w:ascii="Times New Roman" w:hAnsi="Times New Roman" w:eastAsia="宋体" w:cs="Times New Roman"/>
                      <w:color w:val="auto"/>
                      <w:spacing w:val="3"/>
                      <w:position w:val="1"/>
                      <w:sz w:val="21"/>
                      <w:szCs w:val="21"/>
                      <w:u w:val="none" w:color="auto"/>
                      <w:lang w:val="en-US" w:eastAsia="zh-CN"/>
                    </w:rPr>
                  </w:pPr>
                  <w:r>
                    <w:rPr>
                      <w:rFonts w:hint="default" w:ascii="Times New Roman" w:hAnsi="Times New Roman" w:eastAsia="宋体" w:cs="Times New Roman"/>
                      <w:color w:val="auto"/>
                      <w:spacing w:val="3"/>
                      <w:position w:val="1"/>
                      <w:sz w:val="21"/>
                      <w:szCs w:val="21"/>
                      <w:u w:val="none" w:color="auto"/>
                      <w:lang w:val="en-US" w:eastAsia="zh-CN"/>
                    </w:rPr>
                    <w:t>16.45</w:t>
                  </w:r>
                </w:p>
              </w:tc>
              <w:tc>
                <w:tcPr>
                  <w:tcW w:w="404" w:type="pct"/>
                  <w:noWrap w:val="0"/>
                  <w:vAlign w:val="center"/>
                </w:tcPr>
                <w:p w14:paraId="0C47C6C8">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w:t>
                  </w:r>
                </w:p>
              </w:tc>
              <w:tc>
                <w:tcPr>
                  <w:tcW w:w="452" w:type="pct"/>
                  <w:noWrap w:val="0"/>
                  <w:vAlign w:val="center"/>
                </w:tcPr>
                <w:p w14:paraId="0CEEEB98">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为方便西侧教学区学生放假进出</w:t>
                  </w:r>
                </w:p>
              </w:tc>
              <w:tc>
                <w:tcPr>
                  <w:tcW w:w="1345" w:type="pct"/>
                  <w:noWrap w:val="0"/>
                  <w:vAlign w:val="center"/>
                </w:tcPr>
                <w:p w14:paraId="665E0655">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为方便西侧教学区学生放假进出</w:t>
                  </w:r>
                </w:p>
              </w:tc>
              <w:tc>
                <w:tcPr>
                  <w:tcW w:w="278" w:type="pct"/>
                  <w:noWrap w:val="0"/>
                  <w:vAlign w:val="center"/>
                </w:tcPr>
                <w:p w14:paraId="6F122260">
                  <w:pPr>
                    <w:keepNext w:val="0"/>
                    <w:keepLines w:val="0"/>
                    <w:pageBreakBefore w:val="0"/>
                    <w:widowControl w:val="0"/>
                    <w:suppressLineNumbers w:val="0"/>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新建</w:t>
                  </w:r>
                </w:p>
              </w:tc>
            </w:tr>
            <w:tr w14:paraId="58C86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1CCD6771">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noWrap w:val="0"/>
                  <w:vAlign w:val="center"/>
                </w:tcPr>
                <w:p w14:paraId="62E1509C">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一般固废暂存间</w:t>
                  </w:r>
                </w:p>
              </w:tc>
              <w:tc>
                <w:tcPr>
                  <w:tcW w:w="1280" w:type="pct"/>
                  <w:gridSpan w:val="4"/>
                  <w:noWrap w:val="0"/>
                  <w:vAlign w:val="center"/>
                </w:tcPr>
                <w:p w14:paraId="1A6A3AF8">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23"/>
                      <w:sz w:val="21"/>
                      <w:szCs w:val="21"/>
                      <w:highlight w:val="none"/>
                      <w:u w:val="none" w:color="auto"/>
                    </w:rPr>
                  </w:pPr>
                  <w:r>
                    <w:rPr>
                      <w:rFonts w:hint="default" w:ascii="Times New Roman" w:hAnsi="Times New Roman" w:eastAsia="宋体" w:cs="Times New Roman"/>
                      <w:color w:val="auto"/>
                      <w:spacing w:val="-23"/>
                      <w:sz w:val="21"/>
                      <w:szCs w:val="21"/>
                      <w:highlight w:val="none"/>
                      <w:u w:val="none" w:color="auto"/>
                    </w:rPr>
                    <w:t>1层，</w:t>
                  </w:r>
                  <w:r>
                    <w:rPr>
                      <w:rFonts w:hint="default" w:ascii="Times New Roman" w:hAnsi="Times New Roman" w:eastAsia="宋体" w:cs="Times New Roman"/>
                      <w:color w:val="auto"/>
                      <w:spacing w:val="-23"/>
                      <w:sz w:val="21"/>
                      <w:szCs w:val="21"/>
                      <w:highlight w:val="none"/>
                      <w:u w:val="none" w:color="auto"/>
                      <w:lang w:val="en-US" w:eastAsia="zh-CN"/>
                    </w:rPr>
                    <w:t>钢构</w:t>
                  </w:r>
                </w:p>
              </w:tc>
              <w:tc>
                <w:tcPr>
                  <w:tcW w:w="672" w:type="pct"/>
                  <w:noWrap w:val="0"/>
                  <w:vAlign w:val="center"/>
                </w:tcPr>
                <w:p w14:paraId="1A69BE76">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20</w:t>
                  </w:r>
                </w:p>
              </w:tc>
              <w:tc>
                <w:tcPr>
                  <w:tcW w:w="404" w:type="pct"/>
                  <w:noWrap w:val="0"/>
                  <w:vAlign w:val="center"/>
                </w:tcPr>
                <w:p w14:paraId="309CB827">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w:t>
                  </w:r>
                </w:p>
              </w:tc>
              <w:tc>
                <w:tcPr>
                  <w:tcW w:w="452" w:type="pct"/>
                  <w:noWrap w:val="0"/>
                  <w:vAlign w:val="center"/>
                </w:tcPr>
                <w:p w14:paraId="104C3724">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位于综合楼地下一层西南角，用于储存一般工业固废</w:t>
                  </w:r>
                </w:p>
              </w:tc>
              <w:tc>
                <w:tcPr>
                  <w:tcW w:w="1345" w:type="pct"/>
                  <w:shd w:val="clear" w:color="auto" w:fill="auto"/>
                  <w:noWrap w:val="0"/>
                  <w:vAlign w:val="center"/>
                </w:tcPr>
                <w:p w14:paraId="5B7A3172">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11"/>
                      <w:kern w:val="2"/>
                      <w:sz w:val="21"/>
                      <w:szCs w:val="21"/>
                      <w:highlight w:val="none"/>
                      <w:u w:val="none" w:color="auto"/>
                      <w:lang w:val="en-US" w:eastAsia="zh-CN" w:bidi="ar-SA"/>
                    </w:rPr>
                  </w:pPr>
                  <w:r>
                    <w:rPr>
                      <w:rFonts w:hint="default" w:ascii="Times New Roman" w:hAnsi="Times New Roman" w:eastAsia="宋体" w:cs="Times New Roman"/>
                      <w:color w:val="auto"/>
                      <w:spacing w:val="-11"/>
                      <w:sz w:val="21"/>
                      <w:szCs w:val="21"/>
                      <w:highlight w:val="none"/>
                      <w:u w:val="none" w:color="auto"/>
                      <w:lang w:val="en-US" w:eastAsia="zh-CN"/>
                    </w:rPr>
                    <w:t>位于综合楼地下一层西南角，用于储存一般工业固废</w:t>
                  </w:r>
                </w:p>
              </w:tc>
              <w:tc>
                <w:tcPr>
                  <w:tcW w:w="278" w:type="pct"/>
                  <w:noWrap w:val="0"/>
                  <w:vAlign w:val="center"/>
                </w:tcPr>
                <w:p w14:paraId="3595F20B">
                  <w:pPr>
                    <w:keepNext w:val="0"/>
                    <w:keepLines w:val="0"/>
                    <w:pageBreakBefore w:val="0"/>
                    <w:widowControl w:val="0"/>
                    <w:suppressLineNumbers w:val="0"/>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新建</w:t>
                  </w:r>
                </w:p>
              </w:tc>
            </w:tr>
            <w:tr w14:paraId="3DA42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6985A710">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noWrap w:val="0"/>
                  <w:vAlign w:val="center"/>
                </w:tcPr>
                <w:p w14:paraId="0DD87255">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危废暂存间</w:t>
                  </w:r>
                </w:p>
              </w:tc>
              <w:tc>
                <w:tcPr>
                  <w:tcW w:w="1280" w:type="pct"/>
                  <w:gridSpan w:val="4"/>
                  <w:noWrap w:val="0"/>
                  <w:vAlign w:val="center"/>
                </w:tcPr>
                <w:p w14:paraId="628E60C2">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23"/>
                      <w:sz w:val="21"/>
                      <w:szCs w:val="21"/>
                      <w:highlight w:val="none"/>
                      <w:u w:val="none" w:color="auto"/>
                    </w:rPr>
                  </w:pPr>
                  <w:r>
                    <w:rPr>
                      <w:rFonts w:hint="default" w:ascii="Times New Roman" w:hAnsi="Times New Roman" w:eastAsia="宋体" w:cs="Times New Roman"/>
                      <w:color w:val="auto"/>
                      <w:spacing w:val="-23"/>
                      <w:sz w:val="21"/>
                      <w:szCs w:val="21"/>
                      <w:highlight w:val="none"/>
                      <w:u w:val="none" w:color="auto"/>
                    </w:rPr>
                    <w:t>1层，</w:t>
                  </w:r>
                  <w:r>
                    <w:rPr>
                      <w:rFonts w:hint="default" w:ascii="Times New Roman" w:hAnsi="Times New Roman" w:eastAsia="宋体" w:cs="Times New Roman"/>
                      <w:color w:val="auto"/>
                      <w:spacing w:val="-23"/>
                      <w:sz w:val="21"/>
                      <w:szCs w:val="21"/>
                      <w:highlight w:val="none"/>
                      <w:u w:val="none" w:color="auto"/>
                      <w:lang w:val="en-US" w:eastAsia="zh-CN"/>
                    </w:rPr>
                    <w:t>钢构</w:t>
                  </w:r>
                </w:p>
              </w:tc>
              <w:tc>
                <w:tcPr>
                  <w:tcW w:w="672" w:type="pct"/>
                  <w:noWrap w:val="0"/>
                  <w:vAlign w:val="center"/>
                </w:tcPr>
                <w:p w14:paraId="46987233">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10</w:t>
                  </w:r>
                </w:p>
              </w:tc>
              <w:tc>
                <w:tcPr>
                  <w:tcW w:w="404" w:type="pct"/>
                  <w:noWrap w:val="0"/>
                  <w:vAlign w:val="center"/>
                </w:tcPr>
                <w:p w14:paraId="30B287C1">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w:t>
                  </w:r>
                </w:p>
              </w:tc>
              <w:tc>
                <w:tcPr>
                  <w:tcW w:w="452" w:type="pct"/>
                  <w:noWrap w:val="0"/>
                  <w:vAlign w:val="center"/>
                </w:tcPr>
                <w:p w14:paraId="0DB269F3">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11"/>
                      <w:sz w:val="21"/>
                      <w:szCs w:val="21"/>
                      <w:highlight w:val="none"/>
                      <w:u w:val="none" w:color="auto"/>
                      <w:lang w:val="en-US" w:eastAsia="zh-CN"/>
                    </w:rPr>
                  </w:pPr>
                  <w:r>
                    <w:rPr>
                      <w:rFonts w:hint="default" w:ascii="Times New Roman" w:hAnsi="Times New Roman" w:eastAsia="宋体" w:cs="Times New Roman"/>
                      <w:color w:val="auto"/>
                      <w:spacing w:val="-11"/>
                      <w:sz w:val="21"/>
                      <w:szCs w:val="21"/>
                      <w:highlight w:val="none"/>
                      <w:u w:val="none" w:color="auto"/>
                      <w:lang w:val="en-US" w:eastAsia="zh-CN"/>
                    </w:rPr>
                    <w:t>位于一般固废暂存间北侧，用于储存危险废物</w:t>
                  </w:r>
                </w:p>
              </w:tc>
              <w:tc>
                <w:tcPr>
                  <w:tcW w:w="1345" w:type="pct"/>
                  <w:shd w:val="clear" w:color="auto" w:fill="auto"/>
                  <w:noWrap w:val="0"/>
                  <w:vAlign w:val="center"/>
                </w:tcPr>
                <w:p w14:paraId="4C9F4A29">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11"/>
                      <w:kern w:val="2"/>
                      <w:sz w:val="21"/>
                      <w:szCs w:val="21"/>
                      <w:highlight w:val="none"/>
                      <w:u w:val="none" w:color="auto"/>
                      <w:lang w:val="en-US" w:eastAsia="zh-CN" w:bidi="ar-SA"/>
                    </w:rPr>
                  </w:pPr>
                  <w:r>
                    <w:rPr>
                      <w:rFonts w:hint="default" w:ascii="Times New Roman" w:hAnsi="Times New Roman" w:eastAsia="宋体" w:cs="Times New Roman"/>
                      <w:color w:val="auto"/>
                      <w:spacing w:val="-11"/>
                      <w:sz w:val="21"/>
                      <w:szCs w:val="21"/>
                      <w:highlight w:val="none"/>
                      <w:u w:val="none" w:color="auto"/>
                      <w:lang w:val="en-US" w:eastAsia="zh-CN"/>
                    </w:rPr>
                    <w:t>位于一般固废暂存间北侧，用于储存危险废物</w:t>
                  </w:r>
                </w:p>
              </w:tc>
              <w:tc>
                <w:tcPr>
                  <w:tcW w:w="278" w:type="pct"/>
                  <w:noWrap w:val="0"/>
                  <w:vAlign w:val="center"/>
                </w:tcPr>
                <w:p w14:paraId="71578FE3">
                  <w:pPr>
                    <w:keepNext w:val="0"/>
                    <w:keepLines w:val="0"/>
                    <w:pageBreakBefore w:val="0"/>
                    <w:widowControl w:val="0"/>
                    <w:suppressLineNumbers w:val="0"/>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新建</w:t>
                  </w:r>
                </w:p>
              </w:tc>
            </w:tr>
            <w:tr w14:paraId="6F8D8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restart"/>
                  <w:noWrap w:val="0"/>
                  <w:vAlign w:val="center"/>
                </w:tcPr>
                <w:p w14:paraId="40E0CCC2">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环保工程</w:t>
                  </w:r>
                </w:p>
              </w:tc>
              <w:tc>
                <w:tcPr>
                  <w:tcW w:w="288" w:type="pct"/>
                  <w:vMerge w:val="restart"/>
                  <w:noWrap w:val="0"/>
                  <w:vAlign w:val="center"/>
                </w:tcPr>
                <w:p w14:paraId="4B2BF8F0">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废水</w:t>
                  </w:r>
                </w:p>
              </w:tc>
              <w:tc>
                <w:tcPr>
                  <w:tcW w:w="1280" w:type="pct"/>
                  <w:gridSpan w:val="4"/>
                  <w:noWrap w:val="0"/>
                  <w:vAlign w:val="center"/>
                </w:tcPr>
                <w:p w14:paraId="3AFE3AAE">
                  <w:pPr>
                    <w:keepNext w:val="0"/>
                    <w:keepLines w:val="0"/>
                    <w:pageBreakBefore w:val="0"/>
                    <w:widowControl/>
                    <w:kinsoku w:val="0"/>
                    <w:wordWrap/>
                    <w:overflowPunct/>
                    <w:topLinePunct w:val="0"/>
                    <w:autoSpaceDE w:val="0"/>
                    <w:autoSpaceDN w:val="0"/>
                    <w:bidi w:val="0"/>
                    <w:adjustRightInd w:val="0"/>
                    <w:snapToGrid w:val="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u w:val="none" w:color="auto"/>
                      <w:lang w:val="en-US" w:eastAsia="zh-CN"/>
                    </w:rPr>
                    <w:t>师生日常生活污水</w:t>
                  </w:r>
                </w:p>
              </w:tc>
              <w:tc>
                <w:tcPr>
                  <w:tcW w:w="672" w:type="pct"/>
                  <w:noWrap w:val="0"/>
                  <w:vAlign w:val="center"/>
                </w:tcPr>
                <w:p w14:paraId="6AAE56DA">
                  <w:pPr>
                    <w:keepNext w:val="0"/>
                    <w:keepLines w:val="0"/>
                    <w:pageBreakBefore w:val="0"/>
                    <w:wordWrap/>
                    <w:overflowPunct/>
                    <w:topLinePunct w:val="0"/>
                    <w:bidi w:val="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z w:val="21"/>
                      <w:szCs w:val="21"/>
                      <w:u w:val="none" w:color="auto"/>
                    </w:rPr>
                    <w:t>COD、BOD</w:t>
                  </w:r>
                  <w:r>
                    <w:rPr>
                      <w:rFonts w:hint="default" w:ascii="Times New Roman" w:hAnsi="Times New Roman" w:eastAsia="宋体" w:cs="Times New Roman"/>
                      <w:color w:val="auto"/>
                      <w:sz w:val="21"/>
                      <w:szCs w:val="21"/>
                      <w:u w:val="none" w:color="auto"/>
                      <w:vertAlign w:val="subscript"/>
                    </w:rPr>
                    <w:t>5</w:t>
                  </w:r>
                  <w:r>
                    <w:rPr>
                      <w:rFonts w:hint="default" w:ascii="Times New Roman" w:hAnsi="Times New Roman" w:eastAsia="宋体" w:cs="Times New Roman"/>
                      <w:color w:val="auto"/>
                      <w:sz w:val="21"/>
                      <w:szCs w:val="21"/>
                      <w:u w:val="none" w:color="auto"/>
                    </w:rPr>
                    <w:t>、NH</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rPr>
                    <w:t>-N、SS、pH</w:t>
                  </w:r>
                </w:p>
              </w:tc>
              <w:tc>
                <w:tcPr>
                  <w:tcW w:w="2203" w:type="pct"/>
                  <w:gridSpan w:val="3"/>
                  <w:vMerge w:val="restart"/>
                  <w:noWrap w:val="0"/>
                  <w:vAlign w:val="center"/>
                </w:tcPr>
                <w:p w14:paraId="6A952999">
                  <w:pPr>
                    <w:keepNext w:val="0"/>
                    <w:keepLines w:val="0"/>
                    <w:pageBreakBefore w:val="0"/>
                    <w:suppressLineNumbers w:val="0"/>
                    <w:kinsoku/>
                    <w:wordWrap/>
                    <w:overflowPunct/>
                    <w:topLinePunct w:val="0"/>
                    <w:bidi w:val="0"/>
                    <w:snapToGrid w:val="0"/>
                    <w:spacing w:beforeAutospacing="0" w:after="0" w:afterAutospacing="0" w:line="240" w:lineRule="auto"/>
                    <w:ind w:left="0" w:leftChars="0" w:right="0" w:rightChars="0" w:firstLine="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z w:val="21"/>
                      <w:szCs w:val="21"/>
                      <w:u w:val="none" w:color="auto"/>
                      <w:lang w:val="en-US" w:eastAsia="zh-CN"/>
                    </w:rPr>
                    <w:t>师生日常生活污水与经现有地埋式隔油池（1座，地埋式，容积230m</w:t>
                  </w:r>
                  <w:r>
                    <w:rPr>
                      <w:rFonts w:hint="default" w:ascii="Times New Roman" w:hAnsi="Times New Roman" w:eastAsia="宋体" w:cs="Times New Roman"/>
                      <w:color w:val="auto"/>
                      <w:sz w:val="21"/>
                      <w:szCs w:val="21"/>
                      <w:u w:val="none" w:color="auto"/>
                      <w:vertAlign w:val="superscript"/>
                      <w:lang w:val="en-US" w:eastAsia="zh-CN"/>
                    </w:rPr>
                    <w:t>3</w:t>
                  </w:r>
                  <w:r>
                    <w:rPr>
                      <w:rFonts w:hint="default" w:ascii="Times New Roman" w:hAnsi="Times New Roman" w:eastAsia="宋体" w:cs="Times New Roman"/>
                      <w:color w:val="auto"/>
                      <w:sz w:val="21"/>
                      <w:szCs w:val="21"/>
                      <w:u w:val="none" w:color="auto"/>
                      <w:lang w:val="en-US" w:eastAsia="zh-CN"/>
                    </w:rPr>
                    <w:t>）处理后的</w:t>
                  </w:r>
                  <w:r>
                    <w:rPr>
                      <w:rFonts w:hint="eastAsia" w:cs="Times New Roman"/>
                      <w:color w:val="auto"/>
                      <w:sz w:val="21"/>
                      <w:szCs w:val="21"/>
                      <w:u w:val="none" w:color="auto"/>
                      <w:lang w:val="en-US" w:eastAsia="zh-CN"/>
                    </w:rPr>
                    <w:t>餐厅</w:t>
                  </w:r>
                  <w:r>
                    <w:rPr>
                      <w:rFonts w:hint="default" w:ascii="Times New Roman" w:hAnsi="Times New Roman" w:eastAsia="宋体" w:cs="Times New Roman"/>
                      <w:color w:val="auto"/>
                      <w:sz w:val="21"/>
                      <w:szCs w:val="21"/>
                      <w:u w:val="none" w:color="auto"/>
                      <w:lang w:val="en-US" w:eastAsia="zh-CN"/>
                    </w:rPr>
                    <w:t>废水以及经中和池（新建，1座，地埋式，容积5m</w:t>
                  </w:r>
                  <w:r>
                    <w:rPr>
                      <w:rFonts w:hint="default" w:ascii="Times New Roman" w:hAnsi="Times New Roman" w:eastAsia="宋体" w:cs="Times New Roman"/>
                      <w:color w:val="auto"/>
                      <w:sz w:val="21"/>
                      <w:szCs w:val="21"/>
                      <w:u w:val="none" w:color="auto"/>
                      <w:vertAlign w:val="superscript"/>
                      <w:lang w:val="en-US" w:eastAsia="zh-CN"/>
                    </w:rPr>
                    <w:t>3</w:t>
                  </w:r>
                  <w:r>
                    <w:rPr>
                      <w:rFonts w:hint="default" w:ascii="Times New Roman" w:hAnsi="Times New Roman" w:eastAsia="宋体" w:cs="Times New Roman"/>
                      <w:color w:val="auto"/>
                      <w:sz w:val="21"/>
                      <w:szCs w:val="21"/>
                      <w:u w:val="none" w:color="auto"/>
                      <w:lang w:val="en-US" w:eastAsia="zh-CN"/>
                    </w:rPr>
                    <w:t>）处理后的实验室废水一起进入现有地埋式化粪池（1座，地埋式，现有容积650m</w:t>
                  </w:r>
                  <w:r>
                    <w:rPr>
                      <w:rFonts w:hint="default" w:ascii="Times New Roman" w:hAnsi="Times New Roman" w:eastAsia="宋体" w:cs="Times New Roman"/>
                      <w:color w:val="auto"/>
                      <w:sz w:val="21"/>
                      <w:szCs w:val="21"/>
                      <w:u w:val="none" w:color="auto"/>
                      <w:vertAlign w:val="superscript"/>
                      <w:lang w:val="en-US" w:eastAsia="zh-CN"/>
                    </w:rPr>
                    <w:t>3</w:t>
                  </w:r>
                  <w:r>
                    <w:rPr>
                      <w:rFonts w:hint="default" w:ascii="Times New Roman" w:hAnsi="Times New Roman" w:eastAsia="宋体" w:cs="Times New Roman"/>
                      <w:color w:val="auto"/>
                      <w:sz w:val="21"/>
                      <w:szCs w:val="21"/>
                      <w:u w:val="none" w:color="auto"/>
                      <w:lang w:val="en-US" w:eastAsia="zh-CN"/>
                    </w:rPr>
                    <w:t>）处理后</w:t>
                  </w:r>
                  <w:r>
                    <w:rPr>
                      <w:rFonts w:hint="default" w:ascii="Times New Roman" w:hAnsi="Times New Roman" w:eastAsia="宋体" w:cs="Times New Roman"/>
                      <w:color w:val="auto"/>
                      <w:kern w:val="0"/>
                      <w:sz w:val="21"/>
                      <w:szCs w:val="21"/>
                      <w:u w:val="none" w:color="auto"/>
                    </w:rPr>
                    <w:t>满足《污水综合排放标准》（GB8978-1996）表4三级标准及镇平县</w:t>
                  </w:r>
                  <w:r>
                    <w:rPr>
                      <w:rFonts w:hint="default" w:ascii="Times New Roman" w:hAnsi="Times New Roman" w:eastAsia="宋体" w:cs="Times New Roman"/>
                      <w:color w:val="auto"/>
                      <w:kern w:val="0"/>
                      <w:sz w:val="21"/>
                      <w:szCs w:val="21"/>
                      <w:u w:val="none" w:color="auto"/>
                      <w:lang w:val="en-US" w:eastAsia="zh-CN"/>
                    </w:rPr>
                    <w:t>污水处理中心</w:t>
                  </w:r>
                  <w:r>
                    <w:rPr>
                      <w:rFonts w:hint="default" w:ascii="Times New Roman" w:hAnsi="Times New Roman" w:eastAsia="宋体" w:cs="Times New Roman"/>
                      <w:color w:val="auto"/>
                      <w:kern w:val="0"/>
                      <w:sz w:val="21"/>
                      <w:szCs w:val="21"/>
                      <w:u w:val="none" w:color="auto"/>
                    </w:rPr>
                    <w:t>进水水质指标后经市政污水管网进入镇平县</w:t>
                  </w:r>
                  <w:r>
                    <w:rPr>
                      <w:rFonts w:hint="default" w:ascii="Times New Roman" w:hAnsi="Times New Roman" w:eastAsia="宋体" w:cs="Times New Roman"/>
                      <w:color w:val="auto"/>
                      <w:kern w:val="0"/>
                      <w:sz w:val="21"/>
                      <w:szCs w:val="21"/>
                      <w:u w:val="none" w:color="auto"/>
                      <w:lang w:val="en-US" w:eastAsia="zh-CN"/>
                    </w:rPr>
                    <w:t>污水处理中心</w:t>
                  </w:r>
                  <w:r>
                    <w:rPr>
                      <w:rFonts w:hint="default" w:ascii="Times New Roman" w:hAnsi="Times New Roman" w:eastAsia="宋体" w:cs="Times New Roman"/>
                      <w:color w:val="auto"/>
                      <w:kern w:val="0"/>
                      <w:sz w:val="21"/>
                      <w:szCs w:val="21"/>
                      <w:u w:val="none" w:color="auto"/>
                    </w:rPr>
                    <w:t>进一步处理达到《城镇污水处理厂污染物排放标准》（GB18918-2002）一级A标准后</w:t>
                  </w:r>
                  <w:r>
                    <w:rPr>
                      <w:rFonts w:hint="default" w:ascii="Times New Roman" w:hAnsi="Times New Roman" w:eastAsia="宋体" w:cs="Times New Roman"/>
                      <w:color w:val="auto"/>
                      <w:sz w:val="21"/>
                      <w:szCs w:val="21"/>
                      <w:u w:val="none" w:color="auto"/>
                    </w:rPr>
                    <w:t>排入</w:t>
                  </w:r>
                  <w:r>
                    <w:rPr>
                      <w:rFonts w:hint="default" w:ascii="Times New Roman" w:hAnsi="Times New Roman" w:eastAsia="宋体" w:cs="Times New Roman"/>
                      <w:color w:val="auto"/>
                      <w:sz w:val="21"/>
                      <w:szCs w:val="21"/>
                      <w:u w:val="none" w:color="auto"/>
                      <w:lang w:val="en-US" w:eastAsia="zh-CN"/>
                    </w:rPr>
                    <w:t>西三里河</w:t>
                  </w:r>
                </w:p>
              </w:tc>
              <w:tc>
                <w:tcPr>
                  <w:tcW w:w="278" w:type="pct"/>
                  <w:noWrap w:val="0"/>
                  <w:vAlign w:val="center"/>
                </w:tcPr>
                <w:p w14:paraId="377DDE56">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新增</w:t>
                  </w:r>
                </w:p>
              </w:tc>
            </w:tr>
            <w:tr w14:paraId="611C4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2F9C0ECF">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vMerge w:val="continue"/>
                  <w:noWrap w:val="0"/>
                  <w:vAlign w:val="center"/>
                </w:tcPr>
                <w:p w14:paraId="1DA94757">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1280" w:type="pct"/>
                  <w:gridSpan w:val="4"/>
                  <w:noWrap w:val="0"/>
                  <w:vAlign w:val="center"/>
                </w:tcPr>
                <w:p w14:paraId="7C312365">
                  <w:pPr>
                    <w:keepNext w:val="0"/>
                    <w:keepLines w:val="0"/>
                    <w:pageBreakBefore w:val="0"/>
                    <w:widowControl/>
                    <w:kinsoku w:val="0"/>
                    <w:wordWrap/>
                    <w:overflowPunct/>
                    <w:topLinePunct w:val="0"/>
                    <w:autoSpaceDE w:val="0"/>
                    <w:autoSpaceDN w:val="0"/>
                    <w:bidi w:val="0"/>
                    <w:adjustRightInd w:val="0"/>
                    <w:snapToGrid w:val="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eastAsia" w:cs="Times New Roman"/>
                      <w:bCs/>
                      <w:color w:val="auto"/>
                      <w:sz w:val="21"/>
                      <w:szCs w:val="21"/>
                      <w:u w:val="none" w:color="auto"/>
                      <w:lang w:val="en-US" w:eastAsia="zh-CN"/>
                    </w:rPr>
                    <w:t>餐厅</w:t>
                  </w:r>
                  <w:r>
                    <w:rPr>
                      <w:rFonts w:hint="default" w:ascii="Times New Roman" w:hAnsi="Times New Roman" w:eastAsia="宋体" w:cs="Times New Roman"/>
                      <w:bCs/>
                      <w:color w:val="auto"/>
                      <w:sz w:val="21"/>
                      <w:szCs w:val="21"/>
                      <w:u w:val="none" w:color="auto"/>
                      <w:lang w:val="en-US" w:eastAsia="zh-CN"/>
                    </w:rPr>
                    <w:t>废水</w:t>
                  </w:r>
                </w:p>
              </w:tc>
              <w:tc>
                <w:tcPr>
                  <w:tcW w:w="672" w:type="pct"/>
                  <w:noWrap w:val="0"/>
                  <w:vAlign w:val="center"/>
                </w:tcPr>
                <w:p w14:paraId="1A5BE1F5">
                  <w:pPr>
                    <w:keepNext w:val="0"/>
                    <w:keepLines w:val="0"/>
                    <w:pageBreakBefore w:val="0"/>
                    <w:wordWrap/>
                    <w:overflowPunct/>
                    <w:topLinePunct w:val="0"/>
                    <w:bidi w:val="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z w:val="21"/>
                      <w:szCs w:val="21"/>
                      <w:u w:val="none" w:color="auto"/>
                    </w:rPr>
                    <w:t>COD、BOD</w:t>
                  </w:r>
                  <w:r>
                    <w:rPr>
                      <w:rFonts w:hint="default" w:ascii="Times New Roman" w:hAnsi="Times New Roman" w:eastAsia="宋体" w:cs="Times New Roman"/>
                      <w:color w:val="auto"/>
                      <w:sz w:val="21"/>
                      <w:szCs w:val="21"/>
                      <w:u w:val="none" w:color="auto"/>
                      <w:vertAlign w:val="subscript"/>
                    </w:rPr>
                    <w:t>5</w:t>
                  </w:r>
                  <w:r>
                    <w:rPr>
                      <w:rFonts w:hint="default" w:ascii="Times New Roman" w:hAnsi="Times New Roman" w:eastAsia="宋体" w:cs="Times New Roman"/>
                      <w:color w:val="auto"/>
                      <w:sz w:val="21"/>
                      <w:szCs w:val="21"/>
                      <w:u w:val="none" w:color="auto"/>
                    </w:rPr>
                    <w:t>、NH</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rPr>
                    <w:t>-N、SS、pH</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动植物油</w:t>
                  </w:r>
                </w:p>
              </w:tc>
              <w:tc>
                <w:tcPr>
                  <w:tcW w:w="2203" w:type="pct"/>
                  <w:gridSpan w:val="3"/>
                  <w:vMerge w:val="continue"/>
                  <w:noWrap w:val="0"/>
                  <w:vAlign w:val="center"/>
                </w:tcPr>
                <w:p w14:paraId="23D8C54A">
                  <w:pPr>
                    <w:keepNext w:val="0"/>
                    <w:keepLines w:val="0"/>
                    <w:pageBreakBefore w:val="0"/>
                    <w:suppressLineNumbers w:val="0"/>
                    <w:kinsoku/>
                    <w:wordWrap/>
                    <w:overflowPunct/>
                    <w:topLinePunct w:val="0"/>
                    <w:bidi w:val="0"/>
                    <w:snapToGrid w:val="0"/>
                    <w:spacing w:beforeAutospacing="0" w:after="0" w:afterAutospacing="0" w:line="240" w:lineRule="auto"/>
                    <w:ind w:left="0" w:leftChars="0" w:right="0" w:rightChars="0" w:firstLine="0"/>
                    <w:jc w:val="center"/>
                    <w:outlineLvl w:val="9"/>
                    <w:rPr>
                      <w:rFonts w:hint="default" w:ascii="Times New Roman" w:hAnsi="Times New Roman" w:eastAsia="宋体" w:cs="Times New Roman"/>
                      <w:bCs/>
                      <w:color w:val="auto"/>
                      <w:sz w:val="21"/>
                      <w:szCs w:val="21"/>
                      <w:highlight w:val="none"/>
                      <w:u w:val="none" w:color="auto"/>
                      <w:lang w:val="en-US" w:eastAsia="zh-CN"/>
                    </w:rPr>
                  </w:pPr>
                </w:p>
              </w:tc>
              <w:tc>
                <w:tcPr>
                  <w:tcW w:w="278" w:type="pct"/>
                  <w:noWrap w:val="0"/>
                  <w:vAlign w:val="center"/>
                </w:tcPr>
                <w:p w14:paraId="60AB0FC8">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依托现有</w:t>
                  </w:r>
                </w:p>
              </w:tc>
            </w:tr>
            <w:tr w14:paraId="5D7AD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2F801D37">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vMerge w:val="continue"/>
                  <w:noWrap w:val="0"/>
                  <w:vAlign w:val="center"/>
                </w:tcPr>
                <w:p w14:paraId="1530437F">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1280" w:type="pct"/>
                  <w:gridSpan w:val="4"/>
                  <w:noWrap w:val="0"/>
                  <w:vAlign w:val="center"/>
                </w:tcPr>
                <w:p w14:paraId="720A0C08">
                  <w:pPr>
                    <w:keepNext w:val="0"/>
                    <w:keepLines w:val="0"/>
                    <w:pageBreakBefore w:val="0"/>
                    <w:widowControl/>
                    <w:kinsoku w:val="0"/>
                    <w:wordWrap/>
                    <w:overflowPunct/>
                    <w:topLinePunct w:val="0"/>
                    <w:autoSpaceDE w:val="0"/>
                    <w:autoSpaceDN w:val="0"/>
                    <w:bidi w:val="0"/>
                    <w:adjustRightInd w:val="0"/>
                    <w:snapToGrid w:val="0"/>
                    <w:jc w:val="center"/>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u w:val="none" w:color="auto"/>
                      <w:lang w:val="en-US" w:eastAsia="zh-CN"/>
                    </w:rPr>
                    <w:t>实验室废水</w:t>
                  </w:r>
                </w:p>
              </w:tc>
              <w:tc>
                <w:tcPr>
                  <w:tcW w:w="672" w:type="pct"/>
                  <w:noWrap w:val="0"/>
                  <w:vAlign w:val="center"/>
                </w:tcPr>
                <w:p w14:paraId="7F584B68">
                  <w:pPr>
                    <w:keepNext w:val="0"/>
                    <w:keepLines w:val="0"/>
                    <w:pageBreakBefore w:val="0"/>
                    <w:wordWrap/>
                    <w:overflowPunct/>
                    <w:topLinePunct w:val="0"/>
                    <w:bidi w:val="0"/>
                    <w:jc w:val="center"/>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u w:val="none" w:color="auto"/>
                    </w:rPr>
                    <w:t>COD、BOD</w:t>
                  </w:r>
                  <w:r>
                    <w:rPr>
                      <w:rFonts w:hint="default" w:ascii="Times New Roman" w:hAnsi="Times New Roman" w:eastAsia="宋体" w:cs="Times New Roman"/>
                      <w:color w:val="auto"/>
                      <w:sz w:val="21"/>
                      <w:szCs w:val="21"/>
                      <w:u w:val="none" w:color="auto"/>
                      <w:vertAlign w:val="subscript"/>
                    </w:rPr>
                    <w:t>5</w:t>
                  </w:r>
                  <w:r>
                    <w:rPr>
                      <w:rFonts w:hint="default" w:ascii="Times New Roman" w:hAnsi="Times New Roman" w:eastAsia="宋体" w:cs="Times New Roman"/>
                      <w:color w:val="auto"/>
                      <w:sz w:val="21"/>
                      <w:szCs w:val="21"/>
                      <w:u w:val="none" w:color="auto"/>
                    </w:rPr>
                    <w:t>、NH</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rPr>
                    <w:t>-N、SS、pH</w:t>
                  </w:r>
                </w:p>
              </w:tc>
              <w:tc>
                <w:tcPr>
                  <w:tcW w:w="2203" w:type="pct"/>
                  <w:gridSpan w:val="3"/>
                  <w:vMerge w:val="continue"/>
                  <w:noWrap w:val="0"/>
                  <w:vAlign w:val="center"/>
                </w:tcPr>
                <w:p w14:paraId="3281EFCC">
                  <w:pPr>
                    <w:keepNext w:val="0"/>
                    <w:keepLines w:val="0"/>
                    <w:pageBreakBefore w:val="0"/>
                    <w:suppressLineNumbers w:val="0"/>
                    <w:kinsoku/>
                    <w:wordWrap/>
                    <w:overflowPunct/>
                    <w:topLinePunct w:val="0"/>
                    <w:bidi w:val="0"/>
                    <w:snapToGrid w:val="0"/>
                    <w:spacing w:beforeAutospacing="0" w:after="0" w:afterAutospacing="0" w:line="240" w:lineRule="auto"/>
                    <w:ind w:left="0" w:leftChars="0" w:right="0" w:rightChars="0" w:firstLine="0"/>
                    <w:jc w:val="center"/>
                    <w:outlineLvl w:val="9"/>
                    <w:rPr>
                      <w:rFonts w:hint="default" w:ascii="Times New Roman" w:hAnsi="Times New Roman" w:eastAsia="宋体" w:cs="Times New Roman"/>
                      <w:color w:val="auto"/>
                      <w:sz w:val="21"/>
                      <w:szCs w:val="21"/>
                      <w:highlight w:val="none"/>
                      <w:u w:val="none" w:color="auto"/>
                      <w:lang w:val="en-US" w:eastAsia="zh-CN"/>
                    </w:rPr>
                  </w:pPr>
                </w:p>
              </w:tc>
              <w:tc>
                <w:tcPr>
                  <w:tcW w:w="278" w:type="pct"/>
                  <w:noWrap w:val="0"/>
                  <w:vAlign w:val="center"/>
                </w:tcPr>
                <w:p w14:paraId="0B21D715">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新增</w:t>
                  </w:r>
                </w:p>
              </w:tc>
            </w:tr>
            <w:tr w14:paraId="5D908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193B95C3">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vMerge w:val="restart"/>
                  <w:noWrap w:val="0"/>
                  <w:vAlign w:val="center"/>
                </w:tcPr>
                <w:p w14:paraId="3EDF4488">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废气</w:t>
                  </w:r>
                </w:p>
              </w:tc>
              <w:tc>
                <w:tcPr>
                  <w:tcW w:w="278" w:type="pct"/>
                  <w:vMerge w:val="restart"/>
                  <w:noWrap w:val="0"/>
                  <w:vAlign w:val="center"/>
                </w:tcPr>
                <w:p w14:paraId="7EA1E5CB">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有组织</w:t>
                  </w:r>
                </w:p>
              </w:tc>
              <w:tc>
                <w:tcPr>
                  <w:tcW w:w="278" w:type="pct"/>
                  <w:vMerge w:val="restart"/>
                  <w:noWrap w:val="0"/>
                  <w:vAlign w:val="center"/>
                </w:tcPr>
                <w:p w14:paraId="213D1661">
                  <w:pPr>
                    <w:keepNext w:val="0"/>
                    <w:keepLines w:val="0"/>
                    <w:pageBreakBefore w:val="0"/>
                    <w:suppressLineNumbers w:val="0"/>
                    <w:kinsoku/>
                    <w:wordWrap/>
                    <w:overflowPunct/>
                    <w:topLinePunct w:val="0"/>
                    <w:autoSpaceDE/>
                    <w:autoSpaceDN/>
                    <w:bidi w:val="0"/>
                    <w:spacing w:beforeAutospacing="0" w:after="0" w:afterAutospacing="0" w:line="240" w:lineRule="auto"/>
                    <w:ind w:left="0" w:leftChars="0" w:right="0" w:rightChars="0" w:firstLine="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bidi="ar"/>
                    </w:rPr>
                    <w:t>腻子粉生产线</w:t>
                  </w:r>
                </w:p>
              </w:tc>
              <w:tc>
                <w:tcPr>
                  <w:tcW w:w="291" w:type="pct"/>
                  <w:noWrap w:val="0"/>
                  <w:vAlign w:val="center"/>
                </w:tcPr>
                <w:p w14:paraId="782174C1">
                  <w:pPr>
                    <w:pStyle w:val="149"/>
                    <w:keepNext w:val="0"/>
                    <w:keepLines w:val="0"/>
                    <w:pageBreakBefore w:val="0"/>
                    <w:wordWrap/>
                    <w:overflowPunct/>
                    <w:topLinePunct w:val="0"/>
                    <w:bidi w:val="0"/>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u w:val="none" w:color="auto"/>
                    </w:rPr>
                    <w:t>实验室废气</w:t>
                  </w:r>
                </w:p>
              </w:tc>
              <w:tc>
                <w:tcPr>
                  <w:tcW w:w="432" w:type="pct"/>
                  <w:noWrap w:val="0"/>
                  <w:vAlign w:val="center"/>
                </w:tcPr>
                <w:p w14:paraId="531EB119">
                  <w:pPr>
                    <w:pStyle w:val="171"/>
                    <w:keepNext w:val="0"/>
                    <w:keepLines w:val="0"/>
                    <w:pageBreakBefore w:val="0"/>
                    <w:wordWrap/>
                    <w:overflowPunct/>
                    <w:topLinePunct w:val="0"/>
                    <w:bidi w:val="0"/>
                    <w:adjustRightInd w:val="0"/>
                    <w:snapToGrid w:val="0"/>
                    <w:jc w:val="center"/>
                    <w:outlineLvl w:val="9"/>
                    <w:rPr>
                      <w:rFonts w:hint="default" w:ascii="Times New Roman" w:hAnsi="Times New Roman" w:eastAsia="宋体" w:cs="Times New Roman"/>
                      <w:b w:val="0"/>
                      <w:bCs w:val="0"/>
                      <w:color w:val="auto"/>
                      <w:sz w:val="21"/>
                      <w:szCs w:val="21"/>
                      <w:highlight w:val="none"/>
                      <w:u w:val="none" w:color="auto"/>
                      <w:lang w:val="en-US" w:eastAsia="zh-CN" w:bidi="ar"/>
                    </w:rPr>
                  </w:pPr>
                  <w:r>
                    <w:rPr>
                      <w:rFonts w:hint="default" w:ascii="Times New Roman" w:hAnsi="Times New Roman" w:eastAsia="宋体" w:cs="Times New Roman"/>
                      <w:color w:val="auto"/>
                      <w:sz w:val="21"/>
                      <w:szCs w:val="21"/>
                      <w:highlight w:val="none"/>
                      <w:u w:val="none" w:color="auto"/>
                    </w:rPr>
                    <w:t>氯化氢、硫酸雾等</w:t>
                  </w:r>
                </w:p>
              </w:tc>
              <w:tc>
                <w:tcPr>
                  <w:tcW w:w="2875" w:type="pct"/>
                  <w:gridSpan w:val="4"/>
                  <w:noWrap w:val="0"/>
                  <w:vAlign w:val="center"/>
                </w:tcPr>
                <w:p w14:paraId="433CBD52">
                  <w:pPr>
                    <w:keepNext w:val="0"/>
                    <w:keepLines w:val="0"/>
                    <w:pageBreakBefore w:val="0"/>
                    <w:wordWrap/>
                    <w:overflowPunct/>
                    <w:topLinePunct w:val="0"/>
                    <w:bidi w:val="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rPr>
                    <w:t>实验室操作台内安装通风橱，在使用、配备挥发性的试剂时应在通风橱内操作，通风橱进行负压收集，通过通风管道输送到楼顶经二级活性炭吸附装置</w:t>
                  </w:r>
                  <w:r>
                    <w:rPr>
                      <w:rFonts w:hint="default" w:ascii="Times New Roman" w:hAnsi="Times New Roman" w:eastAsia="宋体" w:cs="Times New Roman"/>
                      <w:bCs/>
                      <w:color w:val="auto"/>
                      <w:sz w:val="21"/>
                      <w:szCs w:val="21"/>
                      <w:highlight w:val="none"/>
                      <w:u w:val="none" w:color="auto"/>
                      <w:lang w:eastAsia="zh-CN"/>
                    </w:rPr>
                    <w:t>（</w:t>
                  </w:r>
                  <w:r>
                    <w:rPr>
                      <w:rFonts w:hint="default" w:ascii="Times New Roman" w:hAnsi="Times New Roman" w:eastAsia="宋体" w:cs="Times New Roman"/>
                      <w:bCs/>
                      <w:color w:val="auto"/>
                      <w:sz w:val="21"/>
                      <w:szCs w:val="21"/>
                      <w:highlight w:val="none"/>
                      <w:u w:val="none" w:color="auto"/>
                      <w:lang w:val="en-US" w:eastAsia="zh-CN"/>
                    </w:rPr>
                    <w:t>TA001）</w:t>
                  </w:r>
                  <w:r>
                    <w:rPr>
                      <w:rFonts w:hint="default" w:ascii="Times New Roman" w:hAnsi="Times New Roman" w:eastAsia="宋体" w:cs="Times New Roman"/>
                      <w:bCs/>
                      <w:color w:val="auto"/>
                      <w:sz w:val="21"/>
                      <w:szCs w:val="21"/>
                      <w:highlight w:val="none"/>
                      <w:u w:val="none" w:color="auto"/>
                    </w:rPr>
                    <w:t>处理后由</w:t>
                  </w:r>
                  <w:r>
                    <w:rPr>
                      <w:rFonts w:hint="default" w:ascii="Times New Roman" w:hAnsi="Times New Roman" w:eastAsia="宋体" w:cs="Times New Roman"/>
                      <w:bCs/>
                      <w:color w:val="auto"/>
                      <w:sz w:val="21"/>
                      <w:szCs w:val="21"/>
                      <w:highlight w:val="none"/>
                      <w:u w:val="none" w:color="auto"/>
                      <w:lang w:val="en-US" w:eastAsia="zh-CN"/>
                    </w:rPr>
                    <w:t>20m高排气筒（DA001）引至高空排放</w:t>
                  </w:r>
                </w:p>
              </w:tc>
              <w:tc>
                <w:tcPr>
                  <w:tcW w:w="278" w:type="pct"/>
                  <w:noWrap w:val="0"/>
                  <w:vAlign w:val="center"/>
                </w:tcPr>
                <w:p w14:paraId="37357E2A">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新增</w:t>
                  </w:r>
                </w:p>
              </w:tc>
            </w:tr>
            <w:tr w14:paraId="12B8A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63403BA2">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vMerge w:val="continue"/>
                  <w:noWrap w:val="0"/>
                  <w:vAlign w:val="center"/>
                </w:tcPr>
                <w:p w14:paraId="4E15AD98">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78" w:type="pct"/>
                  <w:vMerge w:val="continue"/>
                  <w:noWrap w:val="0"/>
                  <w:vAlign w:val="center"/>
                </w:tcPr>
                <w:p w14:paraId="012D3362">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78" w:type="pct"/>
                  <w:vMerge w:val="continue"/>
                  <w:noWrap w:val="0"/>
                  <w:vAlign w:val="center"/>
                </w:tcPr>
                <w:p w14:paraId="59AAAE1B">
                  <w:pPr>
                    <w:keepNext w:val="0"/>
                    <w:keepLines w:val="0"/>
                    <w:pageBreakBefore w:val="0"/>
                    <w:suppressLineNumbers w:val="0"/>
                    <w:kinsoku/>
                    <w:wordWrap/>
                    <w:overflowPunct/>
                    <w:topLinePunct w:val="0"/>
                    <w:autoSpaceDE/>
                    <w:autoSpaceDN/>
                    <w:bidi w:val="0"/>
                    <w:spacing w:beforeAutospacing="0" w:after="0" w:afterAutospacing="0" w:line="240" w:lineRule="auto"/>
                    <w:ind w:left="0" w:leftChars="0" w:right="0" w:rightChars="0" w:firstLine="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p>
              </w:tc>
              <w:tc>
                <w:tcPr>
                  <w:tcW w:w="291" w:type="pct"/>
                  <w:vMerge w:val="restart"/>
                  <w:noWrap w:val="0"/>
                  <w:vAlign w:val="center"/>
                </w:tcPr>
                <w:p w14:paraId="31677DBE">
                  <w:pPr>
                    <w:keepNext w:val="0"/>
                    <w:keepLines w:val="0"/>
                    <w:pageBreakBefore w:val="0"/>
                    <w:wordWrap/>
                    <w:overflowPunct/>
                    <w:topLinePunct w:val="0"/>
                    <w:bidi w:val="0"/>
                    <w:jc w:val="center"/>
                    <w:outlineLvl w:val="9"/>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eastAsia="zh-CN" w:bidi="ar"/>
                    </w:rPr>
                    <w:t>餐厅</w:t>
                  </w:r>
                  <w:r>
                    <w:rPr>
                      <w:rFonts w:hint="default" w:ascii="Times New Roman" w:hAnsi="Times New Roman" w:eastAsia="宋体" w:cs="Times New Roman"/>
                      <w:color w:val="auto"/>
                      <w:sz w:val="21"/>
                      <w:szCs w:val="21"/>
                      <w:highlight w:val="none"/>
                      <w:u w:val="none" w:color="auto"/>
                      <w:lang w:val="en-US" w:eastAsia="zh-CN" w:bidi="ar"/>
                    </w:rPr>
                    <w:t>废气</w:t>
                  </w:r>
                </w:p>
              </w:tc>
              <w:tc>
                <w:tcPr>
                  <w:tcW w:w="432" w:type="pct"/>
                  <w:noWrap w:val="0"/>
                  <w:vAlign w:val="center"/>
                </w:tcPr>
                <w:p w14:paraId="6EF2BB4D">
                  <w:pPr>
                    <w:pStyle w:val="171"/>
                    <w:keepNext w:val="0"/>
                    <w:keepLines w:val="0"/>
                    <w:pageBreakBefore w:val="0"/>
                    <w:wordWrap/>
                    <w:overflowPunct/>
                    <w:topLinePunct w:val="0"/>
                    <w:bidi w:val="0"/>
                    <w:adjustRightInd w:val="0"/>
                    <w:snapToGrid w:val="0"/>
                    <w:jc w:val="center"/>
                    <w:outlineLvl w:val="9"/>
                    <w:rPr>
                      <w:rFonts w:hint="default" w:ascii="Times New Roman" w:hAnsi="Times New Roman" w:eastAsia="宋体" w:cs="Times New Roman"/>
                      <w:b w:val="0"/>
                      <w:bCs w:val="0"/>
                      <w:color w:val="auto"/>
                      <w:sz w:val="21"/>
                      <w:szCs w:val="21"/>
                      <w:highlight w:val="none"/>
                      <w:u w:val="none" w:color="auto"/>
                      <w:lang w:val="en-US" w:eastAsia="zh-CN" w:bidi="ar"/>
                    </w:rPr>
                  </w:pPr>
                  <w:r>
                    <w:rPr>
                      <w:rFonts w:hint="default" w:ascii="Times New Roman" w:hAnsi="Times New Roman" w:eastAsia="宋体" w:cs="Times New Roman"/>
                      <w:color w:val="auto"/>
                      <w:sz w:val="21"/>
                      <w:szCs w:val="21"/>
                      <w:highlight w:val="none"/>
                      <w:u w:val="none" w:color="auto"/>
                      <w:lang w:val="en-US" w:eastAsia="zh-CN"/>
                    </w:rPr>
                    <w:t>油烟</w:t>
                  </w:r>
                </w:p>
              </w:tc>
              <w:tc>
                <w:tcPr>
                  <w:tcW w:w="2875" w:type="pct"/>
                  <w:gridSpan w:val="4"/>
                  <w:vMerge w:val="restart"/>
                  <w:noWrap w:val="0"/>
                  <w:vAlign w:val="center"/>
                </w:tcPr>
                <w:p w14:paraId="13495EFA">
                  <w:pPr>
                    <w:keepNext w:val="0"/>
                    <w:keepLines w:val="0"/>
                    <w:pageBreakBefore w:val="0"/>
                    <w:wordWrap/>
                    <w:overflowPunct/>
                    <w:topLinePunct w:val="0"/>
                    <w:bidi w:val="0"/>
                    <w:jc w:val="center"/>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经现有8套</w:t>
                  </w:r>
                  <w:r>
                    <w:rPr>
                      <w:rFonts w:hint="default" w:ascii="Times New Roman" w:hAnsi="Times New Roman" w:eastAsia="宋体" w:cs="Times New Roman"/>
                      <w:bCs/>
                      <w:color w:val="auto"/>
                      <w:sz w:val="21"/>
                      <w:szCs w:val="21"/>
                      <w:highlight w:val="none"/>
                      <w:u w:val="none" w:color="auto"/>
                    </w:rPr>
                    <w:t>油烟净化器</w:t>
                  </w:r>
                  <w:r>
                    <w:rPr>
                      <w:rFonts w:hint="default" w:ascii="Times New Roman" w:hAnsi="Times New Roman" w:eastAsia="宋体" w:cs="Times New Roman"/>
                      <w:bCs/>
                      <w:color w:val="auto"/>
                      <w:sz w:val="21"/>
                      <w:szCs w:val="21"/>
                      <w:highlight w:val="none"/>
                      <w:u w:val="none" w:color="auto"/>
                      <w:lang w:val="en-US" w:eastAsia="zh-CN"/>
                    </w:rPr>
                    <w:t>处理后通过1根专用烟道（DA002）排放</w:t>
                  </w:r>
                </w:p>
              </w:tc>
              <w:tc>
                <w:tcPr>
                  <w:tcW w:w="278" w:type="pct"/>
                  <w:vMerge w:val="restart"/>
                  <w:noWrap w:val="0"/>
                  <w:vAlign w:val="center"/>
                </w:tcPr>
                <w:p w14:paraId="5D05EB8B">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2"/>
                      <w:sz w:val="21"/>
                      <w:szCs w:val="21"/>
                      <w:highlight w:val="none"/>
                      <w:u w:val="none" w:color="auto"/>
                      <w:lang w:val="en-US" w:eastAsia="zh-CN"/>
                    </w:rPr>
                  </w:pPr>
                  <w:r>
                    <w:rPr>
                      <w:rFonts w:hint="default" w:ascii="Times New Roman" w:hAnsi="Times New Roman" w:eastAsia="宋体" w:cs="Times New Roman"/>
                      <w:color w:val="auto"/>
                      <w:spacing w:val="-2"/>
                      <w:sz w:val="21"/>
                      <w:szCs w:val="21"/>
                      <w:highlight w:val="none"/>
                      <w:u w:val="none" w:color="auto"/>
                      <w:lang w:val="en-US" w:eastAsia="zh-CN"/>
                    </w:rPr>
                    <w:t>依托现有废气治理设施</w:t>
                  </w:r>
                </w:p>
              </w:tc>
            </w:tr>
            <w:tr w14:paraId="5F104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4AA9AB51">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vMerge w:val="continue"/>
                  <w:noWrap w:val="0"/>
                  <w:vAlign w:val="center"/>
                </w:tcPr>
                <w:p w14:paraId="3025FD35">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78" w:type="pct"/>
                  <w:vMerge w:val="continue"/>
                  <w:noWrap w:val="0"/>
                  <w:vAlign w:val="center"/>
                </w:tcPr>
                <w:p w14:paraId="0418530B">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78" w:type="pct"/>
                  <w:vMerge w:val="continue"/>
                  <w:noWrap w:val="0"/>
                  <w:vAlign w:val="center"/>
                </w:tcPr>
                <w:p w14:paraId="412690A3">
                  <w:pPr>
                    <w:keepNext w:val="0"/>
                    <w:keepLines w:val="0"/>
                    <w:pageBreakBefore w:val="0"/>
                    <w:suppressLineNumbers w:val="0"/>
                    <w:kinsoku/>
                    <w:wordWrap/>
                    <w:overflowPunct/>
                    <w:topLinePunct w:val="0"/>
                    <w:autoSpaceDE/>
                    <w:autoSpaceDN/>
                    <w:bidi w:val="0"/>
                    <w:spacing w:beforeAutospacing="0" w:after="0" w:afterAutospacing="0" w:line="240" w:lineRule="auto"/>
                    <w:ind w:left="0" w:leftChars="0" w:right="0" w:rightChars="0" w:firstLine="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p>
              </w:tc>
              <w:tc>
                <w:tcPr>
                  <w:tcW w:w="291" w:type="pct"/>
                  <w:vMerge w:val="continue"/>
                  <w:noWrap w:val="0"/>
                  <w:vAlign w:val="center"/>
                </w:tcPr>
                <w:p w14:paraId="20BD8989">
                  <w:pPr>
                    <w:keepNext w:val="0"/>
                    <w:keepLines w:val="0"/>
                    <w:pageBreakBefore w:val="0"/>
                    <w:wordWrap/>
                    <w:overflowPunct/>
                    <w:topLinePunct w:val="0"/>
                    <w:bidi w:val="0"/>
                    <w:adjustRightInd w:val="0"/>
                    <w:snapToGrid w:val="0"/>
                    <w:jc w:val="center"/>
                    <w:outlineLvl w:val="9"/>
                    <w:rPr>
                      <w:rFonts w:hint="default" w:ascii="Times New Roman" w:hAnsi="Times New Roman" w:eastAsia="宋体" w:cs="Times New Roman"/>
                      <w:color w:val="auto"/>
                      <w:sz w:val="21"/>
                      <w:szCs w:val="21"/>
                      <w:highlight w:val="none"/>
                      <w:u w:val="none" w:color="auto"/>
                      <w:lang w:val="en-US" w:eastAsia="zh-CN"/>
                    </w:rPr>
                  </w:pPr>
                </w:p>
              </w:tc>
              <w:tc>
                <w:tcPr>
                  <w:tcW w:w="432" w:type="pct"/>
                  <w:noWrap w:val="0"/>
                  <w:vAlign w:val="center"/>
                </w:tcPr>
                <w:p w14:paraId="7BE641E0">
                  <w:pPr>
                    <w:pStyle w:val="171"/>
                    <w:keepNext w:val="0"/>
                    <w:keepLines w:val="0"/>
                    <w:pageBreakBefore w:val="0"/>
                    <w:wordWrap/>
                    <w:overflowPunct/>
                    <w:topLinePunct w:val="0"/>
                    <w:bidi w:val="0"/>
                    <w:adjustRightInd w:val="0"/>
                    <w:snapToGrid w:val="0"/>
                    <w:jc w:val="center"/>
                    <w:outlineLvl w:val="9"/>
                    <w:rPr>
                      <w:rFonts w:hint="default" w:ascii="Times New Roman" w:hAnsi="Times New Roman" w:eastAsia="宋体" w:cs="Times New Roman"/>
                      <w:b w:val="0"/>
                      <w:bCs w:val="0"/>
                      <w:color w:val="auto"/>
                      <w:sz w:val="21"/>
                      <w:szCs w:val="21"/>
                      <w:highlight w:val="none"/>
                      <w:u w:val="none" w:color="auto"/>
                      <w:lang w:val="en-US" w:eastAsia="zh-CN" w:bidi="ar"/>
                    </w:rPr>
                  </w:pPr>
                  <w:r>
                    <w:rPr>
                      <w:rFonts w:hint="default" w:ascii="Times New Roman" w:hAnsi="Times New Roman" w:eastAsia="宋体" w:cs="Times New Roman"/>
                      <w:color w:val="auto"/>
                      <w:sz w:val="21"/>
                      <w:szCs w:val="21"/>
                      <w:highlight w:val="none"/>
                      <w:u w:val="none" w:color="auto"/>
                      <w:lang w:val="en-US" w:eastAsia="zh-CN"/>
                    </w:rPr>
                    <w:t>非甲烷总烃</w:t>
                  </w:r>
                </w:p>
              </w:tc>
              <w:tc>
                <w:tcPr>
                  <w:tcW w:w="2875" w:type="pct"/>
                  <w:gridSpan w:val="4"/>
                  <w:vMerge w:val="continue"/>
                  <w:noWrap w:val="0"/>
                  <w:vAlign w:val="center"/>
                </w:tcPr>
                <w:p w14:paraId="3F09ECAC">
                  <w:pPr>
                    <w:keepNext w:val="0"/>
                    <w:keepLines w:val="0"/>
                    <w:pageBreakBefore w:val="0"/>
                    <w:suppressLineNumbers w:val="0"/>
                    <w:kinsoku/>
                    <w:wordWrap/>
                    <w:overflowPunct/>
                    <w:topLinePunct w:val="0"/>
                    <w:autoSpaceDE/>
                    <w:autoSpaceDN/>
                    <w:bidi w:val="0"/>
                    <w:spacing w:beforeAutospacing="0" w:after="0" w:afterAutospacing="0" w:line="240" w:lineRule="auto"/>
                    <w:ind w:left="0" w:leftChars="0" w:right="0" w:rightChars="0" w:firstLine="0"/>
                    <w:jc w:val="center"/>
                    <w:textAlignment w:val="auto"/>
                    <w:outlineLvl w:val="9"/>
                    <w:rPr>
                      <w:rFonts w:hint="default" w:ascii="Times New Roman" w:hAnsi="Times New Roman" w:eastAsia="宋体" w:cs="Times New Roman"/>
                      <w:color w:val="auto"/>
                      <w:sz w:val="21"/>
                      <w:szCs w:val="21"/>
                      <w:highlight w:val="none"/>
                      <w:u w:val="none" w:color="auto"/>
                      <w:lang w:val="en-US" w:eastAsia="zh-CN"/>
                    </w:rPr>
                  </w:pPr>
                </w:p>
              </w:tc>
              <w:tc>
                <w:tcPr>
                  <w:tcW w:w="278" w:type="pct"/>
                  <w:vMerge w:val="continue"/>
                  <w:noWrap w:val="0"/>
                  <w:vAlign w:val="center"/>
                </w:tcPr>
                <w:p w14:paraId="37578F4D">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2"/>
                      <w:sz w:val="21"/>
                      <w:szCs w:val="21"/>
                      <w:highlight w:val="none"/>
                      <w:u w:val="none" w:color="auto"/>
                      <w:lang w:eastAsia="zh-CN"/>
                    </w:rPr>
                  </w:pPr>
                </w:p>
              </w:tc>
            </w:tr>
            <w:tr w14:paraId="0BDBB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6F13DF48">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vMerge w:val="continue"/>
                  <w:noWrap w:val="0"/>
                  <w:vAlign w:val="center"/>
                </w:tcPr>
                <w:p w14:paraId="2D031A4F">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78" w:type="pct"/>
                  <w:vMerge w:val="restart"/>
                  <w:noWrap w:val="0"/>
                  <w:vAlign w:val="center"/>
                </w:tcPr>
                <w:p w14:paraId="4EBF2DCD">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无组织</w:t>
                  </w:r>
                </w:p>
              </w:tc>
              <w:tc>
                <w:tcPr>
                  <w:tcW w:w="278" w:type="pct"/>
                  <w:vMerge w:val="restart"/>
                  <w:noWrap w:val="0"/>
                  <w:vAlign w:val="center"/>
                </w:tcPr>
                <w:p w14:paraId="5451ECE9">
                  <w:pPr>
                    <w:keepNext w:val="0"/>
                    <w:keepLines w:val="0"/>
                    <w:pageBreakBefore w:val="0"/>
                    <w:suppressLineNumbers w:val="0"/>
                    <w:kinsoku/>
                    <w:wordWrap/>
                    <w:overflowPunct/>
                    <w:topLinePunct w:val="0"/>
                    <w:autoSpaceDE/>
                    <w:autoSpaceDN/>
                    <w:bidi w:val="0"/>
                    <w:spacing w:beforeAutospacing="0" w:after="0" w:afterAutospacing="0" w:line="240" w:lineRule="auto"/>
                    <w:ind w:left="0" w:leftChars="0" w:right="0" w:rightChars="0" w:firstLine="0"/>
                    <w:jc w:val="center"/>
                    <w:textAlignment w:val="auto"/>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bidi="ar"/>
                    </w:rPr>
                    <w:t>腻子粉生产线</w:t>
                  </w:r>
                </w:p>
              </w:tc>
              <w:tc>
                <w:tcPr>
                  <w:tcW w:w="291" w:type="pct"/>
                  <w:vMerge w:val="restart"/>
                  <w:noWrap w:val="0"/>
                  <w:vAlign w:val="center"/>
                </w:tcPr>
                <w:p w14:paraId="5B48CD61">
                  <w:pPr>
                    <w:keepNext w:val="0"/>
                    <w:keepLines w:val="0"/>
                    <w:pageBreakBefore w:val="0"/>
                    <w:wordWrap/>
                    <w:overflowPunct/>
                    <w:topLinePunct w:val="0"/>
                    <w:bidi w:val="0"/>
                    <w:jc w:val="center"/>
                    <w:outlineLvl w:val="9"/>
                    <w:rPr>
                      <w:rFonts w:hint="default" w:ascii="Times New Roman" w:hAnsi="Times New Roman" w:eastAsia="宋体" w:cs="Times New Roman"/>
                      <w:color w:val="auto"/>
                      <w:kern w:val="2"/>
                      <w:sz w:val="21"/>
                      <w:szCs w:val="21"/>
                      <w:highlight w:val="none"/>
                      <w:u w:val="none" w:color="auto"/>
                      <w:lang w:val="en-US" w:eastAsia="zh-CN" w:bidi="ar"/>
                    </w:rPr>
                  </w:pPr>
                  <w:r>
                    <w:rPr>
                      <w:rFonts w:hint="eastAsia" w:cs="Times New Roman"/>
                      <w:color w:val="auto"/>
                      <w:sz w:val="21"/>
                      <w:szCs w:val="21"/>
                      <w:highlight w:val="none"/>
                      <w:u w:val="none" w:color="auto"/>
                      <w:lang w:eastAsia="zh-CN" w:bidi="ar"/>
                    </w:rPr>
                    <w:t>餐厅</w:t>
                  </w:r>
                  <w:r>
                    <w:rPr>
                      <w:rFonts w:hint="default" w:ascii="Times New Roman" w:hAnsi="Times New Roman" w:eastAsia="宋体" w:cs="Times New Roman"/>
                      <w:color w:val="auto"/>
                      <w:sz w:val="21"/>
                      <w:szCs w:val="21"/>
                      <w:highlight w:val="none"/>
                      <w:u w:val="none" w:color="auto"/>
                      <w:lang w:val="en-US" w:eastAsia="zh-CN" w:bidi="ar"/>
                    </w:rPr>
                    <w:t>废气</w:t>
                  </w:r>
                </w:p>
              </w:tc>
              <w:tc>
                <w:tcPr>
                  <w:tcW w:w="432" w:type="pct"/>
                  <w:noWrap w:val="0"/>
                  <w:vAlign w:val="center"/>
                </w:tcPr>
                <w:p w14:paraId="52075941">
                  <w:pPr>
                    <w:pStyle w:val="171"/>
                    <w:keepNext w:val="0"/>
                    <w:keepLines w:val="0"/>
                    <w:pageBreakBefore w:val="0"/>
                    <w:wordWrap/>
                    <w:overflowPunct/>
                    <w:topLinePunct w:val="0"/>
                    <w:bidi w:val="0"/>
                    <w:adjustRightInd w:val="0"/>
                    <w:snapToGrid w:val="0"/>
                    <w:jc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油烟</w:t>
                  </w:r>
                </w:p>
              </w:tc>
              <w:tc>
                <w:tcPr>
                  <w:tcW w:w="2875" w:type="pct"/>
                  <w:gridSpan w:val="4"/>
                  <w:vMerge w:val="restart"/>
                  <w:noWrap w:val="0"/>
                  <w:vAlign w:val="center"/>
                </w:tcPr>
                <w:p w14:paraId="66ECC2F5">
                  <w:pPr>
                    <w:keepNext w:val="0"/>
                    <w:keepLines w:val="0"/>
                    <w:pageBreakBefore w:val="0"/>
                    <w:widowControl/>
                    <w:suppressLineNumbers w:val="0"/>
                    <w:kinsoku/>
                    <w:wordWrap/>
                    <w:overflowPunct/>
                    <w:topLinePunct w:val="0"/>
                    <w:autoSpaceDE/>
                    <w:autoSpaceDN/>
                    <w:bidi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定期对废气环保设备维护，保证废气收集效率；</w:t>
                  </w:r>
                </w:p>
              </w:tc>
              <w:tc>
                <w:tcPr>
                  <w:tcW w:w="278" w:type="pct"/>
                  <w:vMerge w:val="restart"/>
                  <w:noWrap w:val="0"/>
                  <w:vAlign w:val="center"/>
                </w:tcPr>
                <w:p w14:paraId="5F46162A">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2"/>
                      <w:sz w:val="21"/>
                      <w:szCs w:val="21"/>
                      <w:highlight w:val="none"/>
                      <w:u w:val="none" w:color="auto"/>
                      <w:lang w:eastAsia="zh-CN"/>
                    </w:rPr>
                  </w:pPr>
                  <w:r>
                    <w:rPr>
                      <w:rFonts w:hint="default" w:ascii="Times New Roman" w:hAnsi="Times New Roman" w:eastAsia="宋体" w:cs="Times New Roman"/>
                      <w:bCs/>
                      <w:color w:val="auto"/>
                      <w:sz w:val="21"/>
                      <w:szCs w:val="21"/>
                      <w:highlight w:val="none"/>
                      <w:u w:val="none" w:color="auto"/>
                      <w:lang w:val="en-US" w:eastAsia="zh-CN"/>
                    </w:rPr>
                    <w:t>新增</w:t>
                  </w:r>
                </w:p>
              </w:tc>
            </w:tr>
            <w:tr w14:paraId="01E59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25FF430C">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vMerge w:val="continue"/>
                  <w:noWrap w:val="0"/>
                  <w:vAlign w:val="center"/>
                </w:tcPr>
                <w:p w14:paraId="745164CE">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78" w:type="pct"/>
                  <w:vMerge w:val="continue"/>
                  <w:noWrap w:val="0"/>
                  <w:vAlign w:val="center"/>
                </w:tcPr>
                <w:p w14:paraId="45C999C4">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78" w:type="pct"/>
                  <w:vMerge w:val="continue"/>
                  <w:noWrap w:val="0"/>
                  <w:vAlign w:val="center"/>
                </w:tcPr>
                <w:p w14:paraId="0F0FE5A7">
                  <w:pPr>
                    <w:keepNext w:val="0"/>
                    <w:keepLines w:val="0"/>
                    <w:pageBreakBefore w:val="0"/>
                    <w:suppressLineNumbers w:val="0"/>
                    <w:kinsoku/>
                    <w:wordWrap/>
                    <w:overflowPunct/>
                    <w:topLinePunct w:val="0"/>
                    <w:autoSpaceDE/>
                    <w:autoSpaceDN/>
                    <w:bidi w:val="0"/>
                    <w:spacing w:beforeAutospacing="0" w:after="0" w:afterAutospacing="0" w:line="240" w:lineRule="auto"/>
                    <w:ind w:left="0" w:leftChars="0" w:right="0" w:rightChars="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91" w:type="pct"/>
                  <w:vMerge w:val="continue"/>
                  <w:noWrap w:val="0"/>
                  <w:vAlign w:val="center"/>
                </w:tcPr>
                <w:p w14:paraId="74D41AA8">
                  <w:pPr>
                    <w:keepNext w:val="0"/>
                    <w:keepLines w:val="0"/>
                    <w:pageBreakBefore w:val="0"/>
                    <w:wordWrap/>
                    <w:overflowPunct/>
                    <w:topLinePunct w:val="0"/>
                    <w:bidi w:val="0"/>
                    <w:jc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p>
              </w:tc>
              <w:tc>
                <w:tcPr>
                  <w:tcW w:w="432" w:type="pct"/>
                  <w:noWrap w:val="0"/>
                  <w:vAlign w:val="center"/>
                </w:tcPr>
                <w:p w14:paraId="41C22056">
                  <w:pPr>
                    <w:pStyle w:val="171"/>
                    <w:keepNext w:val="0"/>
                    <w:keepLines w:val="0"/>
                    <w:pageBreakBefore w:val="0"/>
                    <w:wordWrap/>
                    <w:overflowPunct/>
                    <w:topLinePunct w:val="0"/>
                    <w:bidi w:val="0"/>
                    <w:adjustRightInd w:val="0"/>
                    <w:snapToGrid w:val="0"/>
                    <w:jc w:val="center"/>
                    <w:outlineLvl w:val="9"/>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非甲烷总烃</w:t>
                  </w:r>
                </w:p>
              </w:tc>
              <w:tc>
                <w:tcPr>
                  <w:tcW w:w="2875" w:type="pct"/>
                  <w:gridSpan w:val="4"/>
                  <w:vMerge w:val="continue"/>
                  <w:noWrap w:val="0"/>
                  <w:vAlign w:val="center"/>
                </w:tcPr>
                <w:p w14:paraId="1A725358">
                  <w:pPr>
                    <w:keepNext w:val="0"/>
                    <w:keepLines w:val="0"/>
                    <w:pageBreakBefore w:val="0"/>
                    <w:suppressLineNumbers w:val="0"/>
                    <w:kinsoku/>
                    <w:wordWrap/>
                    <w:overflowPunct/>
                    <w:topLinePunct w:val="0"/>
                    <w:bidi w:val="0"/>
                    <w:adjustRightInd w:val="0"/>
                    <w:snapToGrid w:val="0"/>
                    <w:spacing w:beforeAutospacing="0" w:after="0" w:afterAutospacing="0" w:line="240" w:lineRule="auto"/>
                    <w:ind w:left="0" w:right="0" w:firstLine="0"/>
                    <w:jc w:val="center"/>
                    <w:outlineLvl w:val="9"/>
                    <w:rPr>
                      <w:rFonts w:hint="default" w:ascii="Times New Roman" w:hAnsi="Times New Roman" w:eastAsia="宋体" w:cs="Times New Roman"/>
                      <w:bCs/>
                      <w:color w:val="auto"/>
                      <w:sz w:val="21"/>
                      <w:szCs w:val="21"/>
                      <w:highlight w:val="none"/>
                      <w:u w:val="none" w:color="auto"/>
                      <w:lang w:val="en-US" w:eastAsia="zh-CN"/>
                    </w:rPr>
                  </w:pPr>
                </w:p>
              </w:tc>
              <w:tc>
                <w:tcPr>
                  <w:tcW w:w="278" w:type="pct"/>
                  <w:vMerge w:val="continue"/>
                  <w:noWrap w:val="0"/>
                  <w:vAlign w:val="center"/>
                </w:tcPr>
                <w:p w14:paraId="59C91CF5">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r>
            <w:tr w14:paraId="23F2A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342D071C">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vMerge w:val="continue"/>
                  <w:noWrap w:val="0"/>
                  <w:vAlign w:val="center"/>
                </w:tcPr>
                <w:p w14:paraId="6DF5696A">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78" w:type="pct"/>
                  <w:vMerge w:val="continue"/>
                  <w:noWrap w:val="0"/>
                  <w:vAlign w:val="center"/>
                </w:tcPr>
                <w:p w14:paraId="35CC459D">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78" w:type="pct"/>
                  <w:vMerge w:val="continue"/>
                  <w:noWrap w:val="0"/>
                  <w:vAlign w:val="center"/>
                </w:tcPr>
                <w:p w14:paraId="5A96B70C">
                  <w:pPr>
                    <w:keepNext w:val="0"/>
                    <w:keepLines w:val="0"/>
                    <w:pageBreakBefore w:val="0"/>
                    <w:suppressLineNumbers w:val="0"/>
                    <w:kinsoku/>
                    <w:wordWrap/>
                    <w:overflowPunct/>
                    <w:topLinePunct w:val="0"/>
                    <w:autoSpaceDE/>
                    <w:autoSpaceDN/>
                    <w:bidi w:val="0"/>
                    <w:spacing w:beforeAutospacing="0" w:after="0" w:afterAutospacing="0" w:line="240" w:lineRule="auto"/>
                    <w:ind w:left="0" w:leftChars="0" w:right="0" w:rightChars="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91" w:type="pct"/>
                  <w:noWrap w:val="0"/>
                  <w:vAlign w:val="center"/>
                </w:tcPr>
                <w:p w14:paraId="68C8929A">
                  <w:pPr>
                    <w:keepNext w:val="0"/>
                    <w:keepLines w:val="0"/>
                    <w:pageBreakBefore w:val="0"/>
                    <w:wordWrap/>
                    <w:overflowPunct/>
                    <w:topLinePunct w:val="0"/>
                    <w:bidi w:val="0"/>
                    <w:jc w:val="center"/>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bidi="ar"/>
                    </w:rPr>
                    <w:t>实验室</w:t>
                  </w:r>
                  <w:r>
                    <w:rPr>
                      <w:rFonts w:hint="default" w:ascii="Times New Roman" w:hAnsi="Times New Roman" w:eastAsia="宋体" w:cs="Times New Roman"/>
                      <w:color w:val="auto"/>
                      <w:sz w:val="21"/>
                      <w:szCs w:val="21"/>
                      <w:highlight w:val="none"/>
                      <w:u w:val="none" w:color="auto"/>
                      <w:lang w:val="en-US" w:eastAsia="zh-CN" w:bidi="ar"/>
                    </w:rPr>
                    <w:t>未收集的</w:t>
                  </w:r>
                  <w:r>
                    <w:rPr>
                      <w:rFonts w:hint="default" w:ascii="Times New Roman" w:hAnsi="Times New Roman" w:eastAsia="宋体" w:cs="Times New Roman"/>
                      <w:color w:val="auto"/>
                      <w:sz w:val="21"/>
                      <w:szCs w:val="21"/>
                      <w:highlight w:val="none"/>
                      <w:u w:val="none" w:color="auto"/>
                      <w:lang w:bidi="ar"/>
                    </w:rPr>
                    <w:t>废气</w:t>
                  </w:r>
                </w:p>
              </w:tc>
              <w:tc>
                <w:tcPr>
                  <w:tcW w:w="432" w:type="pct"/>
                  <w:noWrap w:val="0"/>
                  <w:vAlign w:val="center"/>
                </w:tcPr>
                <w:p w14:paraId="002D3D10">
                  <w:pPr>
                    <w:pStyle w:val="171"/>
                    <w:keepNext w:val="0"/>
                    <w:keepLines w:val="0"/>
                    <w:pageBreakBefore w:val="0"/>
                    <w:wordWrap/>
                    <w:overflowPunct/>
                    <w:topLinePunct w:val="0"/>
                    <w:bidi w:val="0"/>
                    <w:adjustRightInd w:val="0"/>
                    <w:snapToGrid w:val="0"/>
                    <w:jc w:val="center"/>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氯化氢、硫酸雾等</w:t>
                  </w:r>
                </w:p>
              </w:tc>
              <w:tc>
                <w:tcPr>
                  <w:tcW w:w="2875" w:type="pct"/>
                  <w:gridSpan w:val="4"/>
                  <w:vMerge w:val="continue"/>
                  <w:noWrap w:val="0"/>
                  <w:vAlign w:val="center"/>
                </w:tcPr>
                <w:p w14:paraId="50B0FDFF">
                  <w:pPr>
                    <w:keepNext w:val="0"/>
                    <w:keepLines w:val="0"/>
                    <w:pageBreakBefore w:val="0"/>
                    <w:suppressLineNumbers w:val="0"/>
                    <w:kinsoku/>
                    <w:wordWrap/>
                    <w:overflowPunct/>
                    <w:topLinePunct w:val="0"/>
                    <w:bidi w:val="0"/>
                    <w:adjustRightInd w:val="0"/>
                    <w:snapToGrid w:val="0"/>
                    <w:spacing w:beforeAutospacing="0" w:after="0" w:afterAutospacing="0" w:line="240" w:lineRule="auto"/>
                    <w:ind w:left="0" w:right="0" w:firstLine="0"/>
                    <w:jc w:val="center"/>
                    <w:outlineLvl w:val="9"/>
                    <w:rPr>
                      <w:rFonts w:hint="default" w:ascii="Times New Roman" w:hAnsi="Times New Roman" w:eastAsia="宋体" w:cs="Times New Roman"/>
                      <w:bCs/>
                      <w:color w:val="auto"/>
                      <w:sz w:val="21"/>
                      <w:szCs w:val="21"/>
                      <w:highlight w:val="none"/>
                      <w:u w:val="none" w:color="auto"/>
                      <w:lang w:val="en-US" w:eastAsia="zh-CN"/>
                    </w:rPr>
                  </w:pPr>
                </w:p>
              </w:tc>
              <w:tc>
                <w:tcPr>
                  <w:tcW w:w="278" w:type="pct"/>
                  <w:vMerge w:val="continue"/>
                  <w:noWrap w:val="0"/>
                  <w:vAlign w:val="center"/>
                </w:tcPr>
                <w:p w14:paraId="2D5B0D74">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r>
            <w:tr w14:paraId="6A560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72AB66BB">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noWrap w:val="0"/>
                  <w:vAlign w:val="center"/>
                </w:tcPr>
                <w:p w14:paraId="755B915C">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噪声</w:t>
                  </w:r>
                </w:p>
              </w:tc>
              <w:tc>
                <w:tcPr>
                  <w:tcW w:w="848" w:type="pct"/>
                  <w:gridSpan w:val="3"/>
                  <w:noWrap w:val="0"/>
                  <w:vAlign w:val="center"/>
                </w:tcPr>
                <w:p w14:paraId="76768EFF">
                  <w:pPr>
                    <w:keepNext w:val="0"/>
                    <w:keepLines w:val="0"/>
                    <w:pageBreakBefore w:val="0"/>
                    <w:wordWrap/>
                    <w:overflowPunct/>
                    <w:topLinePunct w:val="0"/>
                    <w:bidi w:val="0"/>
                    <w:snapToGrid w:val="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z w:val="21"/>
                      <w:szCs w:val="21"/>
                      <w:u w:val="none" w:color="auto"/>
                      <w:lang w:val="en-US" w:eastAsia="zh-CN"/>
                    </w:rPr>
                    <w:t>二级活性炭配套风机等</w:t>
                  </w:r>
                  <w:r>
                    <w:rPr>
                      <w:rFonts w:hint="default" w:ascii="Times New Roman" w:hAnsi="Times New Roman" w:eastAsia="宋体" w:cs="Times New Roman"/>
                      <w:color w:val="auto"/>
                      <w:sz w:val="21"/>
                      <w:szCs w:val="21"/>
                      <w:u w:val="none" w:color="auto"/>
                    </w:rPr>
                    <w:t>设备运行过程产生的噪声</w:t>
                  </w:r>
                </w:p>
              </w:tc>
              <w:tc>
                <w:tcPr>
                  <w:tcW w:w="432" w:type="pct"/>
                  <w:noWrap w:val="0"/>
                  <w:vAlign w:val="center"/>
                </w:tcPr>
                <w:p w14:paraId="57030800">
                  <w:pPr>
                    <w:keepNext w:val="0"/>
                    <w:keepLines w:val="0"/>
                    <w:pageBreakBefore w:val="0"/>
                    <w:wordWrap/>
                    <w:overflowPunct/>
                    <w:topLinePunct w:val="0"/>
                    <w:bidi w:val="0"/>
                    <w:snapToGrid w:val="0"/>
                    <w:jc w:val="center"/>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u w:val="none" w:color="auto"/>
                    </w:rPr>
                    <w:t>机械噪声</w:t>
                  </w:r>
                </w:p>
              </w:tc>
              <w:tc>
                <w:tcPr>
                  <w:tcW w:w="2875" w:type="pct"/>
                  <w:gridSpan w:val="4"/>
                  <w:noWrap w:val="0"/>
                  <w:vAlign w:val="center"/>
                </w:tcPr>
                <w:p w14:paraId="606C46EE">
                  <w:pPr>
                    <w:keepNext w:val="0"/>
                    <w:keepLines w:val="0"/>
                    <w:pageBreakBefore w:val="0"/>
                    <w:wordWrap/>
                    <w:overflowPunct/>
                    <w:topLinePunct w:val="0"/>
                    <w:bidi w:val="0"/>
                    <w:snapToGrid w:val="0"/>
                    <w:jc w:val="center"/>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color w:val="auto"/>
                      <w:sz w:val="21"/>
                      <w:szCs w:val="21"/>
                      <w:u w:val="none" w:color="auto"/>
                    </w:rPr>
                    <w:t>安装减振、隔声降噪、废气治理设施风机设置隔声间措施；加强对设备进行维修，保证设备正常工作</w:t>
                  </w:r>
                </w:p>
              </w:tc>
              <w:tc>
                <w:tcPr>
                  <w:tcW w:w="278" w:type="pct"/>
                  <w:noWrap w:val="0"/>
                  <w:vAlign w:val="center"/>
                </w:tcPr>
                <w:p w14:paraId="526F9AD3">
                  <w:pPr>
                    <w:pStyle w:val="170"/>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新增</w:t>
                  </w:r>
                </w:p>
              </w:tc>
            </w:tr>
            <w:tr w14:paraId="1666B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34F0FBD8">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vMerge w:val="restart"/>
                  <w:noWrap w:val="0"/>
                  <w:vAlign w:val="center"/>
                </w:tcPr>
                <w:p w14:paraId="6F4C419B">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固废</w:t>
                  </w:r>
                </w:p>
              </w:tc>
              <w:tc>
                <w:tcPr>
                  <w:tcW w:w="848" w:type="pct"/>
                  <w:gridSpan w:val="3"/>
                  <w:noWrap w:val="0"/>
                  <w:vAlign w:val="center"/>
                </w:tcPr>
                <w:p w14:paraId="77325D8E">
                  <w:pPr>
                    <w:keepNext w:val="0"/>
                    <w:keepLines w:val="0"/>
                    <w:pageBreakBefore w:val="0"/>
                    <w:wordWrap/>
                    <w:overflowPunct/>
                    <w:topLinePunct w:val="0"/>
                    <w:bidi w:val="0"/>
                    <w:jc w:val="center"/>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bCs/>
                      <w:color w:val="auto"/>
                      <w:kern w:val="0"/>
                      <w:sz w:val="21"/>
                      <w:szCs w:val="21"/>
                      <w:u w:val="none" w:color="auto"/>
                      <w:lang w:val="en-US" w:eastAsia="zh-CN"/>
                    </w:rPr>
                    <w:t>教职工及学生日常</w:t>
                  </w:r>
                  <w:r>
                    <w:rPr>
                      <w:rFonts w:hint="default" w:ascii="Times New Roman" w:hAnsi="Times New Roman" w:eastAsia="宋体" w:cs="Times New Roman"/>
                      <w:bCs/>
                      <w:color w:val="auto"/>
                      <w:kern w:val="0"/>
                      <w:sz w:val="21"/>
                      <w:szCs w:val="21"/>
                      <w:u w:val="none" w:color="auto"/>
                    </w:rPr>
                    <w:t>生活</w:t>
                  </w:r>
                </w:p>
              </w:tc>
              <w:tc>
                <w:tcPr>
                  <w:tcW w:w="432" w:type="pct"/>
                  <w:noWrap w:val="0"/>
                  <w:vAlign w:val="center"/>
                </w:tcPr>
                <w:p w14:paraId="77C3729D">
                  <w:pPr>
                    <w:keepNext w:val="0"/>
                    <w:keepLines w:val="0"/>
                    <w:pageBreakBefore w:val="0"/>
                    <w:wordWrap/>
                    <w:overflowPunct/>
                    <w:topLinePunct w:val="0"/>
                    <w:bidi w:val="0"/>
                    <w:jc w:val="center"/>
                    <w:outlineLvl w:val="9"/>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bCs/>
                      <w:color w:val="auto"/>
                      <w:kern w:val="0"/>
                      <w:sz w:val="21"/>
                      <w:szCs w:val="21"/>
                      <w:u w:val="none" w:color="auto"/>
                      <w:lang w:val="en-US" w:eastAsia="zh-CN"/>
                    </w:rPr>
                    <w:t>教职工及学生日常</w:t>
                  </w:r>
                  <w:r>
                    <w:rPr>
                      <w:rFonts w:hint="default" w:ascii="Times New Roman" w:hAnsi="Times New Roman" w:eastAsia="宋体" w:cs="Times New Roman"/>
                      <w:bCs/>
                      <w:color w:val="auto"/>
                      <w:kern w:val="0"/>
                      <w:sz w:val="21"/>
                      <w:szCs w:val="21"/>
                      <w:u w:val="none" w:color="auto"/>
                    </w:rPr>
                    <w:t>生活垃圾</w:t>
                  </w:r>
                </w:p>
              </w:tc>
              <w:tc>
                <w:tcPr>
                  <w:tcW w:w="2875" w:type="pct"/>
                  <w:gridSpan w:val="4"/>
                  <w:noWrap w:val="0"/>
                  <w:vAlign w:val="center"/>
                </w:tcPr>
                <w:p w14:paraId="36BCE8FA">
                  <w:pPr>
                    <w:keepNext w:val="0"/>
                    <w:keepLines w:val="0"/>
                    <w:pageBreakBefore w:val="0"/>
                    <w:wordWrap/>
                    <w:overflowPunct/>
                    <w:topLinePunct w:val="0"/>
                    <w:bidi w:val="0"/>
                    <w:jc w:val="center"/>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u w:val="none" w:color="auto"/>
                    </w:rPr>
                    <w:t>分类收集后交由环卫部门运至垃圾中转站处理</w:t>
                  </w:r>
                </w:p>
              </w:tc>
              <w:tc>
                <w:tcPr>
                  <w:tcW w:w="278" w:type="pct"/>
                  <w:noWrap w:val="0"/>
                  <w:vAlign w:val="center"/>
                </w:tcPr>
                <w:p w14:paraId="11B47372">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2"/>
                      <w:sz w:val="21"/>
                      <w:szCs w:val="21"/>
                      <w:highlight w:val="none"/>
                      <w:u w:val="none" w:color="auto"/>
                      <w:lang w:val="en-US" w:eastAsia="zh-CN"/>
                    </w:rPr>
                  </w:pPr>
                  <w:r>
                    <w:rPr>
                      <w:rFonts w:hint="default" w:ascii="Times New Roman" w:hAnsi="Times New Roman" w:eastAsia="宋体" w:cs="Times New Roman"/>
                      <w:color w:val="auto"/>
                      <w:spacing w:val="-2"/>
                      <w:sz w:val="21"/>
                      <w:szCs w:val="21"/>
                      <w:highlight w:val="none"/>
                      <w:u w:val="none" w:color="auto"/>
                      <w:lang w:val="en-US" w:eastAsia="zh-CN"/>
                    </w:rPr>
                    <w:t>新增</w:t>
                  </w:r>
                </w:p>
              </w:tc>
            </w:tr>
            <w:tr w14:paraId="39048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0039B636">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vMerge w:val="continue"/>
                  <w:noWrap w:val="0"/>
                  <w:vAlign w:val="center"/>
                </w:tcPr>
                <w:p w14:paraId="7FA831BB">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848" w:type="pct"/>
                  <w:gridSpan w:val="3"/>
                  <w:noWrap w:val="0"/>
                  <w:vAlign w:val="center"/>
                </w:tcPr>
                <w:p w14:paraId="7A63081E">
                  <w:pPr>
                    <w:keepNext w:val="0"/>
                    <w:keepLines w:val="0"/>
                    <w:pageBreakBefore w:val="0"/>
                    <w:wordWrap/>
                    <w:overflowPunct/>
                    <w:topLinePunct w:val="0"/>
                    <w:bidi w:val="0"/>
                    <w:jc w:val="center"/>
                    <w:outlineLvl w:val="9"/>
                    <w:rPr>
                      <w:rFonts w:hint="default" w:ascii="Times New Roman" w:hAnsi="Times New Roman" w:eastAsia="宋体" w:cs="Times New Roman"/>
                      <w:bCs/>
                      <w:color w:val="auto"/>
                      <w:kern w:val="0"/>
                      <w:sz w:val="21"/>
                      <w:szCs w:val="21"/>
                      <w:highlight w:val="none"/>
                      <w:u w:val="none" w:color="auto"/>
                      <w:lang w:val="en-US" w:eastAsia="zh-CN"/>
                    </w:rPr>
                  </w:pPr>
                  <w:r>
                    <w:rPr>
                      <w:rFonts w:hint="default" w:ascii="Times New Roman" w:hAnsi="Times New Roman" w:eastAsia="宋体" w:cs="Times New Roman"/>
                      <w:bCs/>
                      <w:color w:val="auto"/>
                      <w:kern w:val="0"/>
                      <w:sz w:val="21"/>
                      <w:szCs w:val="21"/>
                      <w:u w:val="none" w:color="auto"/>
                    </w:rPr>
                    <w:t>化粪池</w:t>
                  </w:r>
                </w:p>
              </w:tc>
              <w:tc>
                <w:tcPr>
                  <w:tcW w:w="432" w:type="pct"/>
                  <w:noWrap w:val="0"/>
                  <w:vAlign w:val="center"/>
                </w:tcPr>
                <w:p w14:paraId="0EEA789C">
                  <w:pPr>
                    <w:keepNext w:val="0"/>
                    <w:keepLines w:val="0"/>
                    <w:pageBreakBefore w:val="0"/>
                    <w:wordWrap/>
                    <w:overflowPunct/>
                    <w:topLinePunct w:val="0"/>
                    <w:bidi w:val="0"/>
                    <w:jc w:val="center"/>
                    <w:outlineLvl w:val="9"/>
                    <w:rPr>
                      <w:rFonts w:hint="default" w:ascii="Times New Roman" w:hAnsi="Times New Roman" w:eastAsia="宋体" w:cs="Times New Roman"/>
                      <w:bCs/>
                      <w:color w:val="auto"/>
                      <w:kern w:val="0"/>
                      <w:sz w:val="21"/>
                      <w:szCs w:val="21"/>
                      <w:highlight w:val="none"/>
                      <w:u w:val="none" w:color="auto"/>
                      <w:lang w:val="en-US" w:eastAsia="zh-CN"/>
                    </w:rPr>
                  </w:pPr>
                  <w:r>
                    <w:rPr>
                      <w:rFonts w:hint="default" w:ascii="Times New Roman" w:hAnsi="Times New Roman" w:eastAsia="宋体" w:cs="Times New Roman"/>
                      <w:bCs/>
                      <w:color w:val="auto"/>
                      <w:kern w:val="0"/>
                      <w:sz w:val="21"/>
                      <w:szCs w:val="21"/>
                      <w:u w:val="none" w:color="auto"/>
                    </w:rPr>
                    <w:t>化粪池污泥</w:t>
                  </w:r>
                </w:p>
              </w:tc>
              <w:tc>
                <w:tcPr>
                  <w:tcW w:w="2875" w:type="pct"/>
                  <w:gridSpan w:val="4"/>
                  <w:noWrap w:val="0"/>
                  <w:vAlign w:val="center"/>
                </w:tcPr>
                <w:p w14:paraId="22F0C0C1">
                  <w:pPr>
                    <w:keepNext w:val="0"/>
                    <w:keepLines w:val="0"/>
                    <w:pageBreakBefore w:val="0"/>
                    <w:wordWrap/>
                    <w:overflowPunct/>
                    <w:topLinePunct w:val="0"/>
                    <w:bidi w:val="0"/>
                    <w:jc w:val="center"/>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u w:val="none" w:color="auto"/>
                    </w:rPr>
                    <w:t>定期清掏交由环卫部门处理</w:t>
                  </w:r>
                </w:p>
              </w:tc>
              <w:tc>
                <w:tcPr>
                  <w:tcW w:w="278" w:type="pct"/>
                  <w:noWrap w:val="0"/>
                  <w:vAlign w:val="center"/>
                </w:tcPr>
                <w:p w14:paraId="33675C79">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2"/>
                      <w:sz w:val="21"/>
                      <w:szCs w:val="21"/>
                      <w:highlight w:val="none"/>
                      <w:u w:val="none" w:color="auto"/>
                    </w:rPr>
                  </w:pPr>
                  <w:r>
                    <w:rPr>
                      <w:rFonts w:hint="default" w:ascii="Times New Roman" w:hAnsi="Times New Roman" w:eastAsia="宋体" w:cs="Times New Roman"/>
                      <w:color w:val="auto"/>
                      <w:spacing w:val="-2"/>
                      <w:sz w:val="21"/>
                      <w:szCs w:val="21"/>
                      <w:highlight w:val="none"/>
                      <w:u w:val="none" w:color="auto"/>
                      <w:lang w:val="en-US" w:eastAsia="zh-CN"/>
                    </w:rPr>
                    <w:t>新增</w:t>
                  </w:r>
                </w:p>
              </w:tc>
            </w:tr>
            <w:tr w14:paraId="293FB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5EDDE9FA">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vMerge w:val="continue"/>
                  <w:noWrap w:val="0"/>
                  <w:vAlign w:val="center"/>
                </w:tcPr>
                <w:p w14:paraId="194D3FAD">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848" w:type="pct"/>
                  <w:gridSpan w:val="3"/>
                  <w:noWrap w:val="0"/>
                  <w:vAlign w:val="center"/>
                </w:tcPr>
                <w:p w14:paraId="4FFCAEC9">
                  <w:pPr>
                    <w:keepNext w:val="0"/>
                    <w:keepLines w:val="0"/>
                    <w:pageBreakBefore w:val="0"/>
                    <w:wordWrap/>
                    <w:overflowPunct/>
                    <w:topLinePunct w:val="0"/>
                    <w:bidi w:val="0"/>
                    <w:jc w:val="center"/>
                    <w:outlineLvl w:val="9"/>
                    <w:rPr>
                      <w:rFonts w:hint="eastAsia" w:ascii="Times New Roman" w:hAnsi="Times New Roman" w:eastAsia="宋体" w:cs="Times New Roman"/>
                      <w:bCs/>
                      <w:color w:val="auto"/>
                      <w:kern w:val="0"/>
                      <w:sz w:val="21"/>
                      <w:szCs w:val="21"/>
                      <w:highlight w:val="none"/>
                      <w:u w:val="none" w:color="auto"/>
                      <w:lang w:val="en-US" w:eastAsia="zh-CN"/>
                    </w:rPr>
                  </w:pPr>
                  <w:r>
                    <w:rPr>
                      <w:rFonts w:hint="eastAsia" w:cs="Times New Roman"/>
                      <w:color w:val="auto"/>
                      <w:sz w:val="21"/>
                      <w:szCs w:val="21"/>
                      <w:u w:val="none" w:color="auto"/>
                      <w:lang w:eastAsia="zh-CN"/>
                    </w:rPr>
                    <w:t>餐厅</w:t>
                  </w:r>
                </w:p>
              </w:tc>
              <w:tc>
                <w:tcPr>
                  <w:tcW w:w="432" w:type="pct"/>
                  <w:noWrap w:val="0"/>
                  <w:vAlign w:val="center"/>
                </w:tcPr>
                <w:p w14:paraId="216C1E08">
                  <w:pPr>
                    <w:keepNext w:val="0"/>
                    <w:keepLines w:val="0"/>
                    <w:pageBreakBefore w:val="0"/>
                    <w:wordWrap/>
                    <w:overflowPunct/>
                    <w:topLinePunct w:val="0"/>
                    <w:bidi w:val="0"/>
                    <w:jc w:val="center"/>
                    <w:outlineLvl w:val="9"/>
                    <w:rPr>
                      <w:rFonts w:hint="default" w:ascii="Times New Roman" w:hAnsi="Times New Roman" w:eastAsia="宋体" w:cs="Times New Roman"/>
                      <w:bCs/>
                      <w:color w:val="auto"/>
                      <w:kern w:val="0"/>
                      <w:sz w:val="21"/>
                      <w:szCs w:val="21"/>
                      <w:highlight w:val="none"/>
                      <w:u w:val="none" w:color="auto"/>
                      <w:lang w:val="en-US" w:eastAsia="zh-CN"/>
                    </w:rPr>
                  </w:pPr>
                  <w:r>
                    <w:rPr>
                      <w:rStyle w:val="42"/>
                      <w:rFonts w:hint="default" w:ascii="Times New Roman" w:hAnsi="Times New Roman" w:eastAsia="宋体" w:cs="Times New Roman"/>
                      <w:color w:val="auto"/>
                      <w:kern w:val="0"/>
                      <w:sz w:val="21"/>
                      <w:szCs w:val="21"/>
                      <w:u w:val="none" w:color="auto"/>
                    </w:rPr>
                    <w:t>餐厨垃圾</w:t>
                  </w:r>
                </w:p>
              </w:tc>
              <w:tc>
                <w:tcPr>
                  <w:tcW w:w="2875" w:type="pct"/>
                  <w:gridSpan w:val="4"/>
                  <w:noWrap w:val="0"/>
                  <w:vAlign w:val="center"/>
                </w:tcPr>
                <w:p w14:paraId="53592F94">
                  <w:pPr>
                    <w:keepNext w:val="0"/>
                    <w:keepLines w:val="0"/>
                    <w:pageBreakBefore w:val="0"/>
                    <w:wordWrap/>
                    <w:overflowPunct/>
                    <w:topLinePunct w:val="0"/>
                    <w:bidi w:val="0"/>
                    <w:jc w:val="center"/>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u w:val="none" w:color="auto"/>
                    </w:rPr>
                    <w:t>分类收集后交由环卫部门运至垃圾中转站进行处理</w:t>
                  </w:r>
                </w:p>
              </w:tc>
              <w:tc>
                <w:tcPr>
                  <w:tcW w:w="278" w:type="pct"/>
                  <w:noWrap w:val="0"/>
                  <w:vAlign w:val="center"/>
                </w:tcPr>
                <w:p w14:paraId="50A3B34A">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2"/>
                      <w:sz w:val="21"/>
                      <w:szCs w:val="21"/>
                      <w:highlight w:val="none"/>
                      <w:u w:val="none" w:color="auto"/>
                      <w:lang w:val="en-US" w:eastAsia="zh-CN"/>
                    </w:rPr>
                  </w:pPr>
                  <w:r>
                    <w:rPr>
                      <w:rFonts w:hint="default" w:ascii="Times New Roman" w:hAnsi="Times New Roman" w:eastAsia="宋体" w:cs="Times New Roman"/>
                      <w:color w:val="auto"/>
                      <w:spacing w:val="-2"/>
                      <w:sz w:val="21"/>
                      <w:szCs w:val="21"/>
                      <w:highlight w:val="none"/>
                      <w:u w:val="none" w:color="auto"/>
                      <w:lang w:val="en-US" w:eastAsia="zh-CN"/>
                    </w:rPr>
                    <w:t>新增</w:t>
                  </w:r>
                </w:p>
              </w:tc>
            </w:tr>
            <w:tr w14:paraId="5BFCE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7B0EA136">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vMerge w:val="continue"/>
                  <w:noWrap w:val="0"/>
                  <w:vAlign w:val="center"/>
                </w:tcPr>
                <w:p w14:paraId="4382E6C3">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848" w:type="pct"/>
                  <w:gridSpan w:val="3"/>
                  <w:noWrap w:val="0"/>
                  <w:vAlign w:val="center"/>
                </w:tcPr>
                <w:p w14:paraId="298444D6">
                  <w:pPr>
                    <w:keepNext w:val="0"/>
                    <w:keepLines w:val="0"/>
                    <w:pageBreakBefore w:val="0"/>
                    <w:wordWrap/>
                    <w:overflowPunct/>
                    <w:topLinePunct w:val="0"/>
                    <w:bidi w:val="0"/>
                    <w:jc w:val="center"/>
                    <w:outlineLvl w:val="9"/>
                    <w:rPr>
                      <w:rFonts w:hint="default" w:ascii="Times New Roman" w:hAnsi="Times New Roman" w:eastAsia="宋体" w:cs="Times New Roman"/>
                      <w:bCs/>
                      <w:color w:val="auto"/>
                      <w:kern w:val="0"/>
                      <w:sz w:val="21"/>
                      <w:szCs w:val="21"/>
                      <w:highlight w:val="none"/>
                      <w:u w:val="none" w:color="auto"/>
                      <w:lang w:val="en-US" w:eastAsia="zh-CN"/>
                    </w:rPr>
                  </w:pPr>
                  <w:r>
                    <w:rPr>
                      <w:rFonts w:hint="default" w:ascii="Times New Roman" w:hAnsi="Times New Roman" w:eastAsia="宋体" w:cs="Times New Roman"/>
                      <w:color w:val="auto"/>
                      <w:sz w:val="21"/>
                      <w:szCs w:val="21"/>
                      <w:u w:val="none" w:color="auto"/>
                    </w:rPr>
                    <w:t>隔油池</w:t>
                  </w:r>
                </w:p>
              </w:tc>
              <w:tc>
                <w:tcPr>
                  <w:tcW w:w="432" w:type="pct"/>
                  <w:noWrap w:val="0"/>
                  <w:vAlign w:val="center"/>
                </w:tcPr>
                <w:p w14:paraId="6EFB2520">
                  <w:pPr>
                    <w:keepNext w:val="0"/>
                    <w:keepLines w:val="0"/>
                    <w:pageBreakBefore w:val="0"/>
                    <w:wordWrap/>
                    <w:overflowPunct/>
                    <w:topLinePunct w:val="0"/>
                    <w:bidi w:val="0"/>
                    <w:jc w:val="center"/>
                    <w:outlineLvl w:val="9"/>
                    <w:rPr>
                      <w:rFonts w:hint="default" w:ascii="Times New Roman" w:hAnsi="Times New Roman" w:eastAsia="宋体" w:cs="Times New Roman"/>
                      <w:bCs/>
                      <w:color w:val="auto"/>
                      <w:kern w:val="0"/>
                      <w:sz w:val="21"/>
                      <w:szCs w:val="21"/>
                      <w:highlight w:val="none"/>
                      <w:u w:val="none" w:color="auto"/>
                      <w:lang w:val="en-US" w:eastAsia="zh-CN"/>
                    </w:rPr>
                  </w:pPr>
                  <w:r>
                    <w:rPr>
                      <w:rStyle w:val="42"/>
                      <w:rFonts w:hint="default" w:ascii="Times New Roman" w:hAnsi="Times New Roman" w:eastAsia="宋体" w:cs="Times New Roman"/>
                      <w:color w:val="auto"/>
                      <w:kern w:val="0"/>
                      <w:sz w:val="21"/>
                      <w:szCs w:val="21"/>
                      <w:u w:val="none" w:color="auto"/>
                    </w:rPr>
                    <w:t>隔油池废油脂</w:t>
                  </w:r>
                </w:p>
              </w:tc>
              <w:tc>
                <w:tcPr>
                  <w:tcW w:w="2875" w:type="pct"/>
                  <w:gridSpan w:val="4"/>
                  <w:noWrap w:val="0"/>
                  <w:vAlign w:val="center"/>
                </w:tcPr>
                <w:p w14:paraId="558EC741">
                  <w:pPr>
                    <w:keepNext w:val="0"/>
                    <w:keepLines w:val="0"/>
                    <w:pageBreakBefore w:val="0"/>
                    <w:wordWrap/>
                    <w:overflowPunct/>
                    <w:topLinePunct w:val="0"/>
                    <w:bidi w:val="0"/>
                    <w:jc w:val="center"/>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u w:val="none" w:color="auto"/>
                    </w:rPr>
                    <w:t>及时清掏后交由环卫部门处理处理</w:t>
                  </w:r>
                </w:p>
              </w:tc>
              <w:tc>
                <w:tcPr>
                  <w:tcW w:w="278" w:type="pct"/>
                  <w:noWrap w:val="0"/>
                  <w:vAlign w:val="center"/>
                </w:tcPr>
                <w:p w14:paraId="13DA90E7">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2"/>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新增</w:t>
                  </w:r>
                </w:p>
              </w:tc>
            </w:tr>
            <w:tr w14:paraId="0AFA4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2DB86C7E">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vMerge w:val="continue"/>
                  <w:noWrap w:val="0"/>
                  <w:vAlign w:val="center"/>
                </w:tcPr>
                <w:p w14:paraId="12A44988">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848" w:type="pct"/>
                  <w:gridSpan w:val="3"/>
                  <w:noWrap w:val="0"/>
                  <w:vAlign w:val="center"/>
                </w:tcPr>
                <w:p w14:paraId="215847B8">
                  <w:pPr>
                    <w:pStyle w:val="88"/>
                    <w:keepNext w:val="0"/>
                    <w:keepLines w:val="0"/>
                    <w:pageBreakBefore w:val="0"/>
                    <w:wordWrap/>
                    <w:overflowPunct/>
                    <w:topLinePunct w:val="0"/>
                    <w:bidi w:val="0"/>
                    <w:snapToGrid w:val="0"/>
                    <w:outlineLvl w:val="9"/>
                    <w:rPr>
                      <w:rFonts w:hint="default" w:ascii="Times New Roman" w:hAnsi="Times New Roman" w:eastAsia="宋体" w:cs="Times New Roman"/>
                      <w:bCs/>
                      <w:color w:val="auto"/>
                      <w:kern w:val="0"/>
                      <w:sz w:val="21"/>
                      <w:szCs w:val="21"/>
                      <w:highlight w:val="none"/>
                      <w:u w:val="none" w:color="auto"/>
                      <w:lang w:val="en-US" w:eastAsia="zh-CN"/>
                    </w:rPr>
                  </w:pPr>
                  <w:r>
                    <w:rPr>
                      <w:rFonts w:hint="default" w:ascii="Times New Roman" w:hAnsi="Times New Roman" w:eastAsia="宋体" w:cs="Times New Roman"/>
                      <w:color w:val="auto"/>
                      <w:sz w:val="21"/>
                      <w:szCs w:val="21"/>
                      <w:u w:val="none" w:color="auto"/>
                    </w:rPr>
                    <w:t>有机废气治理设施</w:t>
                  </w:r>
                </w:p>
              </w:tc>
              <w:tc>
                <w:tcPr>
                  <w:tcW w:w="432" w:type="pct"/>
                  <w:noWrap w:val="0"/>
                  <w:vAlign w:val="center"/>
                </w:tcPr>
                <w:p w14:paraId="620C4A16">
                  <w:pPr>
                    <w:keepNext w:val="0"/>
                    <w:keepLines w:val="0"/>
                    <w:pageBreakBefore w:val="0"/>
                    <w:wordWrap/>
                    <w:overflowPunct/>
                    <w:topLinePunct w:val="0"/>
                    <w:bidi w:val="0"/>
                    <w:jc w:val="center"/>
                    <w:outlineLvl w:val="9"/>
                    <w:rPr>
                      <w:rFonts w:hint="default" w:ascii="Times New Roman" w:hAnsi="Times New Roman" w:eastAsia="宋体" w:cs="Times New Roman"/>
                      <w:bCs/>
                      <w:color w:val="auto"/>
                      <w:kern w:val="0"/>
                      <w:sz w:val="21"/>
                      <w:szCs w:val="21"/>
                      <w:highlight w:val="none"/>
                      <w:u w:val="none" w:color="auto"/>
                      <w:lang w:val="en-US" w:eastAsia="zh-CN"/>
                    </w:rPr>
                  </w:pPr>
                  <w:r>
                    <w:rPr>
                      <w:rFonts w:hint="default" w:ascii="Times New Roman" w:hAnsi="Times New Roman" w:eastAsia="宋体" w:cs="Times New Roman"/>
                      <w:color w:val="auto"/>
                      <w:kern w:val="0"/>
                      <w:sz w:val="21"/>
                      <w:szCs w:val="21"/>
                      <w:u w:val="none" w:color="auto"/>
                    </w:rPr>
                    <w:t>废活性炭</w:t>
                  </w:r>
                </w:p>
              </w:tc>
              <w:tc>
                <w:tcPr>
                  <w:tcW w:w="2875" w:type="pct"/>
                  <w:gridSpan w:val="4"/>
                  <w:vMerge w:val="restart"/>
                  <w:noWrap w:val="0"/>
                  <w:vAlign w:val="center"/>
                </w:tcPr>
                <w:p w14:paraId="181CA088">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jc w:val="center"/>
                    <w:textAlignment w:val="auto"/>
                    <w:outlineLvl w:val="9"/>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u w:val="none" w:color="auto"/>
                      <w:lang w:val="en-US" w:eastAsia="zh-CN"/>
                    </w:rPr>
                    <w:t>分类</w:t>
                  </w:r>
                  <w:r>
                    <w:rPr>
                      <w:rFonts w:hint="default" w:ascii="Times New Roman" w:hAnsi="Times New Roman" w:eastAsia="宋体" w:cs="Times New Roman"/>
                      <w:color w:val="auto"/>
                      <w:sz w:val="21"/>
                      <w:szCs w:val="21"/>
                      <w:u w:val="none" w:color="auto"/>
                    </w:rPr>
                    <w:t>收集于危废暂存间（面积</w:t>
                  </w:r>
                  <w:r>
                    <w:rPr>
                      <w:rFonts w:hint="default" w:ascii="Times New Roman" w:hAnsi="Times New Roman" w:eastAsia="宋体" w:cs="Times New Roman"/>
                      <w:color w:val="auto"/>
                      <w:sz w:val="21"/>
                      <w:szCs w:val="21"/>
                      <w:u w:val="none" w:color="auto"/>
                      <w:lang w:val="en-US" w:eastAsia="zh-CN"/>
                    </w:rPr>
                    <w:t>10</w:t>
                  </w:r>
                  <w:r>
                    <w:rPr>
                      <w:rFonts w:hint="default" w:ascii="Times New Roman" w:hAnsi="Times New Roman" w:eastAsia="宋体" w:cs="Times New Roman"/>
                      <w:color w:val="auto"/>
                      <w:sz w:val="21"/>
                      <w:szCs w:val="21"/>
                      <w:u w:val="none" w:color="auto"/>
                    </w:rPr>
                    <w:t>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rPr>
                    <w:t>，采取</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六防措施</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），定期交由有危废处理资质单位进行处置</w:t>
                  </w:r>
                </w:p>
              </w:tc>
              <w:tc>
                <w:tcPr>
                  <w:tcW w:w="278" w:type="pct"/>
                  <w:noWrap w:val="0"/>
                  <w:vAlign w:val="center"/>
                </w:tcPr>
                <w:p w14:paraId="47AAB602">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2"/>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新增</w:t>
                  </w:r>
                </w:p>
              </w:tc>
            </w:tr>
            <w:tr w14:paraId="66F36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2F0027D5">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vMerge w:val="continue"/>
                  <w:noWrap w:val="0"/>
                  <w:vAlign w:val="center"/>
                </w:tcPr>
                <w:p w14:paraId="68552168">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848" w:type="pct"/>
                  <w:gridSpan w:val="3"/>
                  <w:noWrap w:val="0"/>
                  <w:vAlign w:val="center"/>
                </w:tcPr>
                <w:p w14:paraId="0FDD768B">
                  <w:pPr>
                    <w:pStyle w:val="88"/>
                    <w:keepNext w:val="0"/>
                    <w:keepLines w:val="0"/>
                    <w:pageBreakBefore w:val="0"/>
                    <w:wordWrap/>
                    <w:overflowPunct/>
                    <w:topLinePunct w:val="0"/>
                    <w:bidi w:val="0"/>
                    <w:snapToGrid w:val="0"/>
                    <w:outlineLvl w:val="9"/>
                    <w:rPr>
                      <w:rFonts w:hint="default" w:ascii="Times New Roman" w:hAnsi="Times New Roman" w:eastAsia="宋体" w:cs="Times New Roman"/>
                      <w:bCs/>
                      <w:color w:val="auto"/>
                      <w:kern w:val="0"/>
                      <w:sz w:val="21"/>
                      <w:szCs w:val="21"/>
                      <w:highlight w:val="none"/>
                      <w:u w:val="none" w:color="auto"/>
                      <w:lang w:val="en-US" w:eastAsia="zh-CN"/>
                    </w:rPr>
                  </w:pPr>
                  <w:r>
                    <w:rPr>
                      <w:rFonts w:hint="default" w:ascii="Times New Roman" w:hAnsi="Times New Roman" w:eastAsia="宋体" w:cs="Times New Roman"/>
                      <w:color w:val="auto"/>
                      <w:sz w:val="21"/>
                      <w:szCs w:val="21"/>
                      <w:u w:val="none" w:color="auto"/>
                      <w:lang w:val="en-US" w:eastAsia="zh-CN"/>
                    </w:rPr>
                    <w:t>柴油使用过程</w:t>
                  </w:r>
                </w:p>
              </w:tc>
              <w:tc>
                <w:tcPr>
                  <w:tcW w:w="432" w:type="pct"/>
                  <w:noWrap w:val="0"/>
                  <w:vAlign w:val="center"/>
                </w:tcPr>
                <w:p w14:paraId="755A150C">
                  <w:pPr>
                    <w:keepNext w:val="0"/>
                    <w:keepLines w:val="0"/>
                    <w:pageBreakBefore w:val="0"/>
                    <w:wordWrap/>
                    <w:overflowPunct/>
                    <w:topLinePunct w:val="0"/>
                    <w:bidi w:val="0"/>
                    <w:jc w:val="center"/>
                    <w:outlineLvl w:val="9"/>
                    <w:rPr>
                      <w:rFonts w:hint="default" w:ascii="Times New Roman" w:hAnsi="Times New Roman" w:eastAsia="宋体" w:cs="Times New Roman"/>
                      <w:bCs/>
                      <w:color w:val="auto"/>
                      <w:kern w:val="0"/>
                      <w:sz w:val="21"/>
                      <w:szCs w:val="21"/>
                      <w:highlight w:val="none"/>
                      <w:u w:val="none" w:color="auto"/>
                      <w:lang w:val="en-US" w:eastAsia="zh-CN"/>
                    </w:rPr>
                  </w:pPr>
                  <w:r>
                    <w:rPr>
                      <w:rFonts w:hint="default" w:ascii="Times New Roman" w:hAnsi="Times New Roman" w:eastAsia="宋体" w:cs="Times New Roman"/>
                      <w:color w:val="auto"/>
                      <w:sz w:val="21"/>
                      <w:szCs w:val="21"/>
                      <w:u w:val="none" w:color="auto"/>
                    </w:rPr>
                    <w:t>废</w:t>
                  </w:r>
                  <w:r>
                    <w:rPr>
                      <w:rFonts w:hint="default" w:ascii="Times New Roman" w:hAnsi="Times New Roman" w:eastAsia="宋体" w:cs="Times New Roman"/>
                      <w:color w:val="auto"/>
                      <w:sz w:val="21"/>
                      <w:szCs w:val="21"/>
                      <w:u w:val="none" w:color="auto"/>
                      <w:lang w:val="en-US" w:eastAsia="zh-CN"/>
                    </w:rPr>
                    <w:t>柴油</w:t>
                  </w:r>
                  <w:r>
                    <w:rPr>
                      <w:rFonts w:hint="default" w:ascii="Times New Roman" w:hAnsi="Times New Roman" w:eastAsia="宋体" w:cs="Times New Roman"/>
                      <w:color w:val="auto"/>
                      <w:sz w:val="21"/>
                      <w:szCs w:val="21"/>
                      <w:u w:val="none" w:color="auto"/>
                    </w:rPr>
                    <w:t>桶</w:t>
                  </w:r>
                </w:p>
              </w:tc>
              <w:tc>
                <w:tcPr>
                  <w:tcW w:w="2875" w:type="pct"/>
                  <w:gridSpan w:val="4"/>
                  <w:vMerge w:val="continue"/>
                  <w:noWrap w:val="0"/>
                  <w:vAlign w:val="center"/>
                </w:tcPr>
                <w:p w14:paraId="1D59F7EB">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278" w:type="pct"/>
                  <w:noWrap w:val="0"/>
                  <w:vAlign w:val="center"/>
                </w:tcPr>
                <w:p w14:paraId="09EAF2BA">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2"/>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新增</w:t>
                  </w:r>
                </w:p>
              </w:tc>
            </w:tr>
            <w:tr w14:paraId="7C272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 w:type="pct"/>
                  <w:vMerge w:val="continue"/>
                  <w:noWrap w:val="0"/>
                  <w:vAlign w:val="center"/>
                </w:tcPr>
                <w:p w14:paraId="4F494877">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288" w:type="pct"/>
                  <w:vMerge w:val="continue"/>
                  <w:noWrap w:val="0"/>
                  <w:vAlign w:val="center"/>
                </w:tcPr>
                <w:p w14:paraId="5A8DEE92">
                  <w:pPr>
                    <w:keepNext w:val="0"/>
                    <w:keepLines w:val="0"/>
                    <w:pageBreakBefore w:val="0"/>
                    <w:widowControl w:val="0"/>
                    <w:suppressLineNumbers w:val="0"/>
                    <w:tabs>
                      <w:tab w:val="left" w:pos="5250"/>
                    </w:tabs>
                    <w:kinsoku/>
                    <w:wordWrap/>
                    <w:overflowPunct/>
                    <w:topLinePunct w:val="0"/>
                    <w:autoSpaceDE/>
                    <w:autoSpaceDN/>
                    <w:bidi w:val="0"/>
                    <w:adjustRightInd w:val="0"/>
                    <w:snapToGrid w:val="0"/>
                    <w:spacing w:beforeAutospacing="0" w:after="0" w:afterAutospacing="0" w:line="240" w:lineRule="auto"/>
                    <w:ind w:left="0" w:right="0" w:firstLine="0"/>
                    <w:jc w:val="center"/>
                    <w:textAlignment w:val="auto"/>
                    <w:outlineLvl w:val="9"/>
                    <w:rPr>
                      <w:rFonts w:hint="default" w:ascii="Times New Roman" w:hAnsi="Times New Roman" w:eastAsia="宋体" w:cs="Times New Roman"/>
                      <w:bCs/>
                      <w:color w:val="auto"/>
                      <w:sz w:val="21"/>
                      <w:szCs w:val="21"/>
                      <w:highlight w:val="none"/>
                      <w:u w:val="none" w:color="auto"/>
                      <w:lang w:val="en-US" w:eastAsia="zh-CN"/>
                    </w:rPr>
                  </w:pPr>
                </w:p>
              </w:tc>
              <w:tc>
                <w:tcPr>
                  <w:tcW w:w="848" w:type="pct"/>
                  <w:gridSpan w:val="3"/>
                  <w:noWrap w:val="0"/>
                  <w:vAlign w:val="center"/>
                </w:tcPr>
                <w:p w14:paraId="4086465D">
                  <w:pPr>
                    <w:pStyle w:val="88"/>
                    <w:keepNext w:val="0"/>
                    <w:keepLines w:val="0"/>
                    <w:pageBreakBefore w:val="0"/>
                    <w:wordWrap/>
                    <w:overflowPunct/>
                    <w:topLinePunct w:val="0"/>
                    <w:bidi w:val="0"/>
                    <w:snapToGrid w:val="0"/>
                    <w:outlineLvl w:val="9"/>
                    <w:rPr>
                      <w:rFonts w:hint="default" w:ascii="Times New Roman" w:hAnsi="Times New Roman" w:eastAsia="宋体" w:cs="Times New Roman"/>
                      <w:bCs/>
                      <w:color w:val="auto"/>
                      <w:kern w:val="0"/>
                      <w:sz w:val="21"/>
                      <w:szCs w:val="21"/>
                      <w:highlight w:val="none"/>
                      <w:u w:val="none" w:color="auto"/>
                      <w:lang w:val="en-US" w:eastAsia="zh-CN"/>
                    </w:rPr>
                  </w:pPr>
                  <w:r>
                    <w:rPr>
                      <w:rFonts w:hint="default" w:ascii="Times New Roman" w:hAnsi="Times New Roman" w:eastAsia="宋体" w:cs="Times New Roman"/>
                      <w:color w:val="auto"/>
                      <w:sz w:val="21"/>
                      <w:szCs w:val="21"/>
                      <w:u w:val="none" w:color="auto"/>
                      <w:lang w:val="en-US" w:eastAsia="zh-CN"/>
                    </w:rPr>
                    <w:t>实验课使用过程</w:t>
                  </w:r>
                </w:p>
              </w:tc>
              <w:tc>
                <w:tcPr>
                  <w:tcW w:w="432" w:type="pct"/>
                  <w:noWrap w:val="0"/>
                  <w:vAlign w:val="center"/>
                </w:tcPr>
                <w:p w14:paraId="41CB2F7E">
                  <w:pPr>
                    <w:keepNext w:val="0"/>
                    <w:keepLines w:val="0"/>
                    <w:pageBreakBefore w:val="0"/>
                    <w:wordWrap/>
                    <w:overflowPunct/>
                    <w:topLinePunct w:val="0"/>
                    <w:bidi w:val="0"/>
                    <w:jc w:val="center"/>
                    <w:outlineLvl w:val="9"/>
                    <w:rPr>
                      <w:rFonts w:hint="default" w:ascii="Times New Roman" w:hAnsi="Times New Roman" w:eastAsia="宋体" w:cs="Times New Roman"/>
                      <w:bCs/>
                      <w:color w:val="auto"/>
                      <w:kern w:val="0"/>
                      <w:sz w:val="21"/>
                      <w:szCs w:val="21"/>
                      <w:highlight w:val="none"/>
                      <w:u w:val="none" w:color="auto"/>
                      <w:lang w:val="en-US" w:eastAsia="zh-CN"/>
                    </w:rPr>
                  </w:pPr>
                  <w:r>
                    <w:rPr>
                      <w:rFonts w:hint="default" w:ascii="Times New Roman" w:hAnsi="Times New Roman" w:eastAsia="宋体" w:cs="Times New Roman"/>
                      <w:color w:val="auto"/>
                      <w:sz w:val="21"/>
                      <w:szCs w:val="21"/>
                      <w:u w:val="none" w:color="auto"/>
                    </w:rPr>
                    <w:t>实验室危险废物</w:t>
                  </w:r>
                </w:p>
              </w:tc>
              <w:tc>
                <w:tcPr>
                  <w:tcW w:w="2875" w:type="pct"/>
                  <w:gridSpan w:val="4"/>
                  <w:vMerge w:val="continue"/>
                  <w:noWrap w:val="0"/>
                  <w:vAlign w:val="center"/>
                </w:tcPr>
                <w:p w14:paraId="11D64550">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jc w:val="center"/>
                    <w:textAlignment w:val="auto"/>
                    <w:outlineLvl w:val="9"/>
                    <w:rPr>
                      <w:rFonts w:hint="default" w:ascii="Times New Roman" w:hAnsi="Times New Roman" w:eastAsia="宋体" w:cs="Times New Roman"/>
                      <w:color w:val="auto"/>
                      <w:sz w:val="21"/>
                      <w:szCs w:val="21"/>
                      <w:highlight w:val="none"/>
                      <w:u w:val="none" w:color="auto"/>
                    </w:rPr>
                  </w:pPr>
                </w:p>
              </w:tc>
              <w:tc>
                <w:tcPr>
                  <w:tcW w:w="278" w:type="pct"/>
                  <w:noWrap w:val="0"/>
                  <w:vAlign w:val="center"/>
                </w:tcPr>
                <w:p w14:paraId="1ED73591">
                  <w:pPr>
                    <w:keepNext w:val="0"/>
                    <w:keepLines w:val="0"/>
                    <w:pageBreakBefore w:val="0"/>
                    <w:widowControl w:val="0"/>
                    <w:suppressLineNumbers w:val="0"/>
                    <w:kinsoku/>
                    <w:wordWrap/>
                    <w:overflowPunct/>
                    <w:topLinePunct w:val="0"/>
                    <w:autoSpaceDE/>
                    <w:autoSpaceDN/>
                    <w:bidi w:val="0"/>
                    <w:spacing w:beforeAutospacing="0" w:after="0" w:afterAutospacing="0" w:line="240" w:lineRule="auto"/>
                    <w:ind w:left="0" w:leftChars="0" w:right="0" w:firstLine="0"/>
                    <w:jc w:val="center"/>
                    <w:textAlignment w:val="auto"/>
                    <w:outlineLvl w:val="9"/>
                    <w:rPr>
                      <w:rFonts w:hint="default" w:ascii="Times New Roman" w:hAnsi="Times New Roman" w:eastAsia="宋体" w:cs="Times New Roman"/>
                      <w:color w:val="auto"/>
                      <w:spacing w:val="-2"/>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新增</w:t>
                  </w:r>
                </w:p>
              </w:tc>
            </w:tr>
          </w:tbl>
          <w:p w14:paraId="7F1EF15B">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color w:val="auto"/>
                <w:sz w:val="24"/>
                <w:highlight w:val="none"/>
                <w:u w:val="none" w:color="auto"/>
              </w:rPr>
            </w:pPr>
            <w:r>
              <w:rPr>
                <w:rFonts w:hint="default" w:ascii="Times New Roman" w:hAnsi="Times New Roman" w:cs="Times New Roman"/>
                <w:b/>
                <w:color w:val="auto"/>
                <w:sz w:val="24"/>
                <w:highlight w:val="none"/>
                <w:u w:val="none" w:color="auto"/>
              </w:rPr>
              <w:t>4、项目主要经济技术指标</w:t>
            </w:r>
          </w:p>
          <w:p w14:paraId="5E6C5DC0">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本项目主要经济技术指标见下表。</w:t>
            </w:r>
          </w:p>
          <w:p w14:paraId="6D4757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4"/>
                <w:highlight w:val="none"/>
                <w:u w:val="none" w:color="auto"/>
                <w:vertAlign w:val="baseline"/>
              </w:rPr>
            </w:pPr>
            <w:r>
              <w:rPr>
                <w:rFonts w:hint="default" w:ascii="Times New Roman" w:hAnsi="Times New Roman" w:eastAsia="宋体" w:cs="Times New Roman"/>
                <w:b/>
                <w:bCs/>
                <w:color w:val="auto"/>
                <w:sz w:val="24"/>
                <w:highlight w:val="none"/>
                <w:u w:val="none" w:color="auto"/>
              </w:rPr>
              <w:t>表2-3</w:t>
            </w:r>
            <w:r>
              <w:rPr>
                <w:rFonts w:hint="default" w:ascii="Times New Roman" w:hAnsi="Times New Roman" w:eastAsia="宋体" w:cs="Times New Roman"/>
                <w:b/>
                <w:bCs/>
                <w:color w:val="auto"/>
                <w:sz w:val="24"/>
                <w:highlight w:val="none"/>
                <w:u w:val="none" w:color="auto"/>
                <w:lang w:val="en-US" w:eastAsia="zh-CN"/>
              </w:rPr>
              <w:t xml:space="preserve">    </w:t>
            </w:r>
            <w:r>
              <w:rPr>
                <w:rFonts w:hint="default" w:ascii="Times New Roman" w:hAnsi="Times New Roman" w:eastAsia="宋体" w:cs="Times New Roman"/>
                <w:b/>
                <w:bCs/>
                <w:color w:val="auto"/>
                <w:sz w:val="24"/>
                <w:highlight w:val="none"/>
                <w:u w:val="none" w:color="auto"/>
              </w:rPr>
              <w:t>项目主要经济技术指标一览表</w:t>
            </w:r>
          </w:p>
          <w:tbl>
            <w:tblPr>
              <w:tblStyle w:val="3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2"/>
              <w:gridCol w:w="2032"/>
              <w:gridCol w:w="2034"/>
              <w:gridCol w:w="2035"/>
            </w:tblGrid>
            <w:tr w14:paraId="6469B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9" w:type="pct"/>
                  <w:vAlign w:val="center"/>
                </w:tcPr>
                <w:p w14:paraId="4FDA1366">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项目</w:t>
                  </w:r>
                </w:p>
              </w:tc>
              <w:tc>
                <w:tcPr>
                  <w:tcW w:w="1249" w:type="pct"/>
                  <w:vAlign w:val="center"/>
                </w:tcPr>
                <w:p w14:paraId="3260A734">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现有工程</w:t>
                  </w:r>
                </w:p>
              </w:tc>
              <w:tc>
                <w:tcPr>
                  <w:tcW w:w="1250" w:type="pct"/>
                  <w:vAlign w:val="center"/>
                </w:tcPr>
                <w:p w14:paraId="42762FE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本次工程</w:t>
                  </w:r>
                </w:p>
              </w:tc>
              <w:tc>
                <w:tcPr>
                  <w:tcW w:w="1251" w:type="pct"/>
                  <w:vAlign w:val="center"/>
                </w:tcPr>
                <w:p w14:paraId="525DC01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扩建后全场</w:t>
                  </w:r>
                </w:p>
              </w:tc>
            </w:tr>
            <w:tr w14:paraId="628D7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9" w:type="pct"/>
                  <w:vAlign w:val="center"/>
                </w:tcPr>
                <w:p w14:paraId="1078933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班级规模</w:t>
                  </w:r>
                </w:p>
              </w:tc>
              <w:tc>
                <w:tcPr>
                  <w:tcW w:w="1249" w:type="pct"/>
                  <w:vAlign w:val="center"/>
                </w:tcPr>
                <w:p w14:paraId="0527DA46">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102个（每个班78人）</w:t>
                  </w:r>
                </w:p>
              </w:tc>
              <w:tc>
                <w:tcPr>
                  <w:tcW w:w="1250" w:type="pct"/>
                  <w:vAlign w:val="center"/>
                </w:tcPr>
                <w:p w14:paraId="6431A5CA">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58个（每个班50人）</w:t>
                  </w:r>
                </w:p>
              </w:tc>
              <w:tc>
                <w:tcPr>
                  <w:tcW w:w="1251" w:type="pct"/>
                  <w:vAlign w:val="center"/>
                </w:tcPr>
                <w:p w14:paraId="6CB6B12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160个（每个班50人）</w:t>
                  </w:r>
                </w:p>
              </w:tc>
            </w:tr>
            <w:tr w14:paraId="19C1E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9" w:type="pct"/>
                  <w:vAlign w:val="center"/>
                </w:tcPr>
                <w:p w14:paraId="230BEFC2">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学生规模</w:t>
                  </w:r>
                </w:p>
              </w:tc>
              <w:tc>
                <w:tcPr>
                  <w:tcW w:w="1249" w:type="pct"/>
                  <w:vAlign w:val="center"/>
                </w:tcPr>
                <w:p w14:paraId="3524D81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7984人</w:t>
                  </w:r>
                </w:p>
              </w:tc>
              <w:tc>
                <w:tcPr>
                  <w:tcW w:w="1250" w:type="pct"/>
                  <w:vAlign w:val="center"/>
                </w:tcPr>
                <w:p w14:paraId="3DD58A7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16人</w:t>
                  </w:r>
                </w:p>
              </w:tc>
              <w:tc>
                <w:tcPr>
                  <w:tcW w:w="1251" w:type="pct"/>
                  <w:vAlign w:val="center"/>
                </w:tcPr>
                <w:p w14:paraId="713B6CF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8000人</w:t>
                  </w:r>
                </w:p>
              </w:tc>
            </w:tr>
            <w:tr w14:paraId="382CF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9" w:type="pct"/>
                  <w:vAlign w:val="center"/>
                </w:tcPr>
                <w:p w14:paraId="7C0BAAA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教师规模</w:t>
                  </w:r>
                </w:p>
              </w:tc>
              <w:tc>
                <w:tcPr>
                  <w:tcW w:w="1249" w:type="pct"/>
                  <w:vAlign w:val="center"/>
                </w:tcPr>
                <w:p w14:paraId="425BDA9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509人</w:t>
                  </w:r>
                </w:p>
              </w:tc>
              <w:tc>
                <w:tcPr>
                  <w:tcW w:w="1250" w:type="pct"/>
                  <w:vAlign w:val="center"/>
                </w:tcPr>
                <w:p w14:paraId="75F3E541">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0</w:t>
                  </w:r>
                </w:p>
              </w:tc>
              <w:tc>
                <w:tcPr>
                  <w:tcW w:w="1251" w:type="pct"/>
                  <w:vAlign w:val="center"/>
                </w:tcPr>
                <w:p w14:paraId="4261E3A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509人</w:t>
                  </w:r>
                </w:p>
              </w:tc>
            </w:tr>
            <w:tr w14:paraId="71D80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9" w:type="pct"/>
                  <w:vAlign w:val="center"/>
                </w:tcPr>
                <w:p w14:paraId="22F62FA1">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占地面积</w:t>
                  </w:r>
                </w:p>
              </w:tc>
              <w:tc>
                <w:tcPr>
                  <w:tcW w:w="1249" w:type="pct"/>
                  <w:vAlign w:val="center"/>
                </w:tcPr>
                <w:p w14:paraId="57C6CE66">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238亩</w:t>
                  </w:r>
                </w:p>
              </w:tc>
              <w:tc>
                <w:tcPr>
                  <w:tcW w:w="1250" w:type="pct"/>
                  <w:vAlign w:val="center"/>
                </w:tcPr>
                <w:p w14:paraId="33E63E5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11.54亩</w:t>
                  </w:r>
                </w:p>
              </w:tc>
              <w:tc>
                <w:tcPr>
                  <w:tcW w:w="1251" w:type="pct"/>
                  <w:vAlign w:val="center"/>
                </w:tcPr>
                <w:p w14:paraId="5ACC5A72">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249.54亩</w:t>
                  </w:r>
                </w:p>
              </w:tc>
            </w:tr>
            <w:tr w14:paraId="1E70F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9" w:type="pct"/>
                  <w:vAlign w:val="center"/>
                </w:tcPr>
                <w:p w14:paraId="3ACD324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建筑面积</w:t>
                  </w:r>
                </w:p>
              </w:tc>
              <w:tc>
                <w:tcPr>
                  <w:tcW w:w="1249" w:type="pct"/>
                  <w:vAlign w:val="center"/>
                </w:tcPr>
                <w:p w14:paraId="18C1847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56113平方米</w:t>
                  </w:r>
                </w:p>
              </w:tc>
              <w:tc>
                <w:tcPr>
                  <w:tcW w:w="1250" w:type="pct"/>
                  <w:vAlign w:val="center"/>
                </w:tcPr>
                <w:p w14:paraId="128F8D72">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19494.72平方米</w:t>
                  </w:r>
                </w:p>
              </w:tc>
              <w:tc>
                <w:tcPr>
                  <w:tcW w:w="1251" w:type="pct"/>
                  <w:vAlign w:val="center"/>
                </w:tcPr>
                <w:p w14:paraId="7008CA0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75607.72平方米</w:t>
                  </w:r>
                </w:p>
              </w:tc>
            </w:tr>
          </w:tbl>
          <w:p w14:paraId="653BFEF8">
            <w:pPr>
              <w:tabs>
                <w:tab w:val="left" w:pos="1081"/>
              </w:tabs>
              <w:adjustRightInd w:val="0"/>
              <w:snapToGrid w:val="0"/>
              <w:spacing w:line="360" w:lineRule="auto"/>
              <w:ind w:firstLine="482" w:firstLineChars="200"/>
              <w:rPr>
                <w:rFonts w:hint="default" w:ascii="Times New Roman" w:hAnsi="Times New Roman" w:cs="Times New Roman"/>
                <w:b/>
                <w:color w:val="auto"/>
                <w:sz w:val="24"/>
                <w:highlight w:val="none"/>
                <w:u w:val="none" w:color="auto"/>
              </w:rPr>
            </w:pPr>
            <w:r>
              <w:rPr>
                <w:rFonts w:hint="default" w:ascii="Times New Roman" w:hAnsi="Times New Roman" w:cs="Times New Roman"/>
                <w:b/>
                <w:color w:val="auto"/>
                <w:sz w:val="24"/>
                <w:highlight w:val="none"/>
                <w:u w:val="none" w:color="auto"/>
              </w:rPr>
              <w:t>5、学校实验室</w:t>
            </w:r>
          </w:p>
          <w:p w14:paraId="19556011">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 w:val="0"/>
                <w:bCs w:val="0"/>
                <w:color w:val="auto"/>
                <w:sz w:val="24"/>
                <w:highlight w:val="none"/>
                <w:u w:val="none" w:color="auto"/>
              </w:rPr>
            </w:pPr>
            <w:r>
              <w:rPr>
                <w:rFonts w:hint="default" w:ascii="Times New Roman" w:hAnsi="Times New Roman" w:cs="Times New Roman"/>
                <w:b w:val="0"/>
                <w:bCs w:val="0"/>
                <w:color w:val="auto"/>
                <w:sz w:val="24"/>
                <w:highlight w:val="none"/>
                <w:u w:val="none" w:color="auto"/>
              </w:rPr>
              <w:t>本项目教学实验内容主要为中学教学实验课程，主要包括物理实验、化学实验和生物实验。考虑到高中物理实验课程主要为演示类和观摩类实验，不涉及到化学试剂的使用。根据中学实验课程特点，本次评价主要分析学校运营期的高中生物、化学实验课程内容。</w:t>
            </w:r>
          </w:p>
          <w:p w14:paraId="1AAB66D8">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 w:val="0"/>
                <w:bCs w:val="0"/>
                <w:color w:val="auto"/>
                <w:sz w:val="24"/>
                <w:highlight w:val="none"/>
                <w:u w:val="none" w:color="auto"/>
              </w:rPr>
            </w:pPr>
            <w:r>
              <w:rPr>
                <w:rFonts w:hint="default" w:ascii="Times New Roman" w:hAnsi="Times New Roman" w:cs="Times New Roman"/>
                <w:b w:val="0"/>
                <w:bCs w:val="0"/>
                <w:color w:val="auto"/>
                <w:sz w:val="24"/>
                <w:highlight w:val="none"/>
                <w:u w:val="none" w:color="auto"/>
              </w:rPr>
              <w:t>项目运营期实验课程设置如下表。</w:t>
            </w:r>
          </w:p>
          <w:p w14:paraId="4ECA0C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highlight w:val="none"/>
                <w:u w:val="none" w:color="auto"/>
              </w:rPr>
            </w:pPr>
            <w:r>
              <w:rPr>
                <w:rFonts w:hint="default" w:ascii="Times New Roman" w:hAnsi="Times New Roman" w:eastAsia="宋体" w:cs="Times New Roman"/>
                <w:b/>
                <w:bCs/>
                <w:color w:val="auto"/>
                <w:sz w:val="24"/>
                <w:highlight w:val="none"/>
                <w:u w:val="none" w:color="auto"/>
              </w:rPr>
              <w:t>表2-4</w:t>
            </w:r>
            <w:r>
              <w:rPr>
                <w:rFonts w:hint="default" w:ascii="Times New Roman" w:hAnsi="Times New Roman" w:eastAsia="宋体" w:cs="Times New Roman"/>
                <w:b/>
                <w:bCs/>
                <w:color w:val="auto"/>
                <w:sz w:val="24"/>
                <w:highlight w:val="none"/>
                <w:u w:val="none" w:color="auto"/>
                <w:lang w:val="en-US" w:eastAsia="zh-CN"/>
              </w:rPr>
              <w:t xml:space="preserve">    </w:t>
            </w:r>
            <w:r>
              <w:rPr>
                <w:rFonts w:hint="default" w:ascii="Times New Roman" w:hAnsi="Times New Roman" w:eastAsia="宋体" w:cs="Times New Roman"/>
                <w:b/>
                <w:bCs/>
                <w:color w:val="auto"/>
                <w:sz w:val="24"/>
                <w:highlight w:val="none"/>
                <w:u w:val="none" w:color="auto"/>
              </w:rPr>
              <w:t>项目主要生产设备一览表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2"/>
              <w:gridCol w:w="857"/>
              <w:gridCol w:w="1713"/>
              <w:gridCol w:w="572"/>
              <w:gridCol w:w="573"/>
              <w:gridCol w:w="1148"/>
              <w:gridCol w:w="1259"/>
              <w:gridCol w:w="1132"/>
            </w:tblGrid>
            <w:tr w14:paraId="23A8B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2" w:type="pct"/>
                  <w:vMerge w:val="restart"/>
                  <w:vAlign w:val="center"/>
                </w:tcPr>
                <w:p w14:paraId="4DFA4F50">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default" w:ascii="Times New Roman" w:hAnsi="Times New Roman" w:eastAsia="宋体" w:cs="Times New Roman"/>
                      <w:bCs/>
                      <w:color w:val="auto"/>
                      <w:sz w:val="21"/>
                      <w:szCs w:val="21"/>
                      <w:highlight w:val="none"/>
                      <w:u w:val="none" w:color="auto"/>
                      <w:vertAlign w:val="baseline"/>
                      <w:lang w:val="en-US" w:eastAsia="zh-CN"/>
                    </w:rPr>
                    <w:t>序号</w:t>
                  </w:r>
                </w:p>
              </w:tc>
              <w:tc>
                <w:tcPr>
                  <w:tcW w:w="526" w:type="pct"/>
                  <w:vMerge w:val="restart"/>
                  <w:vAlign w:val="center"/>
                </w:tcPr>
                <w:p w14:paraId="0DBE7A60">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6"/>
                      <w:sz w:val="21"/>
                      <w:szCs w:val="21"/>
                      <w:u w:val="none" w:color="auto"/>
                    </w:rPr>
                    <w:t>实验课程</w:t>
                  </w:r>
                </w:p>
              </w:tc>
              <w:tc>
                <w:tcPr>
                  <w:tcW w:w="1052" w:type="pct"/>
                  <w:vMerge w:val="restart"/>
                  <w:vAlign w:val="center"/>
                </w:tcPr>
                <w:p w14:paraId="5CC7802E">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Cs/>
                      <w:color w:val="auto"/>
                      <w:sz w:val="21"/>
                      <w:szCs w:val="21"/>
                      <w:highlight w:val="none"/>
                      <w:u w:val="none" w:color="auto"/>
                      <w:vertAlign w:val="baseline"/>
                    </w:rPr>
                  </w:pPr>
                  <w:r>
                    <w:rPr>
                      <w:rFonts w:hint="default" w:ascii="Times New Roman" w:hAnsi="Times New Roman" w:eastAsia="宋体" w:cs="Times New Roman"/>
                      <w:color w:val="auto"/>
                      <w:spacing w:val="7"/>
                      <w:sz w:val="21"/>
                      <w:szCs w:val="21"/>
                      <w:u w:val="none" w:color="auto"/>
                    </w:rPr>
                    <w:t>课程设置</w:t>
                  </w:r>
                </w:p>
              </w:tc>
              <w:tc>
                <w:tcPr>
                  <w:tcW w:w="703" w:type="pct"/>
                  <w:gridSpan w:val="2"/>
                  <w:vAlign w:val="center"/>
                </w:tcPr>
                <w:p w14:paraId="74C70880">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color w:val="auto"/>
                      <w:spacing w:val="7"/>
                      <w:sz w:val="21"/>
                      <w:szCs w:val="21"/>
                      <w:u w:val="none" w:color="auto"/>
                    </w:rPr>
                  </w:pPr>
                  <w:r>
                    <w:rPr>
                      <w:rFonts w:hint="default" w:ascii="Times New Roman" w:hAnsi="Times New Roman" w:eastAsia="宋体" w:cs="Times New Roman"/>
                      <w:color w:val="auto"/>
                      <w:spacing w:val="7"/>
                      <w:sz w:val="21"/>
                      <w:szCs w:val="21"/>
                      <w:u w:val="none" w:color="auto"/>
                    </w:rPr>
                    <w:t>班级数</w:t>
                  </w:r>
                  <w:r>
                    <w:rPr>
                      <w:rFonts w:hint="default" w:ascii="Times New Roman" w:hAnsi="Times New Roman" w:eastAsia="宋体" w:cs="Times New Roman"/>
                      <w:color w:val="auto"/>
                      <w:sz w:val="21"/>
                      <w:szCs w:val="21"/>
                      <w:u w:val="none" w:color="auto"/>
                    </w:rPr>
                    <w:t>量</w:t>
                  </w:r>
                </w:p>
              </w:tc>
              <w:tc>
                <w:tcPr>
                  <w:tcW w:w="705" w:type="pct"/>
                  <w:vMerge w:val="restart"/>
                  <w:vAlign w:val="center"/>
                </w:tcPr>
                <w:p w14:paraId="0F4FB1C1">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bCs/>
                      <w:color w:val="auto"/>
                      <w:sz w:val="21"/>
                      <w:szCs w:val="21"/>
                      <w:highlight w:val="none"/>
                      <w:u w:val="none" w:color="auto"/>
                      <w:vertAlign w:val="baseline"/>
                    </w:rPr>
                  </w:pPr>
                  <w:r>
                    <w:rPr>
                      <w:rFonts w:hint="default" w:ascii="Times New Roman" w:hAnsi="Times New Roman" w:eastAsia="宋体" w:cs="Times New Roman"/>
                      <w:color w:val="auto"/>
                      <w:spacing w:val="7"/>
                      <w:sz w:val="21"/>
                      <w:szCs w:val="21"/>
                      <w:u w:val="none" w:color="auto"/>
                    </w:rPr>
                    <w:t>课时数</w:t>
                  </w:r>
                  <w:r>
                    <w:rPr>
                      <w:rFonts w:hint="default" w:ascii="Times New Roman" w:hAnsi="Times New Roman" w:eastAsia="宋体" w:cs="Times New Roman"/>
                      <w:color w:val="auto"/>
                      <w:sz w:val="21"/>
                      <w:szCs w:val="21"/>
                      <w:u w:val="none" w:color="auto"/>
                    </w:rPr>
                    <w:t>量</w:t>
                  </w:r>
                </w:p>
              </w:tc>
              <w:tc>
                <w:tcPr>
                  <w:tcW w:w="773" w:type="pct"/>
                  <w:vMerge w:val="restart"/>
                  <w:vAlign w:val="center"/>
                </w:tcPr>
                <w:p w14:paraId="333455EE">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rPr>
                  </w:pPr>
                  <w:r>
                    <w:rPr>
                      <w:rFonts w:hint="default" w:ascii="Times New Roman" w:hAnsi="Times New Roman" w:eastAsia="宋体" w:cs="Times New Roman"/>
                      <w:color w:val="auto"/>
                      <w:spacing w:val="8"/>
                      <w:sz w:val="21"/>
                      <w:szCs w:val="21"/>
                      <w:u w:val="none" w:color="auto"/>
                    </w:rPr>
                    <w:t>每周参加实验课程的学生数量</w:t>
                  </w:r>
                </w:p>
              </w:tc>
              <w:tc>
                <w:tcPr>
                  <w:tcW w:w="695" w:type="pct"/>
                  <w:vMerge w:val="restart"/>
                  <w:vAlign w:val="center"/>
                </w:tcPr>
                <w:p w14:paraId="69DE6063">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bCs/>
                      <w:color w:val="auto"/>
                      <w:sz w:val="21"/>
                      <w:szCs w:val="21"/>
                      <w:highlight w:val="none"/>
                      <w:u w:val="none" w:color="auto"/>
                      <w:vertAlign w:val="baseline"/>
                    </w:rPr>
                  </w:pPr>
                  <w:r>
                    <w:rPr>
                      <w:rFonts w:hint="default" w:ascii="Times New Roman" w:hAnsi="Times New Roman" w:eastAsia="宋体" w:cs="Times New Roman"/>
                      <w:color w:val="auto"/>
                      <w:spacing w:val="3"/>
                      <w:sz w:val="21"/>
                      <w:szCs w:val="21"/>
                      <w:u w:val="none" w:color="auto"/>
                    </w:rPr>
                    <w:t>备注</w:t>
                  </w:r>
                </w:p>
              </w:tc>
            </w:tr>
            <w:tr w14:paraId="3B1D4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2" w:type="pct"/>
                  <w:vMerge w:val="continue"/>
                  <w:vAlign w:val="center"/>
                </w:tcPr>
                <w:p w14:paraId="4288B306">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p>
              </w:tc>
              <w:tc>
                <w:tcPr>
                  <w:tcW w:w="526" w:type="pct"/>
                  <w:vMerge w:val="continue"/>
                  <w:vAlign w:val="center"/>
                </w:tcPr>
                <w:p w14:paraId="3F040D27">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p>
              </w:tc>
              <w:tc>
                <w:tcPr>
                  <w:tcW w:w="1052" w:type="pct"/>
                  <w:vMerge w:val="continue"/>
                  <w:vAlign w:val="center"/>
                </w:tcPr>
                <w:p w14:paraId="453D4922">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p>
              </w:tc>
              <w:tc>
                <w:tcPr>
                  <w:tcW w:w="351" w:type="pct"/>
                  <w:vAlign w:val="center"/>
                </w:tcPr>
                <w:p w14:paraId="051F3499">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现有</w:t>
                  </w:r>
                </w:p>
              </w:tc>
              <w:tc>
                <w:tcPr>
                  <w:tcW w:w="352" w:type="pct"/>
                  <w:vAlign w:val="center"/>
                </w:tcPr>
                <w:p w14:paraId="7E49A7C2">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本次新增</w:t>
                  </w:r>
                </w:p>
              </w:tc>
              <w:tc>
                <w:tcPr>
                  <w:tcW w:w="705" w:type="pct"/>
                  <w:vMerge w:val="continue"/>
                  <w:vAlign w:val="center"/>
                </w:tcPr>
                <w:p w14:paraId="0C4ECED0">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p>
              </w:tc>
              <w:tc>
                <w:tcPr>
                  <w:tcW w:w="773" w:type="pct"/>
                  <w:vMerge w:val="continue"/>
                  <w:vAlign w:val="center"/>
                </w:tcPr>
                <w:p w14:paraId="32D16366">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p>
              </w:tc>
              <w:tc>
                <w:tcPr>
                  <w:tcW w:w="695" w:type="pct"/>
                  <w:vMerge w:val="continue"/>
                  <w:vAlign w:val="center"/>
                </w:tcPr>
                <w:p w14:paraId="649FCE8B">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p>
              </w:tc>
            </w:tr>
            <w:tr w14:paraId="50964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2" w:type="pct"/>
                  <w:vAlign w:val="center"/>
                </w:tcPr>
                <w:p w14:paraId="06D1A3B2">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default" w:ascii="Times New Roman" w:hAnsi="Times New Roman" w:eastAsia="宋体" w:cs="Times New Roman"/>
                      <w:bCs/>
                      <w:color w:val="auto"/>
                      <w:sz w:val="21"/>
                      <w:szCs w:val="21"/>
                      <w:highlight w:val="none"/>
                      <w:u w:val="none" w:color="auto"/>
                      <w:vertAlign w:val="baseline"/>
                      <w:lang w:val="en-US" w:eastAsia="zh-CN"/>
                    </w:rPr>
                    <w:t>1</w:t>
                  </w:r>
                </w:p>
              </w:tc>
              <w:tc>
                <w:tcPr>
                  <w:tcW w:w="526" w:type="pct"/>
                  <w:vAlign w:val="center"/>
                </w:tcPr>
                <w:p w14:paraId="54565506">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bCs/>
                      <w:color w:val="auto"/>
                      <w:sz w:val="21"/>
                      <w:szCs w:val="21"/>
                      <w:highlight w:val="none"/>
                      <w:u w:val="none" w:color="auto"/>
                      <w:vertAlign w:val="baseline"/>
                    </w:rPr>
                  </w:pPr>
                  <w:r>
                    <w:rPr>
                      <w:rFonts w:hint="default" w:ascii="Times New Roman" w:hAnsi="Times New Roman" w:eastAsia="宋体" w:cs="Times New Roman"/>
                      <w:color w:val="auto"/>
                      <w:spacing w:val="5"/>
                      <w:sz w:val="21"/>
                      <w:szCs w:val="21"/>
                      <w:u w:val="none" w:color="auto"/>
                    </w:rPr>
                    <w:t>高中生物实验课</w:t>
                  </w:r>
                </w:p>
              </w:tc>
              <w:tc>
                <w:tcPr>
                  <w:tcW w:w="1052" w:type="pct"/>
                  <w:vAlign w:val="center"/>
                </w:tcPr>
                <w:p w14:paraId="0D905B4E">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rPr>
                  </w:pPr>
                  <w:r>
                    <w:rPr>
                      <w:rFonts w:hint="default" w:ascii="Times New Roman" w:hAnsi="Times New Roman" w:eastAsia="宋体" w:cs="Times New Roman"/>
                      <w:color w:val="auto"/>
                      <w:spacing w:val="8"/>
                      <w:sz w:val="21"/>
                      <w:szCs w:val="21"/>
                      <w:u w:val="none" w:color="auto"/>
                    </w:rPr>
                    <w:t>高中各年级每班每周上一次生物实验课程</w:t>
                  </w:r>
                </w:p>
              </w:tc>
              <w:tc>
                <w:tcPr>
                  <w:tcW w:w="351" w:type="pct"/>
                  <w:vAlign w:val="center"/>
                </w:tcPr>
                <w:p w14:paraId="6599084D">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Cs/>
                      <w:color w:val="auto"/>
                      <w:sz w:val="21"/>
                      <w:szCs w:val="21"/>
                      <w:highlight w:val="none"/>
                      <w:u w:val="none" w:color="auto"/>
                      <w:vertAlign w:val="baseline"/>
                    </w:rPr>
                  </w:pPr>
                  <w:r>
                    <w:rPr>
                      <w:rFonts w:hint="default" w:ascii="Times New Roman" w:hAnsi="Times New Roman" w:eastAsia="宋体" w:cs="Times New Roman"/>
                      <w:color w:val="auto"/>
                      <w:sz w:val="21"/>
                      <w:szCs w:val="21"/>
                      <w:u w:val="none" w:color="auto"/>
                      <w:lang w:val="en-US" w:eastAsia="zh-CN"/>
                    </w:rPr>
                    <w:t>102</w:t>
                  </w:r>
                  <w:r>
                    <w:rPr>
                      <w:rFonts w:hint="default" w:ascii="Times New Roman" w:hAnsi="Times New Roman" w:eastAsia="宋体" w:cs="Times New Roman"/>
                      <w:color w:val="auto"/>
                      <w:sz w:val="21"/>
                      <w:szCs w:val="21"/>
                      <w:u w:val="none" w:color="auto"/>
                    </w:rPr>
                    <w:t>个</w:t>
                  </w:r>
                </w:p>
              </w:tc>
              <w:tc>
                <w:tcPr>
                  <w:tcW w:w="352" w:type="pct"/>
                  <w:shd w:val="clear" w:color="auto" w:fill="auto"/>
                  <w:vAlign w:val="center"/>
                </w:tcPr>
                <w:p w14:paraId="19A0EE02">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en-US" w:bidi="ar-SA"/>
                    </w:rPr>
                  </w:pPr>
                  <w:r>
                    <w:rPr>
                      <w:rFonts w:hint="default" w:ascii="Times New Roman" w:hAnsi="Times New Roman" w:eastAsia="宋体" w:cs="Times New Roman"/>
                      <w:color w:val="auto"/>
                      <w:sz w:val="21"/>
                      <w:szCs w:val="21"/>
                      <w:u w:val="none" w:color="auto"/>
                      <w:lang w:val="en-US" w:eastAsia="zh-CN"/>
                    </w:rPr>
                    <w:t>58</w:t>
                  </w:r>
                  <w:r>
                    <w:rPr>
                      <w:rFonts w:hint="default" w:ascii="Times New Roman" w:hAnsi="Times New Roman" w:eastAsia="宋体" w:cs="Times New Roman"/>
                      <w:color w:val="auto"/>
                      <w:sz w:val="21"/>
                      <w:szCs w:val="21"/>
                      <w:u w:val="none" w:color="auto"/>
                    </w:rPr>
                    <w:t>个</w:t>
                  </w:r>
                </w:p>
              </w:tc>
              <w:tc>
                <w:tcPr>
                  <w:tcW w:w="705" w:type="pct"/>
                  <w:vAlign w:val="center"/>
                </w:tcPr>
                <w:p w14:paraId="33F6A4F9">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lang w:val="en-US" w:eastAsia="zh-CN"/>
                    </w:rPr>
                    <w:t>6400</w:t>
                  </w:r>
                  <w:r>
                    <w:rPr>
                      <w:rFonts w:hint="default" w:ascii="Times New Roman" w:hAnsi="Times New Roman" w:eastAsia="宋体" w:cs="Times New Roman"/>
                      <w:color w:val="auto"/>
                      <w:spacing w:val="3"/>
                      <w:sz w:val="21"/>
                      <w:szCs w:val="21"/>
                      <w:u w:val="none" w:color="auto"/>
                    </w:rPr>
                    <w:t>次</w:t>
                  </w:r>
                </w:p>
                <w:p w14:paraId="066CBC57">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Cs/>
                      <w:color w:val="auto"/>
                      <w:sz w:val="21"/>
                      <w:szCs w:val="21"/>
                      <w:highlight w:val="none"/>
                      <w:u w:val="none" w:color="auto"/>
                      <w:vertAlign w:val="baseline"/>
                    </w:rPr>
                  </w:pPr>
                  <w:r>
                    <w:rPr>
                      <w:rFonts w:hint="default" w:ascii="Times New Roman" w:hAnsi="Times New Roman" w:eastAsia="宋体" w:cs="Times New Roman"/>
                      <w:color w:val="auto"/>
                      <w:spacing w:val="2"/>
                      <w:sz w:val="21"/>
                      <w:szCs w:val="21"/>
                      <w:u w:val="none" w:color="auto"/>
                    </w:rPr>
                    <w:t>/a</w:t>
                  </w:r>
                </w:p>
              </w:tc>
              <w:tc>
                <w:tcPr>
                  <w:tcW w:w="773" w:type="pct"/>
                  <w:vAlign w:val="center"/>
                </w:tcPr>
                <w:p w14:paraId="0FAAF4B4">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Cs/>
                      <w:color w:val="auto"/>
                      <w:sz w:val="21"/>
                      <w:szCs w:val="21"/>
                      <w:highlight w:val="none"/>
                      <w:u w:val="none" w:color="auto"/>
                      <w:vertAlign w:val="baseline"/>
                    </w:rPr>
                  </w:pPr>
                  <w:r>
                    <w:rPr>
                      <w:rFonts w:hint="default" w:ascii="Times New Roman" w:hAnsi="Times New Roman" w:eastAsia="宋体" w:cs="Times New Roman"/>
                      <w:color w:val="auto"/>
                      <w:spacing w:val="3"/>
                      <w:sz w:val="21"/>
                      <w:szCs w:val="21"/>
                      <w:u w:val="none" w:color="auto"/>
                      <w:lang w:val="en-US" w:eastAsia="zh-CN"/>
                    </w:rPr>
                    <w:t>8000</w:t>
                  </w:r>
                  <w:r>
                    <w:rPr>
                      <w:rFonts w:hint="default" w:ascii="Times New Roman" w:hAnsi="Times New Roman" w:eastAsia="宋体" w:cs="Times New Roman"/>
                      <w:color w:val="auto"/>
                      <w:spacing w:val="3"/>
                      <w:sz w:val="21"/>
                      <w:szCs w:val="21"/>
                      <w:u w:val="none" w:color="auto"/>
                    </w:rPr>
                    <w:t>人</w:t>
                  </w:r>
                </w:p>
              </w:tc>
              <w:tc>
                <w:tcPr>
                  <w:tcW w:w="695" w:type="pct"/>
                  <w:vMerge w:val="restart"/>
                  <w:vAlign w:val="center"/>
                </w:tcPr>
                <w:p w14:paraId="390585EE">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6"/>
                      <w:sz w:val="21"/>
                      <w:szCs w:val="21"/>
                      <w:u w:val="none" w:color="auto"/>
                    </w:rPr>
                    <w:t>每年教</w:t>
                  </w:r>
                </w:p>
                <w:p w14:paraId="50F8B039">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bCs/>
                      <w:color w:val="auto"/>
                      <w:sz w:val="21"/>
                      <w:szCs w:val="21"/>
                      <w:highlight w:val="none"/>
                      <w:u w:val="none" w:color="auto"/>
                      <w:vertAlign w:val="baseline"/>
                    </w:rPr>
                  </w:pPr>
                  <w:r>
                    <w:rPr>
                      <w:rFonts w:hint="default" w:ascii="Times New Roman" w:hAnsi="Times New Roman" w:eastAsia="宋体" w:cs="Times New Roman"/>
                      <w:color w:val="auto"/>
                      <w:spacing w:val="4"/>
                      <w:sz w:val="21"/>
                      <w:szCs w:val="21"/>
                      <w:u w:val="none" w:color="auto"/>
                    </w:rPr>
                    <w:t>育期按</w:t>
                  </w:r>
                  <w:r>
                    <w:rPr>
                      <w:rFonts w:hint="default" w:ascii="Times New Roman" w:hAnsi="Times New Roman" w:eastAsia="宋体" w:cs="Times New Roman"/>
                      <w:color w:val="auto"/>
                      <w:sz w:val="21"/>
                      <w:szCs w:val="21"/>
                      <w:u w:val="none" w:color="auto"/>
                    </w:rPr>
                    <w:t xml:space="preserve"> </w:t>
                  </w:r>
                  <w:r>
                    <w:rPr>
                      <w:rFonts w:hint="default" w:ascii="Times New Roman" w:hAnsi="Times New Roman" w:eastAsia="宋体" w:cs="Times New Roman"/>
                      <w:color w:val="auto"/>
                      <w:spacing w:val="3"/>
                      <w:sz w:val="21"/>
                      <w:szCs w:val="21"/>
                      <w:u w:val="none" w:color="auto"/>
                    </w:rPr>
                    <w:t>40周计</w:t>
                  </w:r>
                </w:p>
              </w:tc>
            </w:tr>
            <w:tr w14:paraId="689B4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2" w:type="pct"/>
                  <w:vAlign w:val="center"/>
                </w:tcPr>
                <w:p w14:paraId="61D8B4E1">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default" w:ascii="Times New Roman" w:hAnsi="Times New Roman" w:eastAsia="宋体" w:cs="Times New Roman"/>
                      <w:bCs/>
                      <w:color w:val="auto"/>
                      <w:sz w:val="21"/>
                      <w:szCs w:val="21"/>
                      <w:highlight w:val="none"/>
                      <w:u w:val="none" w:color="auto"/>
                      <w:vertAlign w:val="baseline"/>
                      <w:lang w:val="en-US" w:eastAsia="zh-CN"/>
                    </w:rPr>
                    <w:t>2</w:t>
                  </w:r>
                </w:p>
              </w:tc>
              <w:tc>
                <w:tcPr>
                  <w:tcW w:w="526" w:type="pct"/>
                  <w:vAlign w:val="center"/>
                </w:tcPr>
                <w:p w14:paraId="492912FD">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bCs/>
                      <w:color w:val="auto"/>
                      <w:sz w:val="21"/>
                      <w:szCs w:val="21"/>
                      <w:highlight w:val="none"/>
                      <w:u w:val="none" w:color="auto"/>
                      <w:vertAlign w:val="baseline"/>
                    </w:rPr>
                  </w:pPr>
                  <w:r>
                    <w:rPr>
                      <w:rFonts w:hint="default" w:ascii="Times New Roman" w:hAnsi="Times New Roman" w:eastAsia="宋体" w:cs="Times New Roman"/>
                      <w:color w:val="auto"/>
                      <w:spacing w:val="5"/>
                      <w:sz w:val="21"/>
                      <w:szCs w:val="21"/>
                      <w:u w:val="none" w:color="auto"/>
                    </w:rPr>
                    <w:t>高中化学实验课</w:t>
                  </w:r>
                </w:p>
              </w:tc>
              <w:tc>
                <w:tcPr>
                  <w:tcW w:w="1052" w:type="pct"/>
                  <w:vAlign w:val="center"/>
                </w:tcPr>
                <w:p w14:paraId="3114D27B">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u w:val="none" w:color="auto"/>
                      <w:vertAlign w:val="baseline"/>
                    </w:rPr>
                  </w:pPr>
                  <w:r>
                    <w:rPr>
                      <w:rFonts w:hint="default" w:ascii="Times New Roman" w:hAnsi="Times New Roman" w:eastAsia="宋体" w:cs="Times New Roman"/>
                      <w:color w:val="auto"/>
                      <w:spacing w:val="8"/>
                      <w:sz w:val="21"/>
                      <w:szCs w:val="21"/>
                      <w:u w:val="none" w:color="auto"/>
                    </w:rPr>
                    <w:t>高中各年级每班每周一次化学实验课程</w:t>
                  </w:r>
                </w:p>
              </w:tc>
              <w:tc>
                <w:tcPr>
                  <w:tcW w:w="351" w:type="pct"/>
                  <w:vAlign w:val="center"/>
                </w:tcPr>
                <w:p w14:paraId="1F4DD0FF">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Cs/>
                      <w:color w:val="auto"/>
                      <w:sz w:val="21"/>
                      <w:szCs w:val="21"/>
                      <w:highlight w:val="none"/>
                      <w:u w:val="none" w:color="auto"/>
                      <w:vertAlign w:val="baseline"/>
                    </w:rPr>
                  </w:pPr>
                  <w:r>
                    <w:rPr>
                      <w:rFonts w:hint="default" w:ascii="Times New Roman" w:hAnsi="Times New Roman" w:eastAsia="宋体" w:cs="Times New Roman"/>
                      <w:color w:val="auto"/>
                      <w:sz w:val="21"/>
                      <w:szCs w:val="21"/>
                      <w:u w:val="none" w:color="auto"/>
                      <w:lang w:val="en-US" w:eastAsia="zh-CN"/>
                    </w:rPr>
                    <w:t>102</w:t>
                  </w:r>
                  <w:r>
                    <w:rPr>
                      <w:rFonts w:hint="default" w:ascii="Times New Roman" w:hAnsi="Times New Roman" w:eastAsia="宋体" w:cs="Times New Roman"/>
                      <w:color w:val="auto"/>
                      <w:sz w:val="21"/>
                      <w:szCs w:val="21"/>
                      <w:u w:val="none" w:color="auto"/>
                    </w:rPr>
                    <w:t>个</w:t>
                  </w:r>
                </w:p>
              </w:tc>
              <w:tc>
                <w:tcPr>
                  <w:tcW w:w="352" w:type="pct"/>
                  <w:shd w:val="clear" w:color="auto" w:fill="auto"/>
                  <w:vAlign w:val="center"/>
                </w:tcPr>
                <w:p w14:paraId="41C4B768">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en-US" w:bidi="ar-SA"/>
                    </w:rPr>
                  </w:pPr>
                  <w:r>
                    <w:rPr>
                      <w:rFonts w:hint="default" w:ascii="Times New Roman" w:hAnsi="Times New Roman" w:eastAsia="宋体" w:cs="Times New Roman"/>
                      <w:color w:val="auto"/>
                      <w:sz w:val="21"/>
                      <w:szCs w:val="21"/>
                      <w:u w:val="none" w:color="auto"/>
                      <w:lang w:val="en-US" w:eastAsia="zh-CN"/>
                    </w:rPr>
                    <w:t>58</w:t>
                  </w:r>
                  <w:r>
                    <w:rPr>
                      <w:rFonts w:hint="default" w:ascii="Times New Roman" w:hAnsi="Times New Roman" w:eastAsia="宋体" w:cs="Times New Roman"/>
                      <w:color w:val="auto"/>
                      <w:sz w:val="21"/>
                      <w:szCs w:val="21"/>
                      <w:u w:val="none" w:color="auto"/>
                    </w:rPr>
                    <w:t>个</w:t>
                  </w:r>
                </w:p>
              </w:tc>
              <w:tc>
                <w:tcPr>
                  <w:tcW w:w="705" w:type="pct"/>
                  <w:vAlign w:val="center"/>
                </w:tcPr>
                <w:p w14:paraId="29DDBCCF">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lang w:val="en-US" w:eastAsia="zh-CN"/>
                    </w:rPr>
                    <w:t>6400</w:t>
                  </w:r>
                  <w:r>
                    <w:rPr>
                      <w:rFonts w:hint="default" w:ascii="Times New Roman" w:hAnsi="Times New Roman" w:eastAsia="宋体" w:cs="Times New Roman"/>
                      <w:color w:val="auto"/>
                      <w:spacing w:val="3"/>
                      <w:sz w:val="21"/>
                      <w:szCs w:val="21"/>
                      <w:u w:val="none" w:color="auto"/>
                    </w:rPr>
                    <w:t>次</w:t>
                  </w:r>
                </w:p>
                <w:p w14:paraId="2B6E8F51">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Cs/>
                      <w:color w:val="auto"/>
                      <w:sz w:val="21"/>
                      <w:szCs w:val="21"/>
                      <w:highlight w:val="none"/>
                      <w:u w:val="none" w:color="auto"/>
                      <w:vertAlign w:val="baseline"/>
                    </w:rPr>
                  </w:pPr>
                  <w:r>
                    <w:rPr>
                      <w:rFonts w:hint="default" w:ascii="Times New Roman" w:hAnsi="Times New Roman" w:eastAsia="宋体" w:cs="Times New Roman"/>
                      <w:color w:val="auto"/>
                      <w:spacing w:val="2"/>
                      <w:sz w:val="21"/>
                      <w:szCs w:val="21"/>
                      <w:u w:val="none" w:color="auto"/>
                    </w:rPr>
                    <w:t>/a</w:t>
                  </w:r>
                </w:p>
              </w:tc>
              <w:tc>
                <w:tcPr>
                  <w:tcW w:w="773" w:type="pct"/>
                  <w:vAlign w:val="center"/>
                </w:tcPr>
                <w:p w14:paraId="3FC89F8A">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Cs/>
                      <w:color w:val="auto"/>
                      <w:sz w:val="21"/>
                      <w:szCs w:val="21"/>
                      <w:highlight w:val="none"/>
                      <w:u w:val="none" w:color="auto"/>
                      <w:vertAlign w:val="baseline"/>
                    </w:rPr>
                  </w:pPr>
                  <w:r>
                    <w:rPr>
                      <w:rFonts w:hint="default" w:ascii="Times New Roman" w:hAnsi="Times New Roman" w:eastAsia="宋体" w:cs="Times New Roman"/>
                      <w:color w:val="auto"/>
                      <w:spacing w:val="3"/>
                      <w:sz w:val="21"/>
                      <w:szCs w:val="21"/>
                      <w:u w:val="none" w:color="auto"/>
                      <w:lang w:val="en-US" w:eastAsia="zh-CN"/>
                    </w:rPr>
                    <w:t>8000</w:t>
                  </w:r>
                  <w:r>
                    <w:rPr>
                      <w:rFonts w:hint="default" w:ascii="Times New Roman" w:hAnsi="Times New Roman" w:eastAsia="宋体" w:cs="Times New Roman"/>
                      <w:color w:val="auto"/>
                      <w:spacing w:val="3"/>
                      <w:sz w:val="21"/>
                      <w:szCs w:val="21"/>
                      <w:u w:val="none" w:color="auto"/>
                    </w:rPr>
                    <w:t>人</w:t>
                  </w:r>
                </w:p>
              </w:tc>
              <w:tc>
                <w:tcPr>
                  <w:tcW w:w="695" w:type="pct"/>
                  <w:vMerge w:val="continue"/>
                  <w:vAlign w:val="center"/>
                </w:tcPr>
                <w:p w14:paraId="07C29853">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bCs/>
                      <w:color w:val="auto"/>
                      <w:sz w:val="21"/>
                      <w:szCs w:val="21"/>
                      <w:highlight w:val="none"/>
                      <w:u w:val="none" w:color="auto"/>
                      <w:vertAlign w:val="baseline"/>
                    </w:rPr>
                  </w:pPr>
                </w:p>
              </w:tc>
            </w:tr>
            <w:tr w14:paraId="46E5F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2" w:type="pct"/>
                  <w:vAlign w:val="center"/>
                </w:tcPr>
                <w:p w14:paraId="2CF4AF5B">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bCs/>
                      <w:color w:val="auto"/>
                      <w:sz w:val="21"/>
                      <w:szCs w:val="21"/>
                      <w:highlight w:val="none"/>
                      <w:u w:val="none" w:color="auto"/>
                      <w:vertAlign w:val="baseline"/>
                      <w:lang w:val="en-US" w:eastAsia="zh-CN"/>
                    </w:rPr>
                  </w:pPr>
                  <w:r>
                    <w:rPr>
                      <w:rFonts w:hint="default" w:ascii="Times New Roman" w:hAnsi="Times New Roman" w:eastAsia="宋体" w:cs="Times New Roman"/>
                      <w:bCs/>
                      <w:color w:val="auto"/>
                      <w:sz w:val="21"/>
                      <w:szCs w:val="21"/>
                      <w:highlight w:val="none"/>
                      <w:u w:val="none" w:color="auto"/>
                      <w:vertAlign w:val="baseline"/>
                      <w:lang w:val="en-US" w:eastAsia="zh-CN"/>
                    </w:rPr>
                    <w:t>3</w:t>
                  </w:r>
                </w:p>
              </w:tc>
              <w:tc>
                <w:tcPr>
                  <w:tcW w:w="526" w:type="pct"/>
                  <w:shd w:val="clear" w:color="auto" w:fill="auto"/>
                  <w:vAlign w:val="center"/>
                </w:tcPr>
                <w:p w14:paraId="464A5EE9">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en-US" w:bidi="ar-SA"/>
                    </w:rPr>
                  </w:pPr>
                  <w:r>
                    <w:rPr>
                      <w:rFonts w:hint="default" w:ascii="Times New Roman" w:hAnsi="Times New Roman" w:eastAsia="宋体" w:cs="Times New Roman"/>
                      <w:color w:val="auto"/>
                      <w:spacing w:val="5"/>
                      <w:sz w:val="21"/>
                      <w:szCs w:val="21"/>
                      <w:u w:val="none" w:color="auto"/>
                    </w:rPr>
                    <w:t>高中</w:t>
                  </w:r>
                  <w:r>
                    <w:rPr>
                      <w:rFonts w:hint="default" w:ascii="Times New Roman" w:hAnsi="Times New Roman" w:eastAsia="宋体" w:cs="Times New Roman"/>
                      <w:color w:val="auto"/>
                      <w:spacing w:val="5"/>
                      <w:sz w:val="21"/>
                      <w:szCs w:val="21"/>
                      <w:u w:val="none" w:color="auto"/>
                      <w:lang w:val="en-US" w:eastAsia="zh-CN"/>
                    </w:rPr>
                    <w:t>物理</w:t>
                  </w:r>
                  <w:r>
                    <w:rPr>
                      <w:rFonts w:hint="default" w:ascii="Times New Roman" w:hAnsi="Times New Roman" w:eastAsia="宋体" w:cs="Times New Roman"/>
                      <w:color w:val="auto"/>
                      <w:spacing w:val="5"/>
                      <w:sz w:val="21"/>
                      <w:szCs w:val="21"/>
                      <w:u w:val="none" w:color="auto"/>
                    </w:rPr>
                    <w:t>实验课</w:t>
                  </w:r>
                </w:p>
              </w:tc>
              <w:tc>
                <w:tcPr>
                  <w:tcW w:w="1052" w:type="pct"/>
                  <w:shd w:val="clear" w:color="auto" w:fill="auto"/>
                  <w:vAlign w:val="center"/>
                </w:tcPr>
                <w:p w14:paraId="3823E7BE">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en-US" w:bidi="ar-SA"/>
                    </w:rPr>
                  </w:pPr>
                  <w:r>
                    <w:rPr>
                      <w:rFonts w:hint="default" w:ascii="Times New Roman" w:hAnsi="Times New Roman" w:eastAsia="宋体" w:cs="Times New Roman"/>
                      <w:color w:val="auto"/>
                      <w:spacing w:val="8"/>
                      <w:sz w:val="21"/>
                      <w:szCs w:val="21"/>
                      <w:u w:val="none" w:color="auto"/>
                    </w:rPr>
                    <w:t>高中各年级每班每周一次</w:t>
                  </w:r>
                  <w:r>
                    <w:rPr>
                      <w:rFonts w:hint="default" w:ascii="Times New Roman" w:hAnsi="Times New Roman" w:eastAsia="宋体" w:cs="Times New Roman"/>
                      <w:color w:val="auto"/>
                      <w:spacing w:val="5"/>
                      <w:sz w:val="21"/>
                      <w:szCs w:val="21"/>
                      <w:u w:val="none" w:color="auto"/>
                      <w:lang w:val="en-US" w:eastAsia="zh-CN"/>
                    </w:rPr>
                    <w:t>物理</w:t>
                  </w:r>
                  <w:r>
                    <w:rPr>
                      <w:rFonts w:hint="default" w:ascii="Times New Roman" w:hAnsi="Times New Roman" w:eastAsia="宋体" w:cs="Times New Roman"/>
                      <w:color w:val="auto"/>
                      <w:spacing w:val="8"/>
                      <w:sz w:val="21"/>
                      <w:szCs w:val="21"/>
                      <w:u w:val="none" w:color="auto"/>
                    </w:rPr>
                    <w:t>实验课程</w:t>
                  </w:r>
                </w:p>
              </w:tc>
              <w:tc>
                <w:tcPr>
                  <w:tcW w:w="351" w:type="pct"/>
                  <w:shd w:val="clear" w:color="auto" w:fill="auto"/>
                  <w:vAlign w:val="center"/>
                </w:tcPr>
                <w:p w14:paraId="7F13E3E5">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color w:val="auto"/>
                      <w:sz w:val="21"/>
                      <w:szCs w:val="21"/>
                      <w:u w:val="none" w:color="auto"/>
                      <w:lang w:val="en-US" w:eastAsia="zh-CN"/>
                    </w:rPr>
                    <w:t>102</w:t>
                  </w:r>
                  <w:r>
                    <w:rPr>
                      <w:rFonts w:hint="default" w:ascii="Times New Roman" w:hAnsi="Times New Roman" w:eastAsia="宋体" w:cs="Times New Roman"/>
                      <w:color w:val="auto"/>
                      <w:sz w:val="21"/>
                      <w:szCs w:val="21"/>
                      <w:u w:val="none" w:color="auto"/>
                    </w:rPr>
                    <w:t>个</w:t>
                  </w:r>
                </w:p>
              </w:tc>
              <w:tc>
                <w:tcPr>
                  <w:tcW w:w="352" w:type="pct"/>
                  <w:shd w:val="clear" w:color="auto" w:fill="auto"/>
                  <w:vAlign w:val="center"/>
                </w:tcPr>
                <w:p w14:paraId="03780B3E">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color w:val="auto"/>
                      <w:sz w:val="21"/>
                      <w:szCs w:val="21"/>
                      <w:u w:val="none" w:color="auto"/>
                      <w:lang w:val="en-US" w:eastAsia="zh-CN"/>
                    </w:rPr>
                    <w:t>58</w:t>
                  </w:r>
                  <w:r>
                    <w:rPr>
                      <w:rFonts w:hint="default" w:ascii="Times New Roman" w:hAnsi="Times New Roman" w:eastAsia="宋体" w:cs="Times New Roman"/>
                      <w:color w:val="auto"/>
                      <w:sz w:val="21"/>
                      <w:szCs w:val="21"/>
                      <w:u w:val="none" w:color="auto"/>
                    </w:rPr>
                    <w:t>个</w:t>
                  </w:r>
                </w:p>
              </w:tc>
              <w:tc>
                <w:tcPr>
                  <w:tcW w:w="705" w:type="pct"/>
                  <w:shd w:val="clear" w:color="auto" w:fill="auto"/>
                  <w:vAlign w:val="center"/>
                </w:tcPr>
                <w:p w14:paraId="55166CD4">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lang w:val="en-US" w:eastAsia="zh-CN"/>
                    </w:rPr>
                    <w:t>6400</w:t>
                  </w:r>
                  <w:r>
                    <w:rPr>
                      <w:rFonts w:hint="default" w:ascii="Times New Roman" w:hAnsi="Times New Roman" w:eastAsia="宋体" w:cs="Times New Roman"/>
                      <w:color w:val="auto"/>
                      <w:spacing w:val="3"/>
                      <w:sz w:val="21"/>
                      <w:szCs w:val="21"/>
                      <w:u w:val="none" w:color="auto"/>
                    </w:rPr>
                    <w:t>次</w:t>
                  </w:r>
                </w:p>
                <w:p w14:paraId="4E560ADC">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color w:val="auto"/>
                      <w:spacing w:val="2"/>
                      <w:sz w:val="21"/>
                      <w:szCs w:val="21"/>
                      <w:u w:val="none" w:color="auto"/>
                    </w:rPr>
                    <w:t>/a</w:t>
                  </w:r>
                </w:p>
              </w:tc>
              <w:tc>
                <w:tcPr>
                  <w:tcW w:w="773" w:type="pct"/>
                  <w:shd w:val="clear" w:color="auto" w:fill="auto"/>
                  <w:vAlign w:val="center"/>
                </w:tcPr>
                <w:p w14:paraId="37BE391D">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en-US" w:bidi="ar-SA"/>
                    </w:rPr>
                  </w:pPr>
                  <w:r>
                    <w:rPr>
                      <w:rFonts w:hint="default" w:ascii="Times New Roman" w:hAnsi="Times New Roman" w:eastAsia="宋体" w:cs="Times New Roman"/>
                      <w:color w:val="auto"/>
                      <w:spacing w:val="3"/>
                      <w:sz w:val="21"/>
                      <w:szCs w:val="21"/>
                      <w:u w:val="none" w:color="auto"/>
                      <w:lang w:val="en-US" w:eastAsia="zh-CN"/>
                    </w:rPr>
                    <w:t>8000</w:t>
                  </w:r>
                  <w:r>
                    <w:rPr>
                      <w:rFonts w:hint="default" w:ascii="Times New Roman" w:hAnsi="Times New Roman" w:eastAsia="宋体" w:cs="Times New Roman"/>
                      <w:color w:val="auto"/>
                      <w:spacing w:val="3"/>
                      <w:sz w:val="21"/>
                      <w:szCs w:val="21"/>
                      <w:u w:val="none" w:color="auto"/>
                    </w:rPr>
                    <w:t>人</w:t>
                  </w:r>
                </w:p>
              </w:tc>
              <w:tc>
                <w:tcPr>
                  <w:tcW w:w="695" w:type="pct"/>
                  <w:vMerge w:val="continue"/>
                  <w:vAlign w:val="center"/>
                </w:tcPr>
                <w:p w14:paraId="27478E12">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bCs/>
                      <w:color w:val="auto"/>
                      <w:sz w:val="21"/>
                      <w:szCs w:val="21"/>
                      <w:highlight w:val="none"/>
                      <w:u w:val="none" w:color="auto"/>
                      <w:vertAlign w:val="baseline"/>
                    </w:rPr>
                  </w:pPr>
                </w:p>
              </w:tc>
            </w:tr>
          </w:tbl>
          <w:p w14:paraId="02237251">
            <w:pPr>
              <w:tabs>
                <w:tab w:val="left" w:pos="1081"/>
              </w:tabs>
              <w:adjustRightInd w:val="0"/>
              <w:snapToGrid w:val="0"/>
              <w:spacing w:line="360" w:lineRule="auto"/>
              <w:ind w:firstLine="476" w:firstLineChars="200"/>
              <w:rPr>
                <w:color w:val="auto"/>
                <w:spacing w:val="-1"/>
                <w:u w:val="none" w:color="auto"/>
              </w:rPr>
            </w:pPr>
            <w:r>
              <w:rPr>
                <w:color w:val="auto"/>
                <w:spacing w:val="-1"/>
                <w:sz w:val="24"/>
                <w:szCs w:val="24"/>
                <w:u w:val="none" w:color="auto"/>
              </w:rPr>
              <w:t>项目主要实验类型、内容和实验设备见下表。</w:t>
            </w:r>
          </w:p>
          <w:p w14:paraId="61F1DE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highlight w:val="none"/>
                <w:u w:val="none" w:color="auto"/>
              </w:rPr>
            </w:pPr>
            <w:r>
              <w:rPr>
                <w:rFonts w:hint="default" w:ascii="Times New Roman" w:hAnsi="Times New Roman" w:eastAsia="宋体" w:cs="Times New Roman"/>
                <w:b/>
                <w:bCs/>
                <w:color w:val="auto"/>
                <w:sz w:val="24"/>
                <w:highlight w:val="none"/>
                <w:u w:val="none" w:color="auto"/>
              </w:rPr>
              <w:t>表2-5       项目主要实验类型、内容和设备一览表</w:t>
            </w:r>
          </w:p>
          <w:tbl>
            <w:tblPr>
              <w:tblStyle w:val="172"/>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85"/>
              <w:gridCol w:w="684"/>
              <w:gridCol w:w="3577"/>
              <w:gridCol w:w="3092"/>
            </w:tblGrid>
            <w:tr w14:paraId="3E4A38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82" w:type="pct"/>
                  <w:vAlign w:val="center"/>
                </w:tcPr>
                <w:p w14:paraId="3989F4F5">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5"/>
                      <w:sz w:val="21"/>
                      <w:szCs w:val="21"/>
                      <w:u w:val="none" w:color="auto"/>
                    </w:rPr>
                    <w:t>课程</w:t>
                  </w:r>
                </w:p>
                <w:p w14:paraId="336B4E8E">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4"/>
                      <w:sz w:val="21"/>
                      <w:szCs w:val="21"/>
                      <w:u w:val="none" w:color="auto"/>
                    </w:rPr>
                    <w:t>类型</w:t>
                  </w:r>
                </w:p>
              </w:tc>
              <w:tc>
                <w:tcPr>
                  <w:tcW w:w="420" w:type="pct"/>
                  <w:vAlign w:val="center"/>
                </w:tcPr>
                <w:p w14:paraId="5107BD40">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实验</w:t>
                  </w:r>
                </w:p>
                <w:p w14:paraId="225B3213">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4"/>
                      <w:sz w:val="21"/>
                      <w:szCs w:val="21"/>
                      <w:u w:val="none" w:color="auto"/>
                    </w:rPr>
                    <w:t>类型</w:t>
                  </w:r>
                </w:p>
              </w:tc>
              <w:tc>
                <w:tcPr>
                  <w:tcW w:w="2197" w:type="pct"/>
                  <w:vAlign w:val="center"/>
                </w:tcPr>
                <w:p w14:paraId="095D26AD">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6"/>
                      <w:sz w:val="21"/>
                      <w:szCs w:val="21"/>
                      <w:u w:val="none" w:color="auto"/>
                    </w:rPr>
                    <w:t>实验内容</w:t>
                  </w:r>
                </w:p>
              </w:tc>
              <w:tc>
                <w:tcPr>
                  <w:tcW w:w="1899" w:type="pct"/>
                  <w:vAlign w:val="center"/>
                </w:tcPr>
                <w:p w14:paraId="3B369E7B">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8"/>
                      <w:sz w:val="21"/>
                      <w:szCs w:val="21"/>
                      <w:u w:val="none" w:color="auto"/>
                    </w:rPr>
                    <w:t>主要实验设备及用品</w:t>
                  </w:r>
                </w:p>
              </w:tc>
            </w:tr>
            <w:tr w14:paraId="6DF921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82" w:type="pct"/>
                  <w:vMerge w:val="restart"/>
                  <w:tcBorders>
                    <w:bottom w:val="nil"/>
                  </w:tcBorders>
                  <w:vAlign w:val="center"/>
                </w:tcPr>
                <w:p w14:paraId="731FF31B">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高级</w:t>
                  </w:r>
                </w:p>
                <w:p w14:paraId="775A4ABF">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5"/>
                      <w:sz w:val="21"/>
                      <w:szCs w:val="21"/>
                      <w:u w:val="none" w:color="auto"/>
                    </w:rPr>
                    <w:t>中学</w:t>
                  </w:r>
                </w:p>
                <w:p w14:paraId="414493C1">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实验</w:t>
                  </w:r>
                </w:p>
                <w:p w14:paraId="6BF7E095">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5"/>
                      <w:sz w:val="21"/>
                      <w:szCs w:val="21"/>
                      <w:u w:val="none" w:color="auto"/>
                    </w:rPr>
                    <w:t>课程</w:t>
                  </w:r>
                </w:p>
              </w:tc>
              <w:tc>
                <w:tcPr>
                  <w:tcW w:w="420" w:type="pct"/>
                  <w:vAlign w:val="center"/>
                </w:tcPr>
                <w:p w14:paraId="56F4708B">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4"/>
                      <w:sz w:val="21"/>
                      <w:szCs w:val="21"/>
                      <w:u w:val="none" w:color="auto"/>
                    </w:rPr>
                    <w:t>物理</w:t>
                  </w:r>
                </w:p>
                <w:p w14:paraId="6F2BE155">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实验</w:t>
                  </w:r>
                </w:p>
              </w:tc>
              <w:tc>
                <w:tcPr>
                  <w:tcW w:w="2197" w:type="pct"/>
                  <w:vAlign w:val="center"/>
                </w:tcPr>
                <w:p w14:paraId="75FAB6AE">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主要实验的课程为长度的测量；研究匀变速直线运动；探究弹力和弹簧伸长的关系；验证力的平行四边形定则；验证动量守恒；研究平抛运动；验证机械能守恒；用单摆测重力加速度；测定金属</w:t>
                  </w:r>
                  <w:r>
                    <w:rPr>
                      <w:rFonts w:hint="default" w:ascii="Times New Roman" w:hAnsi="Times New Roman" w:eastAsia="宋体" w:cs="Times New Roman"/>
                      <w:color w:val="auto"/>
                      <w:spacing w:val="1"/>
                      <w:sz w:val="21"/>
                      <w:szCs w:val="21"/>
                      <w:u w:val="none" w:color="auto"/>
                    </w:rPr>
                    <w:t>电阻率；电流表改装电压表；用电压表电流表测电池内阻和电动势；练习使用</w:t>
                  </w:r>
                  <w:r>
                    <w:rPr>
                      <w:rFonts w:hint="default" w:ascii="Times New Roman" w:hAnsi="Times New Roman" w:eastAsia="宋体" w:cs="Times New Roman"/>
                      <w:color w:val="auto"/>
                      <w:spacing w:val="3"/>
                      <w:sz w:val="21"/>
                      <w:szCs w:val="21"/>
                      <w:u w:val="none" w:color="auto"/>
                    </w:rPr>
                    <w:t>示波器；测定玻璃的折射率；双缝干涉</w:t>
                  </w:r>
                  <w:r>
                    <w:rPr>
                      <w:rFonts w:hint="default" w:ascii="Times New Roman" w:hAnsi="Times New Roman" w:eastAsia="宋体" w:cs="Times New Roman"/>
                      <w:color w:val="auto"/>
                      <w:spacing w:val="8"/>
                      <w:sz w:val="21"/>
                      <w:szCs w:val="21"/>
                      <w:u w:val="none" w:color="auto"/>
                    </w:rPr>
                    <w:t>测光的波长等</w:t>
                  </w:r>
                </w:p>
              </w:tc>
              <w:tc>
                <w:tcPr>
                  <w:tcW w:w="1899" w:type="pct"/>
                  <w:vAlign w:val="center"/>
                </w:tcPr>
                <w:p w14:paraId="69590670">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9"/>
                      <w:sz w:val="21"/>
                      <w:szCs w:val="21"/>
                      <w:u w:val="none" w:color="auto"/>
                    </w:rPr>
                    <w:t>不使用化学试剂，主要实验设备为刻度尺、游标卡尺、打点计时器、运动传感器、牛顿管、平面镜、激光器、弹簧、弹簧秤、平</w:t>
                  </w:r>
                  <w:r>
                    <w:rPr>
                      <w:rFonts w:hint="default" w:ascii="Times New Roman" w:hAnsi="Times New Roman" w:eastAsia="宋体" w:cs="Times New Roman"/>
                      <w:color w:val="auto"/>
                      <w:spacing w:val="3"/>
                      <w:sz w:val="21"/>
                      <w:szCs w:val="21"/>
                      <w:u w:val="none" w:color="auto"/>
                    </w:rPr>
                    <w:t>板电容器、电流传感器、电流表、</w:t>
                  </w:r>
                  <w:r>
                    <w:rPr>
                      <w:rFonts w:hint="default" w:ascii="Times New Roman" w:hAnsi="Times New Roman" w:eastAsia="宋体" w:cs="Times New Roman"/>
                      <w:color w:val="auto"/>
                      <w:spacing w:val="1"/>
                      <w:sz w:val="21"/>
                      <w:szCs w:val="21"/>
                      <w:u w:val="none" w:color="auto"/>
                    </w:rPr>
                    <w:t>电压表、电阻及二极管、示波器、</w:t>
                  </w:r>
                  <w:r>
                    <w:rPr>
                      <w:rFonts w:hint="default" w:ascii="Times New Roman" w:hAnsi="Times New Roman" w:eastAsia="宋体" w:cs="Times New Roman"/>
                      <w:color w:val="auto"/>
                      <w:spacing w:val="8"/>
                      <w:sz w:val="21"/>
                      <w:szCs w:val="21"/>
                      <w:u w:val="none" w:color="auto"/>
                    </w:rPr>
                    <w:t>蜂鸣器、偏振片、三棱镜等</w:t>
                  </w:r>
                </w:p>
              </w:tc>
            </w:tr>
            <w:tr w14:paraId="02F015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82" w:type="pct"/>
                  <w:vMerge w:val="continue"/>
                  <w:tcBorders>
                    <w:top w:val="nil"/>
                    <w:bottom w:val="nil"/>
                  </w:tcBorders>
                  <w:vAlign w:val="center"/>
                </w:tcPr>
                <w:p w14:paraId="25F40EE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p>
              </w:tc>
              <w:tc>
                <w:tcPr>
                  <w:tcW w:w="420" w:type="pct"/>
                  <w:vAlign w:val="center"/>
                </w:tcPr>
                <w:p w14:paraId="7C630AD6">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4"/>
                      <w:sz w:val="21"/>
                      <w:szCs w:val="21"/>
                      <w:u w:val="none" w:color="auto"/>
                    </w:rPr>
                    <w:t>化学</w:t>
                  </w:r>
                </w:p>
                <w:p w14:paraId="09843D59">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实验</w:t>
                  </w:r>
                </w:p>
              </w:tc>
              <w:tc>
                <w:tcPr>
                  <w:tcW w:w="2197" w:type="pct"/>
                  <w:vAlign w:val="center"/>
                </w:tcPr>
                <w:p w14:paraId="1D8B5534">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演示实验主要为：粗盐提纯；硫酸根离子的检验；实验室制取蒸馏水；萃取分</w:t>
                  </w:r>
                  <w:r>
                    <w:rPr>
                      <w:rFonts w:hint="default" w:ascii="Times New Roman" w:hAnsi="Times New Roman" w:eastAsia="宋体" w:cs="Times New Roman"/>
                      <w:color w:val="auto"/>
                      <w:spacing w:val="-3"/>
                      <w:sz w:val="21"/>
                      <w:szCs w:val="21"/>
                      <w:u w:val="none" w:color="auto"/>
                    </w:rPr>
                    <w:t>液；离子反应及发生条件；金属与氧气、</w:t>
                  </w:r>
                  <w:r>
                    <w:rPr>
                      <w:rFonts w:hint="default" w:ascii="Times New Roman" w:hAnsi="Times New Roman" w:eastAsia="宋体" w:cs="Times New Roman"/>
                      <w:color w:val="auto"/>
                      <w:spacing w:val="8"/>
                      <w:sz w:val="21"/>
                      <w:szCs w:val="21"/>
                      <w:u w:val="none" w:color="auto"/>
                    </w:rPr>
                    <w:t>与水的反应；铝与氢氧化钠溶液反应；</w:t>
                  </w:r>
                  <w:r>
                    <w:rPr>
                      <w:rFonts w:hint="default" w:ascii="Times New Roman" w:hAnsi="Times New Roman" w:eastAsia="宋体" w:cs="Times New Roman"/>
                      <w:color w:val="auto"/>
                      <w:spacing w:val="9"/>
                      <w:sz w:val="21"/>
                      <w:szCs w:val="21"/>
                      <w:u w:val="none" w:color="auto"/>
                    </w:rPr>
                    <w:t>焰色反应；硅酸的制备及硅酸钠的性</w:t>
                  </w:r>
                  <w:r>
                    <w:rPr>
                      <w:rFonts w:hint="default" w:ascii="Times New Roman" w:hAnsi="Times New Roman" w:eastAsia="宋体" w:cs="Times New Roman"/>
                      <w:color w:val="auto"/>
                      <w:spacing w:val="3"/>
                      <w:sz w:val="21"/>
                      <w:szCs w:val="21"/>
                      <w:u w:val="none" w:color="auto"/>
                    </w:rPr>
                    <w:t>质；化学能与热能的相互转化；化学反应速率；乙醇的化学性质；乙酸乙酯的制备。探究实验主要为：胶体的制备和性质；钠的重要化合物性质；铁盐及亚</w:t>
                  </w:r>
                  <w:r>
                    <w:rPr>
                      <w:rFonts w:hint="default" w:ascii="Times New Roman" w:hAnsi="Times New Roman" w:eastAsia="宋体" w:cs="Times New Roman"/>
                      <w:color w:val="auto"/>
                      <w:spacing w:val="9"/>
                      <w:sz w:val="21"/>
                      <w:szCs w:val="21"/>
                      <w:u w:val="none" w:color="auto"/>
                    </w:rPr>
                    <w:t>铁盐的性质；第三周期元素性质的递变；糖类、蛋白质的性质等</w:t>
                  </w:r>
                </w:p>
              </w:tc>
              <w:tc>
                <w:tcPr>
                  <w:tcW w:w="1899" w:type="pct"/>
                  <w:vAlign w:val="center"/>
                </w:tcPr>
                <w:p w14:paraId="31C860CC">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9"/>
                      <w:sz w:val="21"/>
                      <w:szCs w:val="21"/>
                      <w:u w:val="none" w:color="auto"/>
                    </w:rPr>
                    <w:t>主要实验设备为烧杯、漏斗、蒸发皿、铁架台、镊子、坩埚、坩</w:t>
                  </w:r>
                  <w:r>
                    <w:rPr>
                      <w:rFonts w:hint="default" w:ascii="Times New Roman" w:hAnsi="Times New Roman" w:eastAsia="宋体" w:cs="Times New Roman"/>
                      <w:color w:val="auto"/>
                      <w:spacing w:val="10"/>
                      <w:sz w:val="21"/>
                      <w:szCs w:val="21"/>
                      <w:u w:val="none" w:color="auto"/>
                    </w:rPr>
                    <w:t>埚钳、酒精灯、泥三角、铝箔、圆底烧瓶、玻璃管、胶头滴管、</w:t>
                  </w:r>
                  <w:r>
                    <w:rPr>
                      <w:rFonts w:hint="default" w:ascii="Times New Roman" w:hAnsi="Times New Roman" w:eastAsia="宋体" w:cs="Times New Roman"/>
                      <w:color w:val="auto"/>
                      <w:spacing w:val="9"/>
                      <w:sz w:val="21"/>
                      <w:szCs w:val="21"/>
                      <w:u w:val="none" w:color="auto"/>
                    </w:rPr>
                    <w:t>石棉网等。主要实验用品为蒸馏</w:t>
                  </w:r>
                  <w:r>
                    <w:rPr>
                      <w:rFonts w:hint="default" w:ascii="Times New Roman" w:hAnsi="Times New Roman" w:eastAsia="宋体" w:cs="Times New Roman"/>
                      <w:color w:val="auto"/>
                      <w:spacing w:val="10"/>
                      <w:sz w:val="21"/>
                      <w:szCs w:val="21"/>
                      <w:u w:val="none" w:color="auto"/>
                    </w:rPr>
                    <w:t>水、稀盐酸、稀硫酸、稀硝酸、</w:t>
                  </w:r>
                  <w:r>
                    <w:rPr>
                      <w:rFonts w:hint="default" w:ascii="Times New Roman" w:hAnsi="Times New Roman" w:eastAsia="宋体" w:cs="Times New Roman"/>
                      <w:color w:val="auto"/>
                      <w:spacing w:val="9"/>
                      <w:sz w:val="21"/>
                      <w:szCs w:val="21"/>
                      <w:u w:val="none" w:color="auto"/>
                    </w:rPr>
                    <w:t>氢氧化钠、碘水、氯化钠、氯化铁、硫酸铜、酚酞、碳酸钠、碳</w:t>
                  </w:r>
                  <w:r>
                    <w:rPr>
                      <w:rFonts w:hint="default" w:ascii="Times New Roman" w:hAnsi="Times New Roman" w:eastAsia="宋体" w:cs="Times New Roman"/>
                      <w:color w:val="auto"/>
                      <w:spacing w:val="10"/>
                      <w:sz w:val="21"/>
                      <w:szCs w:val="21"/>
                      <w:u w:val="none" w:color="auto"/>
                    </w:rPr>
                    <w:t>酸氢钠、硫酸亚铁、氯化亚铁、</w:t>
                  </w:r>
                  <w:r>
                    <w:rPr>
                      <w:rFonts w:hint="default" w:ascii="Times New Roman" w:hAnsi="Times New Roman" w:eastAsia="宋体" w:cs="Times New Roman"/>
                      <w:color w:val="auto"/>
                      <w:sz w:val="21"/>
                      <w:szCs w:val="21"/>
                      <w:u w:val="none" w:color="auto"/>
                    </w:rPr>
                    <w:t>品红溶液、双氧水、碘酒、乙酸、</w:t>
                  </w:r>
                  <w:r>
                    <w:rPr>
                      <w:rFonts w:hint="default" w:ascii="Times New Roman" w:hAnsi="Times New Roman" w:eastAsia="宋体" w:cs="Times New Roman"/>
                      <w:color w:val="auto"/>
                      <w:spacing w:val="7"/>
                      <w:sz w:val="21"/>
                      <w:szCs w:val="21"/>
                      <w:u w:val="none" w:color="auto"/>
                    </w:rPr>
                    <w:t>乙酯、饱和碳酸钠溶液等</w:t>
                  </w:r>
                </w:p>
              </w:tc>
            </w:tr>
            <w:tr w14:paraId="3A34E0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82" w:type="pct"/>
                  <w:vMerge w:val="continue"/>
                  <w:tcBorders>
                    <w:top w:val="nil"/>
                  </w:tcBorders>
                  <w:vAlign w:val="center"/>
                </w:tcPr>
                <w:p w14:paraId="0F9792D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p>
              </w:tc>
              <w:tc>
                <w:tcPr>
                  <w:tcW w:w="420" w:type="pct"/>
                  <w:vAlign w:val="center"/>
                </w:tcPr>
                <w:p w14:paraId="0B88863B">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生物</w:t>
                  </w:r>
                </w:p>
                <w:p w14:paraId="6AEDF394">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实验</w:t>
                  </w:r>
                </w:p>
              </w:tc>
              <w:tc>
                <w:tcPr>
                  <w:tcW w:w="2197" w:type="pct"/>
                  <w:vAlign w:val="center"/>
                </w:tcPr>
                <w:p w14:paraId="5B057EA6">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主要实验课程为：使用高倍镜观察几种细胞；生物组织中的糖类、脂肪和蛋白</w:t>
                  </w:r>
                  <w:r>
                    <w:rPr>
                      <w:rFonts w:hint="default" w:ascii="Times New Roman" w:hAnsi="Times New Roman" w:eastAsia="宋体" w:cs="Times New Roman"/>
                      <w:color w:val="auto"/>
                      <w:spacing w:val="12"/>
                      <w:sz w:val="21"/>
                      <w:szCs w:val="21"/>
                      <w:u w:val="none" w:color="auto"/>
                    </w:rPr>
                    <w:t>质的鉴定；观察</w:t>
                  </w:r>
                  <w:r>
                    <w:rPr>
                      <w:rFonts w:hint="default" w:ascii="Times New Roman" w:hAnsi="Times New Roman" w:eastAsia="宋体" w:cs="Times New Roman"/>
                      <w:color w:val="auto"/>
                      <w:spacing w:val="-36"/>
                      <w:sz w:val="21"/>
                      <w:szCs w:val="21"/>
                      <w:u w:val="none" w:color="auto"/>
                    </w:rPr>
                    <w:t xml:space="preserve"> </w:t>
                  </w:r>
                  <w:r>
                    <w:rPr>
                      <w:rFonts w:hint="default" w:ascii="Times New Roman" w:hAnsi="Times New Roman" w:eastAsia="宋体" w:cs="Times New Roman"/>
                      <w:color w:val="auto"/>
                      <w:sz w:val="21"/>
                      <w:szCs w:val="21"/>
                      <w:u w:val="none" w:color="auto"/>
                    </w:rPr>
                    <w:t>DNA</w:t>
                  </w:r>
                  <w:r>
                    <w:rPr>
                      <w:rFonts w:hint="default" w:ascii="Times New Roman" w:hAnsi="Times New Roman" w:eastAsia="宋体" w:cs="Times New Roman"/>
                      <w:color w:val="auto"/>
                      <w:spacing w:val="12"/>
                      <w:sz w:val="21"/>
                      <w:szCs w:val="21"/>
                      <w:u w:val="none" w:color="auto"/>
                    </w:rPr>
                    <w:t>和</w:t>
                  </w:r>
                  <w:r>
                    <w:rPr>
                      <w:rFonts w:hint="default" w:ascii="Times New Roman" w:hAnsi="Times New Roman" w:eastAsia="宋体" w:cs="Times New Roman"/>
                      <w:color w:val="auto"/>
                      <w:spacing w:val="-43"/>
                      <w:sz w:val="21"/>
                      <w:szCs w:val="21"/>
                      <w:u w:val="none" w:color="auto"/>
                    </w:rPr>
                    <w:t xml:space="preserve"> </w:t>
                  </w:r>
                  <w:r>
                    <w:rPr>
                      <w:rFonts w:hint="default" w:ascii="Times New Roman" w:hAnsi="Times New Roman" w:eastAsia="宋体" w:cs="Times New Roman"/>
                      <w:color w:val="auto"/>
                      <w:sz w:val="21"/>
                      <w:szCs w:val="21"/>
                      <w:u w:val="none" w:color="auto"/>
                    </w:rPr>
                    <w:t>RNA</w:t>
                  </w:r>
                  <w:r>
                    <w:rPr>
                      <w:rFonts w:hint="default" w:ascii="Times New Roman" w:hAnsi="Times New Roman" w:eastAsia="宋体" w:cs="Times New Roman"/>
                      <w:color w:val="auto"/>
                      <w:spacing w:val="12"/>
                      <w:sz w:val="21"/>
                      <w:szCs w:val="21"/>
                      <w:u w:val="none" w:color="auto"/>
                    </w:rPr>
                    <w:t xml:space="preserve"> 在细胞</w:t>
                  </w:r>
                  <w:r>
                    <w:rPr>
                      <w:rFonts w:hint="default" w:ascii="Times New Roman" w:hAnsi="Times New Roman" w:eastAsia="宋体" w:cs="Times New Roman"/>
                      <w:color w:val="auto"/>
                      <w:spacing w:val="3"/>
                      <w:sz w:val="21"/>
                      <w:szCs w:val="21"/>
                      <w:u w:val="none" w:color="auto"/>
                    </w:rPr>
                    <w:t>中的分布；用高倍镜观察叶绿体和线粒体；植物细胞的吸水和失水；影响酶活</w:t>
                  </w:r>
                  <w:r>
                    <w:rPr>
                      <w:rFonts w:hint="default" w:ascii="Times New Roman" w:hAnsi="Times New Roman" w:eastAsia="宋体" w:cs="Times New Roman"/>
                      <w:color w:val="auto"/>
                      <w:spacing w:val="12"/>
                      <w:sz w:val="21"/>
                      <w:szCs w:val="21"/>
                      <w:u w:val="none" w:color="auto"/>
                    </w:rPr>
                    <w:t>性的条件；探究酵母菌细胞的呼吸方</w:t>
                  </w:r>
                  <w:r>
                    <w:rPr>
                      <w:rFonts w:hint="default" w:ascii="Times New Roman" w:hAnsi="Times New Roman" w:eastAsia="宋体" w:cs="Times New Roman"/>
                      <w:color w:val="auto"/>
                      <w:spacing w:val="3"/>
                      <w:sz w:val="21"/>
                      <w:szCs w:val="21"/>
                      <w:u w:val="none" w:color="auto"/>
                    </w:rPr>
                    <w:t>式；绿叶中色素的提取和分离；环境因素对光合作用的影响；细胞的大小与物质运输的关系；观察根尖细胞组织细胞</w:t>
                  </w:r>
                  <w:r>
                    <w:rPr>
                      <w:rFonts w:hint="default" w:ascii="Times New Roman" w:hAnsi="Times New Roman" w:eastAsia="宋体" w:cs="Times New Roman"/>
                      <w:color w:val="auto"/>
                      <w:spacing w:val="7"/>
                      <w:sz w:val="21"/>
                      <w:szCs w:val="21"/>
                      <w:u w:val="none" w:color="auto"/>
                    </w:rPr>
                    <w:t>的有丝分裂；制作</w:t>
                  </w:r>
                  <w:r>
                    <w:rPr>
                      <w:rFonts w:hint="default" w:ascii="Times New Roman" w:hAnsi="Times New Roman" w:eastAsia="宋体" w:cs="Times New Roman"/>
                      <w:color w:val="auto"/>
                      <w:spacing w:val="-32"/>
                      <w:sz w:val="21"/>
                      <w:szCs w:val="21"/>
                      <w:u w:val="none" w:color="auto"/>
                    </w:rPr>
                    <w:t xml:space="preserve"> </w:t>
                  </w:r>
                  <w:r>
                    <w:rPr>
                      <w:rFonts w:hint="default" w:ascii="Times New Roman" w:hAnsi="Times New Roman" w:eastAsia="宋体" w:cs="Times New Roman"/>
                      <w:color w:val="auto"/>
                      <w:sz w:val="21"/>
                      <w:szCs w:val="21"/>
                      <w:u w:val="none" w:color="auto"/>
                    </w:rPr>
                    <w:t>DNA</w:t>
                  </w:r>
                  <w:r>
                    <w:rPr>
                      <w:rFonts w:hint="default" w:ascii="Times New Roman" w:hAnsi="Times New Roman" w:eastAsia="宋体" w:cs="Times New Roman"/>
                      <w:color w:val="auto"/>
                      <w:spacing w:val="7"/>
                      <w:sz w:val="21"/>
                      <w:szCs w:val="21"/>
                      <w:u w:val="none" w:color="auto"/>
                    </w:rPr>
                    <w:t>双螺旋结构模型；低温诱导植物染色体数目的变化；</w:t>
                  </w:r>
                  <w:r>
                    <w:rPr>
                      <w:rFonts w:hint="default" w:ascii="Times New Roman" w:hAnsi="Times New Roman" w:eastAsia="宋体" w:cs="Times New Roman"/>
                      <w:color w:val="auto"/>
                      <w:spacing w:val="12"/>
                      <w:sz w:val="21"/>
                      <w:szCs w:val="21"/>
                      <w:u w:val="none" w:color="auto"/>
                    </w:rPr>
                    <w:t>探索生长素类似物促进插条生根的最</w:t>
                  </w:r>
                  <w:r>
                    <w:rPr>
                      <w:rFonts w:hint="default" w:ascii="Times New Roman" w:hAnsi="Times New Roman" w:eastAsia="宋体" w:cs="Times New Roman"/>
                      <w:color w:val="auto"/>
                      <w:spacing w:val="3"/>
                      <w:sz w:val="21"/>
                      <w:szCs w:val="21"/>
                      <w:u w:val="none" w:color="auto"/>
                    </w:rPr>
                    <w:t>适浓度；探究培养液中酵母菌种群数量</w:t>
                  </w:r>
                  <w:r>
                    <w:rPr>
                      <w:rFonts w:hint="default" w:ascii="Times New Roman" w:hAnsi="Times New Roman" w:eastAsia="宋体" w:cs="Times New Roman"/>
                      <w:color w:val="auto"/>
                      <w:spacing w:val="7"/>
                      <w:sz w:val="21"/>
                      <w:szCs w:val="21"/>
                      <w:u w:val="none" w:color="auto"/>
                    </w:rPr>
                    <w:t>的变化；探究土壤微生物的分解作用。</w:t>
                  </w:r>
                </w:p>
              </w:tc>
              <w:tc>
                <w:tcPr>
                  <w:tcW w:w="1899" w:type="pct"/>
                  <w:vAlign w:val="center"/>
                </w:tcPr>
                <w:p w14:paraId="0B65A443">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1"/>
                      <w:sz w:val="21"/>
                      <w:szCs w:val="21"/>
                      <w:u w:val="none" w:color="auto"/>
                    </w:rPr>
                    <w:t>主要实验仪器为显微镜、载玻片、</w:t>
                  </w:r>
                  <w:r>
                    <w:rPr>
                      <w:rFonts w:hint="default" w:ascii="Times New Roman" w:hAnsi="Times New Roman" w:eastAsia="宋体" w:cs="Times New Roman"/>
                      <w:color w:val="auto"/>
                      <w:spacing w:val="11"/>
                      <w:sz w:val="21"/>
                      <w:szCs w:val="21"/>
                      <w:u w:val="none" w:color="auto"/>
                    </w:rPr>
                    <w:t>盖玻片、镊子、滴管、吸水纸、</w:t>
                  </w:r>
                  <w:r>
                    <w:rPr>
                      <w:rFonts w:hint="default" w:ascii="Times New Roman" w:hAnsi="Times New Roman" w:eastAsia="宋体" w:cs="Times New Roman"/>
                      <w:color w:val="auto"/>
                      <w:spacing w:val="10"/>
                      <w:sz w:val="21"/>
                      <w:szCs w:val="21"/>
                      <w:u w:val="none" w:color="auto"/>
                    </w:rPr>
                    <w:t>刀片、试管、烧杯、量筒、酒精</w:t>
                  </w:r>
                  <w:r>
                    <w:rPr>
                      <w:rFonts w:hint="default" w:ascii="Times New Roman" w:hAnsi="Times New Roman" w:eastAsia="宋体" w:cs="Times New Roman"/>
                      <w:color w:val="auto"/>
                      <w:spacing w:val="11"/>
                      <w:sz w:val="21"/>
                      <w:szCs w:val="21"/>
                      <w:u w:val="none" w:color="auto"/>
                    </w:rPr>
                    <w:t>灯、温度计、铁架台、锥形瓶、橡胶塞、滤纸、脱脂棉、研钵、药勺、天平、广口瓶、培养皿、</w:t>
                  </w:r>
                  <w:r>
                    <w:rPr>
                      <w:rFonts w:hint="default" w:ascii="Times New Roman" w:hAnsi="Times New Roman" w:eastAsia="宋体" w:cs="Times New Roman"/>
                      <w:color w:val="auto"/>
                      <w:spacing w:val="10"/>
                      <w:sz w:val="21"/>
                      <w:szCs w:val="21"/>
                      <w:u w:val="none" w:color="auto"/>
                    </w:rPr>
                    <w:t>防护手套等；主要实验用品为碘液、斐林试剂（氢氧化钠、硫酸</w:t>
                  </w:r>
                  <w:r>
                    <w:rPr>
                      <w:rFonts w:hint="default" w:ascii="Times New Roman" w:hAnsi="Times New Roman" w:eastAsia="宋体" w:cs="Times New Roman"/>
                      <w:color w:val="auto"/>
                      <w:spacing w:val="-5"/>
                      <w:sz w:val="21"/>
                      <w:szCs w:val="21"/>
                      <w:u w:val="none" w:color="auto"/>
                    </w:rPr>
                    <w:t>铜）、苏丹Ⅲ</w:t>
                  </w:r>
                  <w:r>
                    <w:rPr>
                      <w:rFonts w:hint="default" w:ascii="Times New Roman" w:hAnsi="Times New Roman" w:eastAsia="宋体" w:cs="Times New Roman"/>
                      <w:color w:val="auto"/>
                      <w:spacing w:val="-70"/>
                      <w:sz w:val="21"/>
                      <w:szCs w:val="21"/>
                      <w:u w:val="none" w:color="auto"/>
                    </w:rPr>
                    <w:t xml:space="preserve"> </w:t>
                  </w:r>
                  <w:r>
                    <w:rPr>
                      <w:rFonts w:hint="default" w:ascii="Times New Roman" w:hAnsi="Times New Roman" w:eastAsia="宋体" w:cs="Times New Roman"/>
                      <w:color w:val="auto"/>
                      <w:spacing w:val="-5"/>
                      <w:sz w:val="21"/>
                      <w:szCs w:val="21"/>
                      <w:u w:val="none" w:color="auto"/>
                    </w:rPr>
                    <w:t>、酒精、双缩脲试剂</w:t>
                  </w:r>
                  <w:r>
                    <w:rPr>
                      <w:rFonts w:hint="default" w:ascii="Times New Roman" w:hAnsi="Times New Roman" w:eastAsia="宋体" w:cs="Times New Roman"/>
                      <w:color w:val="auto"/>
                      <w:spacing w:val="1"/>
                      <w:sz w:val="21"/>
                      <w:szCs w:val="21"/>
                      <w:u w:val="none" w:color="auto"/>
                    </w:rPr>
                    <w:t>（氢氧化钠、硫酸铜）、蒸馏水、</w:t>
                  </w:r>
                  <w:r>
                    <w:rPr>
                      <w:rFonts w:hint="default" w:ascii="Times New Roman" w:hAnsi="Times New Roman" w:eastAsia="宋体" w:cs="Times New Roman"/>
                      <w:color w:val="auto"/>
                      <w:spacing w:val="10"/>
                      <w:sz w:val="21"/>
                      <w:szCs w:val="21"/>
                      <w:u w:val="none" w:color="auto"/>
                    </w:rPr>
                    <w:t>乙酸、氯化钠溶液、蔗糖液、淀粉、盐酸、石油醚、碳酸钙、琼</w:t>
                  </w:r>
                  <w:r>
                    <w:rPr>
                      <w:rFonts w:hint="default" w:ascii="Times New Roman" w:hAnsi="Times New Roman" w:eastAsia="宋体" w:cs="Times New Roman"/>
                      <w:color w:val="auto"/>
                      <w:sz w:val="21"/>
                      <w:szCs w:val="21"/>
                      <w:u w:val="none" w:color="auto"/>
                    </w:rPr>
                    <w:t xml:space="preserve">  </w:t>
                  </w:r>
                  <w:r>
                    <w:rPr>
                      <w:rFonts w:hint="default" w:ascii="Times New Roman" w:hAnsi="Times New Roman" w:eastAsia="宋体" w:cs="Times New Roman"/>
                      <w:color w:val="auto"/>
                      <w:spacing w:val="9"/>
                      <w:sz w:val="21"/>
                      <w:szCs w:val="21"/>
                      <w:u w:val="none" w:color="auto"/>
                    </w:rPr>
                    <w:t>脂、酚酞、龙胆紫、醋酸洋红、</w:t>
                  </w:r>
                </w:p>
                <w:p w14:paraId="6223CEAE">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8"/>
                      <w:sz w:val="21"/>
                      <w:szCs w:val="21"/>
                      <w:u w:val="none" w:color="auto"/>
                    </w:rPr>
                    <w:t>卡诺氏液、生根粉等</w:t>
                  </w:r>
                </w:p>
              </w:tc>
            </w:tr>
          </w:tbl>
          <w:p w14:paraId="76D9B32C">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firstLine="482" w:firstLineChars="200"/>
              <w:textAlignment w:val="auto"/>
              <w:rPr>
                <w:rFonts w:hint="default" w:ascii="Times New Roman" w:hAnsi="Times New Roman" w:cs="Times New Roman"/>
                <w:b/>
                <w:color w:val="auto"/>
                <w:sz w:val="24"/>
                <w:highlight w:val="none"/>
                <w:u w:val="none" w:color="auto"/>
              </w:rPr>
            </w:pPr>
            <w:r>
              <w:rPr>
                <w:rFonts w:hint="default" w:ascii="Times New Roman" w:hAnsi="Times New Roman" w:cs="Times New Roman"/>
                <w:b/>
                <w:bCs/>
                <w:color w:val="auto"/>
                <w:sz w:val="24"/>
                <w:highlight w:val="none"/>
                <w:u w:val="none" w:color="auto"/>
              </w:rPr>
              <w:t>项目原辅材料及能源消耗</w:t>
            </w:r>
            <w:r>
              <w:rPr>
                <w:rFonts w:hint="eastAsia" w:cs="Times New Roman"/>
                <w:b/>
                <w:color w:val="auto"/>
                <w:sz w:val="24"/>
                <w:highlight w:val="none"/>
                <w:u w:val="none" w:color="auto"/>
                <w:lang w:val="en-US" w:eastAsia="zh-CN"/>
              </w:rPr>
              <w:t>消耗</w:t>
            </w:r>
            <w:r>
              <w:rPr>
                <w:rFonts w:hint="default" w:ascii="Times New Roman" w:hAnsi="Times New Roman" w:cs="Times New Roman"/>
                <w:b/>
                <w:color w:val="auto"/>
                <w:sz w:val="24"/>
                <w:highlight w:val="none"/>
                <w:u w:val="none" w:color="auto"/>
              </w:rPr>
              <w:t>量见表2-6，</w:t>
            </w:r>
            <w:r>
              <w:rPr>
                <w:rFonts w:hint="eastAsia" w:cs="Times New Roman"/>
                <w:b/>
                <w:color w:val="auto"/>
                <w:sz w:val="24"/>
                <w:highlight w:val="none"/>
                <w:u w:val="none" w:color="auto"/>
                <w:lang w:val="en-US" w:eastAsia="zh-CN"/>
              </w:rPr>
              <w:t>原辅材料</w:t>
            </w:r>
            <w:r>
              <w:rPr>
                <w:rFonts w:hint="default" w:ascii="Times New Roman" w:hAnsi="Times New Roman" w:cs="Times New Roman"/>
                <w:b/>
                <w:color w:val="auto"/>
                <w:sz w:val="24"/>
                <w:highlight w:val="none"/>
                <w:u w:val="none" w:color="auto"/>
              </w:rPr>
              <w:t>理化性质见表2-7。</w:t>
            </w:r>
          </w:p>
          <w:p w14:paraId="27F80A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highlight w:val="none"/>
                <w:u w:val="none" w:color="auto"/>
              </w:rPr>
            </w:pPr>
            <w:r>
              <w:rPr>
                <w:rFonts w:hint="default" w:ascii="Times New Roman" w:hAnsi="Times New Roman" w:eastAsia="宋体" w:cs="Times New Roman"/>
                <w:b/>
                <w:bCs/>
                <w:color w:val="auto"/>
                <w:sz w:val="24"/>
                <w:highlight w:val="none"/>
                <w:u w:val="none" w:color="auto"/>
              </w:rPr>
              <w:t xml:space="preserve">表2-6  </w:t>
            </w:r>
            <w:r>
              <w:rPr>
                <w:rFonts w:hint="default" w:ascii="Times New Roman" w:hAnsi="Times New Roman" w:eastAsia="宋体" w:cs="Times New Roman"/>
                <w:b/>
                <w:bCs/>
                <w:color w:val="auto"/>
                <w:sz w:val="24"/>
                <w:highlight w:val="none"/>
                <w:u w:val="none" w:color="auto"/>
                <w:lang w:val="en-US" w:eastAsia="zh-CN"/>
              </w:rPr>
              <w:t xml:space="preserve"> </w:t>
            </w:r>
            <w:r>
              <w:rPr>
                <w:rFonts w:hint="default" w:ascii="Times New Roman" w:hAnsi="Times New Roman" w:eastAsia="宋体" w:cs="Times New Roman"/>
                <w:b/>
                <w:bCs/>
                <w:color w:val="auto"/>
                <w:sz w:val="24"/>
                <w:highlight w:val="none"/>
                <w:u w:val="none" w:color="auto"/>
              </w:rPr>
              <w:t>项目原辅材料及能源消耗一览表</w:t>
            </w:r>
          </w:p>
          <w:tbl>
            <w:tblPr>
              <w:tblStyle w:val="36"/>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451"/>
              <w:gridCol w:w="920"/>
              <w:gridCol w:w="920"/>
              <w:gridCol w:w="920"/>
              <w:gridCol w:w="835"/>
              <w:gridCol w:w="910"/>
              <w:gridCol w:w="449"/>
              <w:gridCol w:w="440"/>
              <w:gridCol w:w="1208"/>
              <w:gridCol w:w="649"/>
            </w:tblGrid>
            <w:tr w14:paraId="28190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2" w:type="pct"/>
                  <w:vAlign w:val="center"/>
                </w:tcPr>
                <w:p w14:paraId="11A471A0">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b w:val="0"/>
                      <w:bCs/>
                      <w:color w:val="auto"/>
                      <w:sz w:val="21"/>
                      <w:szCs w:val="21"/>
                      <w:highlight w:val="none"/>
                      <w:u w:val="none" w:color="auto"/>
                      <w:vertAlign w:val="baseline"/>
                      <w:lang w:val="en-US" w:eastAsia="zh-CN"/>
                    </w:rPr>
                  </w:pPr>
                  <w:r>
                    <w:rPr>
                      <w:rFonts w:hint="default" w:ascii="Times New Roman" w:hAnsi="Times New Roman" w:eastAsia="宋体" w:cs="Times New Roman"/>
                      <w:b w:val="0"/>
                      <w:bCs/>
                      <w:color w:val="auto"/>
                      <w:sz w:val="21"/>
                      <w:szCs w:val="21"/>
                      <w:highlight w:val="none"/>
                      <w:u w:val="none" w:color="auto"/>
                      <w:vertAlign w:val="baseline"/>
                      <w:lang w:val="en-US" w:eastAsia="zh-CN"/>
                    </w:rPr>
                    <w:t>类别</w:t>
                  </w:r>
                </w:p>
              </w:tc>
              <w:tc>
                <w:tcPr>
                  <w:tcW w:w="278" w:type="pct"/>
                  <w:vAlign w:val="center"/>
                </w:tcPr>
                <w:p w14:paraId="2BA4D82C">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z w:val="21"/>
                      <w:szCs w:val="21"/>
                      <w:highlight w:val="none"/>
                      <w:u w:val="none" w:color="auto"/>
                      <w:vertAlign w:val="baseline"/>
                    </w:rPr>
                  </w:pPr>
                  <w:r>
                    <w:rPr>
                      <w:rFonts w:hint="default" w:ascii="Times New Roman" w:hAnsi="Times New Roman" w:eastAsia="宋体" w:cs="Times New Roman"/>
                      <w:b w:val="0"/>
                      <w:bCs/>
                      <w:color w:val="auto"/>
                      <w:spacing w:val="3"/>
                      <w:sz w:val="21"/>
                      <w:szCs w:val="21"/>
                      <w:u w:val="none" w:color="auto"/>
                    </w:rPr>
                    <w:t>名称</w:t>
                  </w:r>
                </w:p>
              </w:tc>
              <w:tc>
                <w:tcPr>
                  <w:tcW w:w="565" w:type="pct"/>
                  <w:vAlign w:val="center"/>
                </w:tcPr>
                <w:p w14:paraId="70C883C4">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3"/>
                      <w:sz w:val="21"/>
                      <w:szCs w:val="21"/>
                      <w:u w:val="none" w:color="auto"/>
                      <w:lang w:val="en-US" w:eastAsia="zh-CN"/>
                    </w:rPr>
                  </w:pPr>
                  <w:r>
                    <w:rPr>
                      <w:rFonts w:hint="default" w:ascii="Times New Roman" w:hAnsi="Times New Roman" w:eastAsia="宋体" w:cs="Times New Roman"/>
                      <w:b w:val="0"/>
                      <w:bCs/>
                      <w:color w:val="auto"/>
                      <w:spacing w:val="3"/>
                      <w:sz w:val="21"/>
                      <w:szCs w:val="21"/>
                      <w:u w:val="none" w:color="auto"/>
                      <w:lang w:val="en-US" w:eastAsia="zh-CN"/>
                    </w:rPr>
                    <w:t>现有工程</w:t>
                  </w:r>
                </w:p>
              </w:tc>
              <w:tc>
                <w:tcPr>
                  <w:tcW w:w="565" w:type="pct"/>
                  <w:vAlign w:val="center"/>
                </w:tcPr>
                <w:p w14:paraId="0295C284">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3"/>
                      <w:sz w:val="21"/>
                      <w:szCs w:val="21"/>
                      <w:u w:val="none" w:color="auto"/>
                      <w:lang w:val="en-US" w:eastAsia="zh-CN"/>
                    </w:rPr>
                  </w:pPr>
                  <w:r>
                    <w:rPr>
                      <w:rFonts w:hint="default" w:ascii="Times New Roman" w:hAnsi="Times New Roman" w:eastAsia="宋体" w:cs="Times New Roman"/>
                      <w:b w:val="0"/>
                      <w:bCs/>
                      <w:color w:val="auto"/>
                      <w:spacing w:val="3"/>
                      <w:sz w:val="21"/>
                      <w:szCs w:val="21"/>
                      <w:u w:val="none" w:color="auto"/>
                      <w:lang w:val="en-US" w:eastAsia="zh-CN"/>
                    </w:rPr>
                    <w:t>本次新增</w:t>
                  </w:r>
                </w:p>
              </w:tc>
              <w:tc>
                <w:tcPr>
                  <w:tcW w:w="565" w:type="pct"/>
                  <w:vAlign w:val="center"/>
                </w:tcPr>
                <w:p w14:paraId="4F91208F">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z w:val="21"/>
                      <w:szCs w:val="21"/>
                      <w:highlight w:val="none"/>
                      <w:u w:val="none" w:color="auto"/>
                      <w:vertAlign w:val="baseline"/>
                      <w:lang w:val="en-US" w:eastAsia="zh-CN"/>
                    </w:rPr>
                  </w:pPr>
                  <w:r>
                    <w:rPr>
                      <w:rFonts w:hint="default" w:ascii="Times New Roman" w:hAnsi="Times New Roman" w:eastAsia="宋体" w:cs="Times New Roman"/>
                      <w:b w:val="0"/>
                      <w:bCs/>
                      <w:color w:val="auto"/>
                      <w:spacing w:val="6"/>
                      <w:sz w:val="21"/>
                      <w:szCs w:val="21"/>
                      <w:u w:val="none" w:color="auto"/>
                      <w:lang w:val="en-US" w:eastAsia="zh-CN"/>
                    </w:rPr>
                    <w:t>扩建完后全校</w:t>
                  </w:r>
                </w:p>
              </w:tc>
              <w:tc>
                <w:tcPr>
                  <w:tcW w:w="513" w:type="pct"/>
                  <w:vAlign w:val="center"/>
                </w:tcPr>
                <w:p w14:paraId="630FD296">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pacing w:val="4"/>
                      <w:sz w:val="21"/>
                      <w:szCs w:val="21"/>
                      <w:u w:val="none" w:color="auto"/>
                    </w:rPr>
                    <w:t>计量</w:t>
                  </w:r>
                </w:p>
                <w:p w14:paraId="45E6F050">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z w:val="21"/>
                      <w:szCs w:val="21"/>
                      <w:highlight w:val="none"/>
                      <w:u w:val="none" w:color="auto"/>
                      <w:vertAlign w:val="baseline"/>
                    </w:rPr>
                  </w:pPr>
                  <w:r>
                    <w:rPr>
                      <w:rFonts w:hint="default" w:ascii="Times New Roman" w:hAnsi="Times New Roman" w:eastAsia="宋体" w:cs="Times New Roman"/>
                      <w:b w:val="0"/>
                      <w:bCs/>
                      <w:color w:val="auto"/>
                      <w:spacing w:val="3"/>
                      <w:sz w:val="21"/>
                      <w:szCs w:val="21"/>
                      <w:u w:val="none" w:color="auto"/>
                    </w:rPr>
                    <w:t>单位</w:t>
                  </w:r>
                </w:p>
              </w:tc>
              <w:tc>
                <w:tcPr>
                  <w:tcW w:w="559" w:type="pct"/>
                  <w:vAlign w:val="center"/>
                </w:tcPr>
                <w:p w14:paraId="110DC700">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b w:val="0"/>
                      <w:bCs/>
                      <w:color w:val="auto"/>
                      <w:sz w:val="21"/>
                      <w:szCs w:val="21"/>
                      <w:highlight w:val="none"/>
                      <w:u w:val="none" w:color="auto"/>
                      <w:vertAlign w:val="baseline"/>
                    </w:rPr>
                  </w:pPr>
                  <w:r>
                    <w:rPr>
                      <w:rFonts w:hint="default" w:ascii="Times New Roman" w:hAnsi="Times New Roman" w:eastAsia="宋体" w:cs="Times New Roman"/>
                      <w:b w:val="0"/>
                      <w:bCs/>
                      <w:color w:val="auto"/>
                      <w:spacing w:val="8"/>
                      <w:sz w:val="21"/>
                      <w:szCs w:val="21"/>
                      <w:u w:val="none" w:color="auto"/>
                    </w:rPr>
                    <w:t>物料性状与存储方</w:t>
                  </w:r>
                  <w:r>
                    <w:rPr>
                      <w:rFonts w:hint="default" w:ascii="Times New Roman" w:hAnsi="Times New Roman" w:eastAsia="宋体" w:cs="Times New Roman"/>
                      <w:b w:val="0"/>
                      <w:bCs/>
                      <w:color w:val="auto"/>
                      <w:sz w:val="21"/>
                      <w:szCs w:val="21"/>
                      <w:u w:val="none" w:color="auto"/>
                    </w:rPr>
                    <w:t>式</w:t>
                  </w:r>
                </w:p>
              </w:tc>
              <w:tc>
                <w:tcPr>
                  <w:tcW w:w="276" w:type="pct"/>
                  <w:vAlign w:val="center"/>
                </w:tcPr>
                <w:p w14:paraId="6F302307">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z w:val="21"/>
                      <w:szCs w:val="21"/>
                      <w:highlight w:val="none"/>
                      <w:u w:val="none" w:color="auto"/>
                      <w:vertAlign w:val="baseline"/>
                    </w:rPr>
                  </w:pPr>
                  <w:r>
                    <w:rPr>
                      <w:rFonts w:hint="default" w:ascii="Times New Roman" w:hAnsi="Times New Roman" w:eastAsia="宋体" w:cs="Times New Roman"/>
                      <w:b w:val="0"/>
                      <w:bCs/>
                      <w:color w:val="auto"/>
                      <w:spacing w:val="6"/>
                      <w:sz w:val="21"/>
                      <w:szCs w:val="21"/>
                      <w:u w:val="none" w:color="auto"/>
                    </w:rPr>
                    <w:t>一次最大</w:t>
                  </w:r>
                  <w:r>
                    <w:rPr>
                      <w:rFonts w:hint="default" w:ascii="Times New Roman" w:hAnsi="Times New Roman" w:eastAsia="宋体" w:cs="Times New Roman"/>
                      <w:b w:val="0"/>
                      <w:bCs/>
                      <w:color w:val="auto"/>
                      <w:spacing w:val="7"/>
                      <w:sz w:val="21"/>
                      <w:szCs w:val="21"/>
                      <w:u w:val="none" w:color="auto"/>
                    </w:rPr>
                    <w:t>储存量</w:t>
                  </w:r>
                </w:p>
              </w:tc>
              <w:tc>
                <w:tcPr>
                  <w:tcW w:w="270" w:type="pct"/>
                  <w:vAlign w:val="center"/>
                </w:tcPr>
                <w:p w14:paraId="0D99CA4B">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z w:val="21"/>
                      <w:szCs w:val="21"/>
                      <w:highlight w:val="none"/>
                      <w:u w:val="none" w:color="auto"/>
                      <w:vertAlign w:val="baseline"/>
                    </w:rPr>
                  </w:pPr>
                  <w:r>
                    <w:rPr>
                      <w:rFonts w:hint="default" w:ascii="Times New Roman" w:hAnsi="Times New Roman" w:eastAsia="宋体" w:cs="Times New Roman"/>
                      <w:b w:val="0"/>
                      <w:bCs/>
                      <w:color w:val="auto"/>
                      <w:spacing w:val="7"/>
                      <w:sz w:val="21"/>
                      <w:szCs w:val="21"/>
                      <w:u w:val="none" w:color="auto"/>
                    </w:rPr>
                    <w:t>最大储存周期</w:t>
                  </w:r>
                </w:p>
              </w:tc>
              <w:tc>
                <w:tcPr>
                  <w:tcW w:w="742" w:type="pct"/>
                  <w:vAlign w:val="center"/>
                </w:tcPr>
                <w:p w14:paraId="2DDB3290">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7"/>
                      <w:sz w:val="21"/>
                      <w:szCs w:val="21"/>
                      <w:u w:val="none" w:color="auto"/>
                      <w:lang w:val="en-US" w:eastAsia="zh-CN"/>
                    </w:rPr>
                  </w:pPr>
                  <w:r>
                    <w:rPr>
                      <w:rFonts w:hint="default" w:ascii="Times New Roman" w:hAnsi="Times New Roman" w:eastAsia="宋体" w:cs="Times New Roman"/>
                      <w:b w:val="0"/>
                      <w:bCs/>
                      <w:color w:val="auto"/>
                      <w:spacing w:val="7"/>
                      <w:sz w:val="21"/>
                      <w:szCs w:val="21"/>
                      <w:u w:val="none" w:color="auto"/>
                      <w:lang w:val="en-US" w:eastAsia="zh-CN"/>
                    </w:rPr>
                    <w:t>CAS号</w:t>
                  </w:r>
                </w:p>
              </w:tc>
              <w:tc>
                <w:tcPr>
                  <w:tcW w:w="399" w:type="pct"/>
                  <w:vAlign w:val="center"/>
                </w:tcPr>
                <w:p w14:paraId="310E69A8">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7"/>
                      <w:sz w:val="21"/>
                      <w:szCs w:val="21"/>
                      <w:u w:val="none" w:color="auto"/>
                      <w:lang w:val="en-US" w:eastAsia="zh-CN"/>
                    </w:rPr>
                  </w:pPr>
                  <w:r>
                    <w:rPr>
                      <w:rFonts w:hint="default" w:ascii="Times New Roman" w:hAnsi="Times New Roman" w:eastAsia="宋体" w:cs="Times New Roman"/>
                      <w:b w:val="0"/>
                      <w:bCs/>
                      <w:color w:val="auto"/>
                      <w:spacing w:val="7"/>
                      <w:sz w:val="21"/>
                      <w:szCs w:val="21"/>
                      <w:u w:val="none" w:color="auto"/>
                      <w:lang w:val="en-US" w:eastAsia="zh-CN"/>
                    </w:rPr>
                    <w:t>备注</w:t>
                  </w:r>
                </w:p>
              </w:tc>
            </w:tr>
            <w:tr w14:paraId="5DAB2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2" w:type="pct"/>
                  <w:vMerge w:val="restart"/>
                  <w:shd w:val="clear" w:color="auto" w:fill="auto"/>
                  <w:vAlign w:val="center"/>
                </w:tcPr>
                <w:p w14:paraId="083FCDA9">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kern w:val="2"/>
                      <w:sz w:val="21"/>
                      <w:szCs w:val="21"/>
                      <w:u w:val="none" w:color="auto"/>
                      <w:lang w:val="en-US" w:eastAsia="zh-CN" w:bidi="ar-SA"/>
                    </w:rPr>
                    <w:t>原辅材料</w:t>
                  </w:r>
                </w:p>
              </w:tc>
              <w:tc>
                <w:tcPr>
                  <w:tcW w:w="278" w:type="pct"/>
                  <w:shd w:val="clear" w:color="auto" w:fill="auto"/>
                  <w:vAlign w:val="center"/>
                </w:tcPr>
                <w:p w14:paraId="1E351D82">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3"/>
                      <w:sz w:val="21"/>
                      <w:szCs w:val="21"/>
                      <w:u w:val="none" w:color="auto"/>
                    </w:rPr>
                    <w:t>硝酸</w:t>
                  </w:r>
                </w:p>
              </w:tc>
              <w:tc>
                <w:tcPr>
                  <w:tcW w:w="565" w:type="pct"/>
                  <w:shd w:val="clear" w:color="auto" w:fill="auto"/>
                  <w:vAlign w:val="center"/>
                </w:tcPr>
                <w:p w14:paraId="6F98413F">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3"/>
                      <w:sz w:val="21"/>
                      <w:szCs w:val="21"/>
                      <w:u w:val="none" w:color="auto"/>
                      <w:lang w:val="en-US" w:eastAsia="zh-CN"/>
                    </w:rPr>
                  </w:pPr>
                  <w:r>
                    <w:rPr>
                      <w:rFonts w:hint="default" w:ascii="Times New Roman" w:hAnsi="Times New Roman" w:eastAsia="宋体" w:cs="Times New Roman"/>
                      <w:b w:val="0"/>
                      <w:bCs/>
                      <w:color w:val="auto"/>
                      <w:spacing w:val="3"/>
                      <w:sz w:val="21"/>
                      <w:szCs w:val="21"/>
                      <w:u w:val="none" w:color="auto"/>
                      <w:lang w:val="en-US" w:eastAsia="zh-CN"/>
                    </w:rPr>
                    <w:t>0</w:t>
                  </w:r>
                </w:p>
              </w:tc>
              <w:tc>
                <w:tcPr>
                  <w:tcW w:w="565" w:type="pct"/>
                  <w:shd w:val="clear" w:color="auto" w:fill="auto"/>
                  <w:vAlign w:val="center"/>
                </w:tcPr>
                <w:p w14:paraId="34F9DCDA">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0.0005</w:t>
                  </w:r>
                </w:p>
              </w:tc>
              <w:tc>
                <w:tcPr>
                  <w:tcW w:w="565" w:type="pct"/>
                  <w:shd w:val="clear" w:color="auto" w:fill="auto"/>
                  <w:vAlign w:val="center"/>
                </w:tcPr>
                <w:p w14:paraId="1E996014">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0.0005</w:t>
                  </w:r>
                </w:p>
              </w:tc>
              <w:tc>
                <w:tcPr>
                  <w:tcW w:w="513" w:type="pct"/>
                  <w:shd w:val="clear" w:color="auto" w:fill="auto"/>
                  <w:vAlign w:val="center"/>
                </w:tcPr>
                <w:p w14:paraId="4BF23FAC">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lang w:val="en-US" w:eastAsia="zh-CN"/>
                    </w:rPr>
                    <w:t>t/a</w:t>
                  </w:r>
                </w:p>
              </w:tc>
              <w:tc>
                <w:tcPr>
                  <w:tcW w:w="559" w:type="pct"/>
                  <w:shd w:val="clear" w:color="auto" w:fill="auto"/>
                  <w:vAlign w:val="center"/>
                </w:tcPr>
                <w:p w14:paraId="1DA4A7DD">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7"/>
                      <w:sz w:val="21"/>
                      <w:szCs w:val="21"/>
                      <w:u w:val="none" w:color="auto"/>
                    </w:rPr>
                    <w:t>500</w:t>
                  </w:r>
                  <w:r>
                    <w:rPr>
                      <w:rFonts w:hint="default" w:ascii="Times New Roman" w:hAnsi="Times New Roman" w:eastAsia="宋体" w:cs="Times New Roman"/>
                      <w:b w:val="0"/>
                      <w:bCs/>
                      <w:color w:val="auto"/>
                      <w:sz w:val="21"/>
                      <w:szCs w:val="21"/>
                      <w:u w:val="none" w:color="auto"/>
                    </w:rPr>
                    <w:t>mL</w:t>
                  </w:r>
                  <w:r>
                    <w:rPr>
                      <w:rFonts w:hint="default" w:ascii="Times New Roman" w:hAnsi="Times New Roman" w:eastAsia="宋体" w:cs="Times New Roman"/>
                      <w:b w:val="0"/>
                      <w:bCs/>
                      <w:color w:val="auto"/>
                      <w:spacing w:val="7"/>
                      <w:sz w:val="21"/>
                      <w:szCs w:val="21"/>
                      <w:u w:val="none" w:color="auto"/>
                    </w:rPr>
                    <w:t>/瓶，存储于</w:t>
                  </w:r>
                  <w:r>
                    <w:rPr>
                      <w:rFonts w:hint="default" w:ascii="Times New Roman" w:hAnsi="Times New Roman" w:eastAsia="宋体" w:cs="Times New Roman"/>
                      <w:b w:val="0"/>
                      <w:bCs/>
                      <w:color w:val="auto"/>
                      <w:spacing w:val="6"/>
                      <w:sz w:val="21"/>
                      <w:szCs w:val="21"/>
                      <w:u w:val="none" w:color="auto"/>
                      <w:lang w:val="en-US" w:eastAsia="zh-CN"/>
                    </w:rPr>
                    <w:t>实验楼器材室内</w:t>
                  </w:r>
                </w:p>
              </w:tc>
              <w:tc>
                <w:tcPr>
                  <w:tcW w:w="276" w:type="pct"/>
                  <w:shd w:val="clear" w:color="auto" w:fill="auto"/>
                  <w:vAlign w:val="center"/>
                </w:tcPr>
                <w:p w14:paraId="08FE574D">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0"/>
                      <w:sz w:val="21"/>
                      <w:szCs w:val="21"/>
                      <w:u w:val="none" w:color="auto"/>
                    </w:rPr>
                    <w:t>1瓶</w:t>
                  </w:r>
                </w:p>
              </w:tc>
              <w:tc>
                <w:tcPr>
                  <w:tcW w:w="270" w:type="pct"/>
                  <w:shd w:val="clear" w:color="auto" w:fill="auto"/>
                  <w:vAlign w:val="center"/>
                </w:tcPr>
                <w:p w14:paraId="3CDDF6C9">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rPr>
                    <w:t>3个月</w:t>
                  </w:r>
                </w:p>
              </w:tc>
              <w:tc>
                <w:tcPr>
                  <w:tcW w:w="742" w:type="pct"/>
                  <w:shd w:val="clear" w:color="auto" w:fill="auto"/>
                  <w:vAlign w:val="center"/>
                </w:tcPr>
                <w:p w14:paraId="54B947F2">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rPr>
                    <w:fldChar w:fldCharType="begin"/>
                  </w:r>
                  <w:r>
                    <w:rPr>
                      <w:rFonts w:hint="default" w:ascii="Times New Roman" w:hAnsi="Times New Roman" w:eastAsia="宋体" w:cs="Times New Roman"/>
                      <w:b w:val="0"/>
                      <w:bCs/>
                      <w:color w:val="auto"/>
                      <w:spacing w:val="1"/>
                      <w:sz w:val="21"/>
                      <w:szCs w:val="21"/>
                      <w:u w:val="none" w:color="auto"/>
                    </w:rPr>
                    <w:instrText xml:space="preserve"> HYPERLINK "https://www.chemsrc.com/baike/895647.html" \t "https://www.chemsrc.com/searchResult/%25E7%25A1%259D%25E9%2585%25B8/_blank" </w:instrText>
                  </w:r>
                  <w:r>
                    <w:rPr>
                      <w:rFonts w:hint="default" w:ascii="Times New Roman" w:hAnsi="Times New Roman" w:eastAsia="宋体" w:cs="Times New Roman"/>
                      <w:b w:val="0"/>
                      <w:bCs/>
                      <w:color w:val="auto"/>
                      <w:spacing w:val="1"/>
                      <w:sz w:val="21"/>
                      <w:szCs w:val="21"/>
                      <w:u w:val="none" w:color="auto"/>
                    </w:rPr>
                    <w:fldChar w:fldCharType="separate"/>
                  </w:r>
                  <w:r>
                    <w:rPr>
                      <w:rFonts w:hint="default" w:ascii="Times New Roman" w:hAnsi="Times New Roman" w:eastAsia="宋体" w:cs="Times New Roman"/>
                      <w:b w:val="0"/>
                      <w:bCs/>
                      <w:color w:val="auto"/>
                      <w:spacing w:val="1"/>
                      <w:sz w:val="21"/>
                      <w:szCs w:val="21"/>
                      <w:u w:val="none" w:color="auto"/>
                    </w:rPr>
                    <w:t>7697-37-2</w:t>
                  </w:r>
                  <w:r>
                    <w:rPr>
                      <w:rFonts w:hint="default" w:ascii="Times New Roman" w:hAnsi="Times New Roman" w:eastAsia="宋体" w:cs="Times New Roman"/>
                      <w:b w:val="0"/>
                      <w:bCs/>
                      <w:color w:val="auto"/>
                      <w:spacing w:val="1"/>
                      <w:sz w:val="21"/>
                      <w:szCs w:val="21"/>
                      <w:u w:val="none" w:color="auto"/>
                    </w:rPr>
                    <w:fldChar w:fldCharType="end"/>
                  </w:r>
                </w:p>
              </w:tc>
              <w:tc>
                <w:tcPr>
                  <w:tcW w:w="399" w:type="pct"/>
                  <w:shd w:val="clear" w:color="auto" w:fill="auto"/>
                  <w:vAlign w:val="center"/>
                </w:tcPr>
                <w:p w14:paraId="113E8CA9">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1"/>
                      <w:sz w:val="21"/>
                      <w:szCs w:val="21"/>
                      <w:u w:val="none" w:color="auto"/>
                      <w:lang w:val="en-US" w:eastAsia="zh-CN"/>
                    </w:rPr>
                  </w:pPr>
                  <w:r>
                    <w:rPr>
                      <w:rFonts w:hint="default" w:ascii="Times New Roman" w:hAnsi="Times New Roman" w:eastAsia="宋体" w:cs="Times New Roman"/>
                      <w:b w:val="0"/>
                      <w:bCs/>
                      <w:color w:val="auto"/>
                      <w:spacing w:val="1"/>
                      <w:sz w:val="21"/>
                      <w:szCs w:val="21"/>
                      <w:u w:val="none" w:color="auto"/>
                      <w:lang w:val="en-US" w:eastAsia="zh-CN"/>
                    </w:rPr>
                    <w:t>外购</w:t>
                  </w:r>
                </w:p>
              </w:tc>
            </w:tr>
            <w:tr w14:paraId="38CCA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2" w:type="pct"/>
                  <w:vMerge w:val="continue"/>
                  <w:shd w:val="clear" w:color="auto" w:fill="auto"/>
                  <w:vAlign w:val="center"/>
                </w:tcPr>
                <w:p w14:paraId="73580393">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p>
              </w:tc>
              <w:tc>
                <w:tcPr>
                  <w:tcW w:w="278" w:type="pct"/>
                  <w:shd w:val="clear" w:color="auto" w:fill="auto"/>
                  <w:vAlign w:val="center"/>
                </w:tcPr>
                <w:p w14:paraId="229D9F32">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5"/>
                      <w:sz w:val="21"/>
                      <w:szCs w:val="21"/>
                      <w:u w:val="none" w:color="auto"/>
                    </w:rPr>
                    <w:t>硫酸</w:t>
                  </w:r>
                </w:p>
              </w:tc>
              <w:tc>
                <w:tcPr>
                  <w:tcW w:w="565" w:type="pct"/>
                  <w:shd w:val="clear" w:color="auto" w:fill="auto"/>
                  <w:vAlign w:val="center"/>
                </w:tcPr>
                <w:p w14:paraId="54D1330D">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5"/>
                      <w:sz w:val="21"/>
                      <w:szCs w:val="21"/>
                      <w:u w:val="none" w:color="auto"/>
                    </w:rPr>
                  </w:pPr>
                  <w:r>
                    <w:rPr>
                      <w:rFonts w:hint="default" w:ascii="Times New Roman" w:hAnsi="Times New Roman" w:eastAsia="宋体" w:cs="Times New Roman"/>
                      <w:b w:val="0"/>
                      <w:bCs/>
                      <w:color w:val="auto"/>
                      <w:spacing w:val="3"/>
                      <w:sz w:val="21"/>
                      <w:szCs w:val="21"/>
                      <w:u w:val="none" w:color="auto"/>
                      <w:lang w:val="en-US" w:eastAsia="zh-CN"/>
                    </w:rPr>
                    <w:t>0</w:t>
                  </w:r>
                </w:p>
              </w:tc>
              <w:tc>
                <w:tcPr>
                  <w:tcW w:w="565" w:type="pct"/>
                  <w:shd w:val="clear" w:color="auto" w:fill="auto"/>
                  <w:vAlign w:val="center"/>
                </w:tcPr>
                <w:p w14:paraId="3C39E3FA">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0.0002</w:t>
                  </w:r>
                </w:p>
              </w:tc>
              <w:tc>
                <w:tcPr>
                  <w:tcW w:w="565" w:type="pct"/>
                  <w:shd w:val="clear" w:color="auto" w:fill="auto"/>
                  <w:vAlign w:val="center"/>
                </w:tcPr>
                <w:p w14:paraId="6E9457B0">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0.0002</w:t>
                  </w:r>
                </w:p>
              </w:tc>
              <w:tc>
                <w:tcPr>
                  <w:tcW w:w="513" w:type="pct"/>
                  <w:shd w:val="clear" w:color="auto" w:fill="auto"/>
                  <w:vAlign w:val="center"/>
                </w:tcPr>
                <w:p w14:paraId="100F88DC">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lang w:val="en-US" w:eastAsia="zh-CN"/>
                    </w:rPr>
                    <w:t>t/a</w:t>
                  </w:r>
                </w:p>
              </w:tc>
              <w:tc>
                <w:tcPr>
                  <w:tcW w:w="559" w:type="pct"/>
                  <w:shd w:val="clear" w:color="auto" w:fill="auto"/>
                  <w:vAlign w:val="center"/>
                </w:tcPr>
                <w:p w14:paraId="591A0B14">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7"/>
                      <w:sz w:val="21"/>
                      <w:szCs w:val="21"/>
                      <w:u w:val="none" w:color="auto"/>
                    </w:rPr>
                    <w:t>500</w:t>
                  </w:r>
                  <w:r>
                    <w:rPr>
                      <w:rFonts w:hint="default" w:ascii="Times New Roman" w:hAnsi="Times New Roman" w:eastAsia="宋体" w:cs="Times New Roman"/>
                      <w:b w:val="0"/>
                      <w:bCs/>
                      <w:color w:val="auto"/>
                      <w:sz w:val="21"/>
                      <w:szCs w:val="21"/>
                      <w:u w:val="none" w:color="auto"/>
                    </w:rPr>
                    <w:t>mL</w:t>
                  </w:r>
                  <w:r>
                    <w:rPr>
                      <w:rFonts w:hint="default" w:ascii="Times New Roman" w:hAnsi="Times New Roman" w:eastAsia="宋体" w:cs="Times New Roman"/>
                      <w:b w:val="0"/>
                      <w:bCs/>
                      <w:color w:val="auto"/>
                      <w:spacing w:val="7"/>
                      <w:sz w:val="21"/>
                      <w:szCs w:val="21"/>
                      <w:u w:val="none" w:color="auto"/>
                    </w:rPr>
                    <w:t>/瓶，存储于</w:t>
                  </w:r>
                  <w:r>
                    <w:rPr>
                      <w:rFonts w:hint="default" w:ascii="Times New Roman" w:hAnsi="Times New Roman" w:eastAsia="宋体" w:cs="Times New Roman"/>
                      <w:b w:val="0"/>
                      <w:bCs/>
                      <w:color w:val="auto"/>
                      <w:spacing w:val="6"/>
                      <w:sz w:val="21"/>
                      <w:szCs w:val="21"/>
                      <w:u w:val="none" w:color="auto"/>
                      <w:lang w:val="en-US" w:eastAsia="zh-CN"/>
                    </w:rPr>
                    <w:t>实验楼器材室内</w:t>
                  </w:r>
                </w:p>
              </w:tc>
              <w:tc>
                <w:tcPr>
                  <w:tcW w:w="276" w:type="pct"/>
                  <w:shd w:val="clear" w:color="auto" w:fill="auto"/>
                  <w:vAlign w:val="center"/>
                </w:tcPr>
                <w:p w14:paraId="31E5AAB0">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0"/>
                      <w:sz w:val="21"/>
                      <w:szCs w:val="21"/>
                      <w:u w:val="none" w:color="auto"/>
                    </w:rPr>
                    <w:t>1瓶</w:t>
                  </w:r>
                </w:p>
              </w:tc>
              <w:tc>
                <w:tcPr>
                  <w:tcW w:w="270" w:type="pct"/>
                  <w:shd w:val="clear" w:color="auto" w:fill="auto"/>
                  <w:vAlign w:val="center"/>
                </w:tcPr>
                <w:p w14:paraId="34564889">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rPr>
                    <w:t>3个月</w:t>
                  </w:r>
                </w:p>
              </w:tc>
              <w:tc>
                <w:tcPr>
                  <w:tcW w:w="742" w:type="pct"/>
                  <w:shd w:val="clear" w:color="auto" w:fill="auto"/>
                  <w:vAlign w:val="center"/>
                </w:tcPr>
                <w:p w14:paraId="35A871BD">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rPr>
                    <w:fldChar w:fldCharType="begin"/>
                  </w:r>
                  <w:r>
                    <w:rPr>
                      <w:rFonts w:hint="default" w:ascii="Times New Roman" w:hAnsi="Times New Roman" w:eastAsia="宋体" w:cs="Times New Roman"/>
                      <w:b w:val="0"/>
                      <w:bCs/>
                      <w:color w:val="auto"/>
                      <w:spacing w:val="1"/>
                      <w:sz w:val="21"/>
                      <w:szCs w:val="21"/>
                      <w:u w:val="none" w:color="auto"/>
                    </w:rPr>
                    <w:instrText xml:space="preserve"> HYPERLINK "https://www.chemsrc.com/baike/392126.html" \t "https://www.chemsrc.com/searchResult/%25E7%25A1%25AB%25E9%2585%25B8/_blank" </w:instrText>
                  </w:r>
                  <w:r>
                    <w:rPr>
                      <w:rFonts w:hint="default" w:ascii="Times New Roman" w:hAnsi="Times New Roman" w:eastAsia="宋体" w:cs="Times New Roman"/>
                      <w:b w:val="0"/>
                      <w:bCs/>
                      <w:color w:val="auto"/>
                      <w:spacing w:val="1"/>
                      <w:sz w:val="21"/>
                      <w:szCs w:val="21"/>
                      <w:u w:val="none" w:color="auto"/>
                    </w:rPr>
                    <w:fldChar w:fldCharType="separate"/>
                  </w:r>
                  <w:r>
                    <w:rPr>
                      <w:rFonts w:hint="default" w:ascii="Times New Roman" w:hAnsi="Times New Roman" w:eastAsia="宋体" w:cs="Times New Roman"/>
                      <w:b w:val="0"/>
                      <w:bCs/>
                      <w:color w:val="auto"/>
                      <w:spacing w:val="1"/>
                      <w:sz w:val="21"/>
                      <w:szCs w:val="21"/>
                      <w:u w:val="none" w:color="auto"/>
                    </w:rPr>
                    <w:t>7664-93-9</w:t>
                  </w:r>
                  <w:r>
                    <w:rPr>
                      <w:rFonts w:hint="default" w:ascii="Times New Roman" w:hAnsi="Times New Roman" w:eastAsia="宋体" w:cs="Times New Roman"/>
                      <w:b w:val="0"/>
                      <w:bCs/>
                      <w:color w:val="auto"/>
                      <w:spacing w:val="1"/>
                      <w:sz w:val="21"/>
                      <w:szCs w:val="21"/>
                      <w:u w:val="none" w:color="auto"/>
                    </w:rPr>
                    <w:fldChar w:fldCharType="end"/>
                  </w:r>
                </w:p>
              </w:tc>
              <w:tc>
                <w:tcPr>
                  <w:tcW w:w="399" w:type="pct"/>
                  <w:shd w:val="clear" w:color="auto" w:fill="auto"/>
                  <w:vAlign w:val="center"/>
                </w:tcPr>
                <w:p w14:paraId="6A6BE5EC">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lang w:val="en-US" w:eastAsia="zh-CN"/>
                    </w:rPr>
                    <w:t>外购</w:t>
                  </w:r>
                </w:p>
              </w:tc>
            </w:tr>
            <w:tr w14:paraId="73960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2" w:type="pct"/>
                  <w:vMerge w:val="continue"/>
                  <w:shd w:val="clear" w:color="auto" w:fill="auto"/>
                  <w:vAlign w:val="center"/>
                </w:tcPr>
                <w:p w14:paraId="0729DBA2">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p>
              </w:tc>
              <w:tc>
                <w:tcPr>
                  <w:tcW w:w="278" w:type="pct"/>
                  <w:shd w:val="clear" w:color="auto" w:fill="auto"/>
                  <w:vAlign w:val="center"/>
                </w:tcPr>
                <w:p w14:paraId="0C504539">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3"/>
                      <w:sz w:val="21"/>
                      <w:szCs w:val="21"/>
                      <w:u w:val="none" w:color="auto"/>
                    </w:rPr>
                    <w:t>盐酸</w:t>
                  </w:r>
                </w:p>
              </w:tc>
              <w:tc>
                <w:tcPr>
                  <w:tcW w:w="565" w:type="pct"/>
                  <w:shd w:val="clear" w:color="auto" w:fill="auto"/>
                  <w:vAlign w:val="center"/>
                </w:tcPr>
                <w:p w14:paraId="56E301C8">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3"/>
                      <w:sz w:val="21"/>
                      <w:szCs w:val="21"/>
                      <w:u w:val="none" w:color="auto"/>
                    </w:rPr>
                  </w:pPr>
                  <w:r>
                    <w:rPr>
                      <w:rFonts w:hint="default" w:ascii="Times New Roman" w:hAnsi="Times New Roman" w:eastAsia="宋体" w:cs="Times New Roman"/>
                      <w:b w:val="0"/>
                      <w:bCs/>
                      <w:color w:val="auto"/>
                      <w:spacing w:val="3"/>
                      <w:sz w:val="21"/>
                      <w:szCs w:val="21"/>
                      <w:u w:val="none" w:color="auto"/>
                      <w:lang w:val="en-US" w:eastAsia="zh-CN"/>
                    </w:rPr>
                    <w:t>0</w:t>
                  </w:r>
                </w:p>
              </w:tc>
              <w:tc>
                <w:tcPr>
                  <w:tcW w:w="565" w:type="pct"/>
                  <w:shd w:val="clear" w:color="auto" w:fill="auto"/>
                  <w:vAlign w:val="center"/>
                </w:tcPr>
                <w:p w14:paraId="568C42EA">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0.0004</w:t>
                  </w:r>
                </w:p>
              </w:tc>
              <w:tc>
                <w:tcPr>
                  <w:tcW w:w="565" w:type="pct"/>
                  <w:shd w:val="clear" w:color="auto" w:fill="auto"/>
                  <w:vAlign w:val="center"/>
                </w:tcPr>
                <w:p w14:paraId="6806A2BD">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0.0004</w:t>
                  </w:r>
                </w:p>
              </w:tc>
              <w:tc>
                <w:tcPr>
                  <w:tcW w:w="513" w:type="pct"/>
                  <w:shd w:val="clear" w:color="auto" w:fill="auto"/>
                  <w:vAlign w:val="center"/>
                </w:tcPr>
                <w:p w14:paraId="64B59606">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lang w:val="en-US" w:eastAsia="zh-CN"/>
                    </w:rPr>
                    <w:t>t/a</w:t>
                  </w:r>
                </w:p>
              </w:tc>
              <w:tc>
                <w:tcPr>
                  <w:tcW w:w="559" w:type="pct"/>
                  <w:shd w:val="clear" w:color="auto" w:fill="auto"/>
                  <w:vAlign w:val="center"/>
                </w:tcPr>
                <w:p w14:paraId="0F00D93D">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7"/>
                      <w:sz w:val="21"/>
                      <w:szCs w:val="21"/>
                      <w:u w:val="none" w:color="auto"/>
                    </w:rPr>
                    <w:t>500</w:t>
                  </w:r>
                  <w:r>
                    <w:rPr>
                      <w:rFonts w:hint="default" w:ascii="Times New Roman" w:hAnsi="Times New Roman" w:eastAsia="宋体" w:cs="Times New Roman"/>
                      <w:b w:val="0"/>
                      <w:bCs/>
                      <w:color w:val="auto"/>
                      <w:sz w:val="21"/>
                      <w:szCs w:val="21"/>
                      <w:u w:val="none" w:color="auto"/>
                    </w:rPr>
                    <w:t>mL</w:t>
                  </w:r>
                  <w:r>
                    <w:rPr>
                      <w:rFonts w:hint="default" w:ascii="Times New Roman" w:hAnsi="Times New Roman" w:eastAsia="宋体" w:cs="Times New Roman"/>
                      <w:b w:val="0"/>
                      <w:bCs/>
                      <w:color w:val="auto"/>
                      <w:spacing w:val="7"/>
                      <w:sz w:val="21"/>
                      <w:szCs w:val="21"/>
                      <w:u w:val="none" w:color="auto"/>
                    </w:rPr>
                    <w:t>/瓶，存储于</w:t>
                  </w:r>
                  <w:r>
                    <w:rPr>
                      <w:rFonts w:hint="default" w:ascii="Times New Roman" w:hAnsi="Times New Roman" w:eastAsia="宋体" w:cs="Times New Roman"/>
                      <w:b w:val="0"/>
                      <w:bCs/>
                      <w:color w:val="auto"/>
                      <w:spacing w:val="6"/>
                      <w:sz w:val="21"/>
                      <w:szCs w:val="21"/>
                      <w:u w:val="none" w:color="auto"/>
                      <w:lang w:val="en-US" w:eastAsia="zh-CN"/>
                    </w:rPr>
                    <w:t>实验楼器材室内</w:t>
                  </w:r>
                </w:p>
              </w:tc>
              <w:tc>
                <w:tcPr>
                  <w:tcW w:w="276" w:type="pct"/>
                  <w:shd w:val="clear" w:color="auto" w:fill="auto"/>
                  <w:vAlign w:val="center"/>
                </w:tcPr>
                <w:p w14:paraId="277066EE">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0"/>
                      <w:sz w:val="21"/>
                      <w:szCs w:val="21"/>
                      <w:u w:val="none" w:color="auto"/>
                    </w:rPr>
                    <w:t>1瓶</w:t>
                  </w:r>
                </w:p>
              </w:tc>
              <w:tc>
                <w:tcPr>
                  <w:tcW w:w="270" w:type="pct"/>
                  <w:shd w:val="clear" w:color="auto" w:fill="auto"/>
                  <w:vAlign w:val="center"/>
                </w:tcPr>
                <w:p w14:paraId="0574AFB3">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rPr>
                    <w:t>3个月</w:t>
                  </w:r>
                </w:p>
              </w:tc>
              <w:tc>
                <w:tcPr>
                  <w:tcW w:w="742" w:type="pct"/>
                  <w:shd w:val="clear" w:color="auto" w:fill="auto"/>
                  <w:vAlign w:val="center"/>
                </w:tcPr>
                <w:p w14:paraId="6478F30B">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rPr>
                    <w:fldChar w:fldCharType="begin"/>
                  </w:r>
                  <w:r>
                    <w:rPr>
                      <w:rFonts w:hint="default" w:ascii="Times New Roman" w:hAnsi="Times New Roman" w:eastAsia="宋体" w:cs="Times New Roman"/>
                      <w:b w:val="0"/>
                      <w:bCs/>
                      <w:color w:val="auto"/>
                      <w:spacing w:val="1"/>
                      <w:sz w:val="21"/>
                      <w:szCs w:val="21"/>
                      <w:u w:val="none" w:color="auto"/>
                    </w:rPr>
                    <w:instrText xml:space="preserve"> HYPERLINK "https://www.chemsrc.com/baike/81412.html" \t "https://www.chemsrc.com/searchResult/%25E7%259B%2590%25E9%2585%25B8/_blank" </w:instrText>
                  </w:r>
                  <w:r>
                    <w:rPr>
                      <w:rFonts w:hint="default" w:ascii="Times New Roman" w:hAnsi="Times New Roman" w:eastAsia="宋体" w:cs="Times New Roman"/>
                      <w:b w:val="0"/>
                      <w:bCs/>
                      <w:color w:val="auto"/>
                      <w:spacing w:val="1"/>
                      <w:sz w:val="21"/>
                      <w:szCs w:val="21"/>
                      <w:u w:val="none" w:color="auto"/>
                    </w:rPr>
                    <w:fldChar w:fldCharType="separate"/>
                  </w:r>
                  <w:r>
                    <w:rPr>
                      <w:rFonts w:hint="default" w:ascii="Times New Roman" w:hAnsi="Times New Roman" w:eastAsia="宋体" w:cs="Times New Roman"/>
                      <w:b w:val="0"/>
                      <w:bCs/>
                      <w:color w:val="auto"/>
                      <w:spacing w:val="1"/>
                      <w:sz w:val="21"/>
                      <w:szCs w:val="21"/>
                      <w:u w:val="none" w:color="auto"/>
                    </w:rPr>
                    <w:t>7647-01-0</w:t>
                  </w:r>
                  <w:r>
                    <w:rPr>
                      <w:rFonts w:hint="default" w:ascii="Times New Roman" w:hAnsi="Times New Roman" w:eastAsia="宋体" w:cs="Times New Roman"/>
                      <w:b w:val="0"/>
                      <w:bCs/>
                      <w:color w:val="auto"/>
                      <w:spacing w:val="1"/>
                      <w:sz w:val="21"/>
                      <w:szCs w:val="21"/>
                      <w:u w:val="none" w:color="auto"/>
                    </w:rPr>
                    <w:fldChar w:fldCharType="end"/>
                  </w:r>
                </w:p>
              </w:tc>
              <w:tc>
                <w:tcPr>
                  <w:tcW w:w="399" w:type="pct"/>
                  <w:shd w:val="clear" w:color="auto" w:fill="auto"/>
                  <w:vAlign w:val="center"/>
                </w:tcPr>
                <w:p w14:paraId="45163C5B">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lang w:val="en-US" w:eastAsia="zh-CN"/>
                    </w:rPr>
                    <w:t>外购</w:t>
                  </w:r>
                </w:p>
              </w:tc>
            </w:tr>
            <w:tr w14:paraId="43FC8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2" w:type="pct"/>
                  <w:vMerge w:val="continue"/>
                  <w:shd w:val="clear" w:color="auto" w:fill="auto"/>
                  <w:vAlign w:val="center"/>
                </w:tcPr>
                <w:p w14:paraId="4DA6B3F8">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p>
              </w:tc>
              <w:tc>
                <w:tcPr>
                  <w:tcW w:w="278" w:type="pct"/>
                  <w:shd w:val="clear" w:color="auto" w:fill="auto"/>
                  <w:vAlign w:val="center"/>
                </w:tcPr>
                <w:p w14:paraId="37D77BB8">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3"/>
                      <w:sz w:val="21"/>
                      <w:szCs w:val="21"/>
                      <w:u w:val="none" w:color="auto"/>
                    </w:rPr>
                    <w:t>氯水</w:t>
                  </w:r>
                </w:p>
              </w:tc>
              <w:tc>
                <w:tcPr>
                  <w:tcW w:w="565" w:type="pct"/>
                  <w:shd w:val="clear" w:color="auto" w:fill="auto"/>
                  <w:vAlign w:val="center"/>
                </w:tcPr>
                <w:p w14:paraId="21B81F7F">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3"/>
                      <w:sz w:val="21"/>
                      <w:szCs w:val="21"/>
                      <w:u w:val="none" w:color="auto"/>
                    </w:rPr>
                  </w:pPr>
                  <w:r>
                    <w:rPr>
                      <w:rFonts w:hint="default" w:ascii="Times New Roman" w:hAnsi="Times New Roman" w:eastAsia="宋体" w:cs="Times New Roman"/>
                      <w:b w:val="0"/>
                      <w:bCs/>
                      <w:color w:val="auto"/>
                      <w:spacing w:val="3"/>
                      <w:sz w:val="21"/>
                      <w:szCs w:val="21"/>
                      <w:u w:val="none" w:color="auto"/>
                      <w:lang w:val="en-US" w:eastAsia="zh-CN"/>
                    </w:rPr>
                    <w:t>0</w:t>
                  </w:r>
                </w:p>
              </w:tc>
              <w:tc>
                <w:tcPr>
                  <w:tcW w:w="565" w:type="pct"/>
                  <w:shd w:val="clear" w:color="auto" w:fill="auto"/>
                  <w:vAlign w:val="center"/>
                </w:tcPr>
                <w:p w14:paraId="3B7DAFA2">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0.0002</w:t>
                  </w:r>
                </w:p>
              </w:tc>
              <w:tc>
                <w:tcPr>
                  <w:tcW w:w="565" w:type="pct"/>
                  <w:shd w:val="clear" w:color="auto" w:fill="auto"/>
                  <w:vAlign w:val="center"/>
                </w:tcPr>
                <w:p w14:paraId="19139601">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0.0002</w:t>
                  </w:r>
                </w:p>
              </w:tc>
              <w:tc>
                <w:tcPr>
                  <w:tcW w:w="513" w:type="pct"/>
                  <w:shd w:val="clear" w:color="auto" w:fill="auto"/>
                  <w:vAlign w:val="center"/>
                </w:tcPr>
                <w:p w14:paraId="6ADD82A8">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lang w:val="en-US" w:eastAsia="zh-CN"/>
                    </w:rPr>
                    <w:t>t/a</w:t>
                  </w:r>
                </w:p>
              </w:tc>
              <w:tc>
                <w:tcPr>
                  <w:tcW w:w="559" w:type="pct"/>
                  <w:shd w:val="clear" w:color="auto" w:fill="auto"/>
                  <w:vAlign w:val="center"/>
                </w:tcPr>
                <w:p w14:paraId="3FC588A5">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7"/>
                      <w:sz w:val="21"/>
                      <w:szCs w:val="21"/>
                      <w:u w:val="none" w:color="auto"/>
                    </w:rPr>
                    <w:t>500</w:t>
                  </w:r>
                  <w:r>
                    <w:rPr>
                      <w:rFonts w:hint="default" w:ascii="Times New Roman" w:hAnsi="Times New Roman" w:eastAsia="宋体" w:cs="Times New Roman"/>
                      <w:b w:val="0"/>
                      <w:bCs/>
                      <w:color w:val="auto"/>
                      <w:sz w:val="21"/>
                      <w:szCs w:val="21"/>
                      <w:u w:val="none" w:color="auto"/>
                    </w:rPr>
                    <w:t>mL</w:t>
                  </w:r>
                  <w:r>
                    <w:rPr>
                      <w:rFonts w:hint="default" w:ascii="Times New Roman" w:hAnsi="Times New Roman" w:eastAsia="宋体" w:cs="Times New Roman"/>
                      <w:b w:val="0"/>
                      <w:bCs/>
                      <w:color w:val="auto"/>
                      <w:spacing w:val="7"/>
                      <w:sz w:val="21"/>
                      <w:szCs w:val="21"/>
                      <w:u w:val="none" w:color="auto"/>
                    </w:rPr>
                    <w:t>/瓶，存储于</w:t>
                  </w:r>
                  <w:r>
                    <w:rPr>
                      <w:rFonts w:hint="default" w:ascii="Times New Roman" w:hAnsi="Times New Roman" w:eastAsia="宋体" w:cs="Times New Roman"/>
                      <w:b w:val="0"/>
                      <w:bCs/>
                      <w:color w:val="auto"/>
                      <w:spacing w:val="6"/>
                      <w:sz w:val="21"/>
                      <w:szCs w:val="21"/>
                      <w:u w:val="none" w:color="auto"/>
                      <w:lang w:val="en-US" w:eastAsia="zh-CN"/>
                    </w:rPr>
                    <w:t>实验楼器材室内</w:t>
                  </w:r>
                </w:p>
              </w:tc>
              <w:tc>
                <w:tcPr>
                  <w:tcW w:w="276" w:type="pct"/>
                  <w:shd w:val="clear" w:color="auto" w:fill="auto"/>
                  <w:vAlign w:val="center"/>
                </w:tcPr>
                <w:p w14:paraId="0DE1DCF9">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0"/>
                      <w:sz w:val="21"/>
                      <w:szCs w:val="21"/>
                      <w:u w:val="none" w:color="auto"/>
                    </w:rPr>
                    <w:t>1瓶</w:t>
                  </w:r>
                </w:p>
              </w:tc>
              <w:tc>
                <w:tcPr>
                  <w:tcW w:w="270" w:type="pct"/>
                  <w:shd w:val="clear" w:color="auto" w:fill="auto"/>
                  <w:vAlign w:val="center"/>
                </w:tcPr>
                <w:p w14:paraId="3AC3FC1C">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rPr>
                    <w:t>3个月</w:t>
                  </w:r>
                </w:p>
              </w:tc>
              <w:tc>
                <w:tcPr>
                  <w:tcW w:w="742" w:type="pct"/>
                  <w:shd w:val="clear" w:color="auto" w:fill="auto"/>
                  <w:vAlign w:val="center"/>
                </w:tcPr>
                <w:p w14:paraId="4A74E410">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rPr>
                    <w:t>7782-50-5</w:t>
                  </w:r>
                </w:p>
              </w:tc>
              <w:tc>
                <w:tcPr>
                  <w:tcW w:w="399" w:type="pct"/>
                  <w:shd w:val="clear" w:color="auto" w:fill="auto"/>
                  <w:vAlign w:val="center"/>
                </w:tcPr>
                <w:p w14:paraId="53D48265">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lang w:val="en-US" w:eastAsia="zh-CN"/>
                    </w:rPr>
                    <w:t>外购</w:t>
                  </w:r>
                </w:p>
              </w:tc>
            </w:tr>
            <w:tr w14:paraId="040FA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2" w:type="pct"/>
                  <w:vMerge w:val="continue"/>
                  <w:shd w:val="clear" w:color="auto" w:fill="auto"/>
                  <w:vAlign w:val="center"/>
                </w:tcPr>
                <w:p w14:paraId="29287678">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p>
              </w:tc>
              <w:tc>
                <w:tcPr>
                  <w:tcW w:w="278" w:type="pct"/>
                  <w:shd w:val="clear" w:color="auto" w:fill="auto"/>
                  <w:vAlign w:val="center"/>
                </w:tcPr>
                <w:p w14:paraId="38E2734C">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2"/>
                      <w:sz w:val="21"/>
                      <w:szCs w:val="21"/>
                      <w:u w:val="none" w:color="auto"/>
                    </w:rPr>
                    <w:t>溴水</w:t>
                  </w:r>
                </w:p>
              </w:tc>
              <w:tc>
                <w:tcPr>
                  <w:tcW w:w="565" w:type="pct"/>
                  <w:shd w:val="clear" w:color="auto" w:fill="auto"/>
                  <w:vAlign w:val="center"/>
                </w:tcPr>
                <w:p w14:paraId="0C9792DD">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2"/>
                      <w:sz w:val="21"/>
                      <w:szCs w:val="21"/>
                      <w:u w:val="none" w:color="auto"/>
                    </w:rPr>
                  </w:pPr>
                  <w:r>
                    <w:rPr>
                      <w:rFonts w:hint="default" w:ascii="Times New Roman" w:hAnsi="Times New Roman" w:eastAsia="宋体" w:cs="Times New Roman"/>
                      <w:b w:val="0"/>
                      <w:bCs/>
                      <w:color w:val="auto"/>
                      <w:spacing w:val="3"/>
                      <w:sz w:val="21"/>
                      <w:szCs w:val="21"/>
                      <w:u w:val="none" w:color="auto"/>
                      <w:lang w:val="en-US" w:eastAsia="zh-CN"/>
                    </w:rPr>
                    <w:t>0</w:t>
                  </w:r>
                </w:p>
              </w:tc>
              <w:tc>
                <w:tcPr>
                  <w:tcW w:w="565" w:type="pct"/>
                  <w:shd w:val="clear" w:color="auto" w:fill="auto"/>
                  <w:vAlign w:val="center"/>
                </w:tcPr>
                <w:p w14:paraId="1E3BF9D2">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0.0002</w:t>
                  </w:r>
                </w:p>
              </w:tc>
              <w:tc>
                <w:tcPr>
                  <w:tcW w:w="565" w:type="pct"/>
                  <w:shd w:val="clear" w:color="auto" w:fill="auto"/>
                  <w:vAlign w:val="center"/>
                </w:tcPr>
                <w:p w14:paraId="52444810">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0.0002</w:t>
                  </w:r>
                </w:p>
              </w:tc>
              <w:tc>
                <w:tcPr>
                  <w:tcW w:w="513" w:type="pct"/>
                  <w:shd w:val="clear" w:color="auto" w:fill="auto"/>
                  <w:vAlign w:val="center"/>
                </w:tcPr>
                <w:p w14:paraId="28AF5039">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lang w:val="en-US" w:eastAsia="zh-CN"/>
                    </w:rPr>
                    <w:t>t/a</w:t>
                  </w:r>
                </w:p>
              </w:tc>
              <w:tc>
                <w:tcPr>
                  <w:tcW w:w="559" w:type="pct"/>
                  <w:shd w:val="clear" w:color="auto" w:fill="auto"/>
                  <w:vAlign w:val="center"/>
                </w:tcPr>
                <w:p w14:paraId="05035090">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7"/>
                      <w:sz w:val="21"/>
                      <w:szCs w:val="21"/>
                      <w:u w:val="none" w:color="auto"/>
                    </w:rPr>
                    <w:t>500</w:t>
                  </w:r>
                  <w:r>
                    <w:rPr>
                      <w:rFonts w:hint="default" w:ascii="Times New Roman" w:hAnsi="Times New Roman" w:eastAsia="宋体" w:cs="Times New Roman"/>
                      <w:b w:val="0"/>
                      <w:bCs/>
                      <w:color w:val="auto"/>
                      <w:sz w:val="21"/>
                      <w:szCs w:val="21"/>
                      <w:u w:val="none" w:color="auto"/>
                    </w:rPr>
                    <w:t>mL</w:t>
                  </w:r>
                  <w:r>
                    <w:rPr>
                      <w:rFonts w:hint="default" w:ascii="Times New Roman" w:hAnsi="Times New Roman" w:eastAsia="宋体" w:cs="Times New Roman"/>
                      <w:b w:val="0"/>
                      <w:bCs/>
                      <w:color w:val="auto"/>
                      <w:spacing w:val="7"/>
                      <w:sz w:val="21"/>
                      <w:szCs w:val="21"/>
                      <w:u w:val="none" w:color="auto"/>
                    </w:rPr>
                    <w:t>/瓶，存储于</w:t>
                  </w:r>
                  <w:r>
                    <w:rPr>
                      <w:rFonts w:hint="default" w:ascii="Times New Roman" w:hAnsi="Times New Roman" w:eastAsia="宋体" w:cs="Times New Roman"/>
                      <w:b w:val="0"/>
                      <w:bCs/>
                      <w:color w:val="auto"/>
                      <w:spacing w:val="6"/>
                      <w:sz w:val="21"/>
                      <w:szCs w:val="21"/>
                      <w:u w:val="none" w:color="auto"/>
                      <w:lang w:val="en-US" w:eastAsia="zh-CN"/>
                    </w:rPr>
                    <w:t>实验楼器材室内</w:t>
                  </w:r>
                </w:p>
              </w:tc>
              <w:tc>
                <w:tcPr>
                  <w:tcW w:w="276" w:type="pct"/>
                  <w:shd w:val="clear" w:color="auto" w:fill="auto"/>
                  <w:vAlign w:val="center"/>
                </w:tcPr>
                <w:p w14:paraId="48140233">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0"/>
                      <w:sz w:val="21"/>
                      <w:szCs w:val="21"/>
                      <w:u w:val="none" w:color="auto"/>
                    </w:rPr>
                    <w:t>1瓶</w:t>
                  </w:r>
                </w:p>
              </w:tc>
              <w:tc>
                <w:tcPr>
                  <w:tcW w:w="270" w:type="pct"/>
                  <w:shd w:val="clear" w:color="auto" w:fill="auto"/>
                  <w:vAlign w:val="center"/>
                </w:tcPr>
                <w:p w14:paraId="69C6AD4B">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rPr>
                    <w:t>3个月</w:t>
                  </w:r>
                </w:p>
              </w:tc>
              <w:tc>
                <w:tcPr>
                  <w:tcW w:w="742" w:type="pct"/>
                  <w:shd w:val="clear" w:color="auto" w:fill="auto"/>
                  <w:vAlign w:val="center"/>
                </w:tcPr>
                <w:p w14:paraId="793114D5">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rPr>
                    <w:fldChar w:fldCharType="begin"/>
                  </w:r>
                  <w:r>
                    <w:rPr>
                      <w:rFonts w:hint="default" w:ascii="Times New Roman" w:hAnsi="Times New Roman" w:eastAsia="宋体" w:cs="Times New Roman"/>
                      <w:b w:val="0"/>
                      <w:bCs/>
                      <w:color w:val="auto"/>
                      <w:spacing w:val="1"/>
                      <w:sz w:val="21"/>
                      <w:szCs w:val="21"/>
                      <w:u w:val="none" w:color="auto"/>
                    </w:rPr>
                    <w:instrText xml:space="preserve"> HYPERLINK "https://www.chemsrc.com/baike/238065.html" \t "https://www.chemsrc.com/searchResult/%25E6%25BA%25B4%25E6%25B0%25B4/_blank" </w:instrText>
                  </w:r>
                  <w:r>
                    <w:rPr>
                      <w:rFonts w:hint="default" w:ascii="Times New Roman" w:hAnsi="Times New Roman" w:eastAsia="宋体" w:cs="Times New Roman"/>
                      <w:b w:val="0"/>
                      <w:bCs/>
                      <w:color w:val="auto"/>
                      <w:spacing w:val="1"/>
                      <w:sz w:val="21"/>
                      <w:szCs w:val="21"/>
                      <w:u w:val="none" w:color="auto"/>
                    </w:rPr>
                    <w:fldChar w:fldCharType="separate"/>
                  </w:r>
                  <w:r>
                    <w:rPr>
                      <w:rFonts w:hint="default" w:ascii="Times New Roman" w:hAnsi="Times New Roman" w:eastAsia="宋体" w:cs="Times New Roman"/>
                      <w:b w:val="0"/>
                      <w:bCs/>
                      <w:color w:val="auto"/>
                      <w:spacing w:val="1"/>
                      <w:sz w:val="21"/>
                      <w:szCs w:val="21"/>
                      <w:u w:val="none" w:color="auto"/>
                    </w:rPr>
                    <w:t>7726-95-6</w:t>
                  </w:r>
                  <w:r>
                    <w:rPr>
                      <w:rFonts w:hint="default" w:ascii="Times New Roman" w:hAnsi="Times New Roman" w:eastAsia="宋体" w:cs="Times New Roman"/>
                      <w:b w:val="0"/>
                      <w:bCs/>
                      <w:color w:val="auto"/>
                      <w:spacing w:val="1"/>
                      <w:sz w:val="21"/>
                      <w:szCs w:val="21"/>
                      <w:u w:val="none" w:color="auto"/>
                    </w:rPr>
                    <w:fldChar w:fldCharType="end"/>
                  </w:r>
                </w:p>
              </w:tc>
              <w:tc>
                <w:tcPr>
                  <w:tcW w:w="399" w:type="pct"/>
                  <w:shd w:val="clear" w:color="auto" w:fill="auto"/>
                  <w:vAlign w:val="center"/>
                </w:tcPr>
                <w:p w14:paraId="4C82EB88">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lang w:val="en-US" w:eastAsia="zh-CN"/>
                    </w:rPr>
                    <w:t>外购</w:t>
                  </w:r>
                </w:p>
              </w:tc>
            </w:tr>
            <w:tr w14:paraId="549AC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2" w:type="pct"/>
                  <w:vMerge w:val="continue"/>
                  <w:shd w:val="clear" w:color="auto" w:fill="auto"/>
                  <w:vAlign w:val="center"/>
                </w:tcPr>
                <w:p w14:paraId="1890A188">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p>
              </w:tc>
              <w:tc>
                <w:tcPr>
                  <w:tcW w:w="278" w:type="pct"/>
                  <w:shd w:val="clear" w:color="auto" w:fill="auto"/>
                  <w:vAlign w:val="center"/>
                </w:tcPr>
                <w:p w14:paraId="5994A578">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7"/>
                      <w:sz w:val="21"/>
                      <w:szCs w:val="21"/>
                      <w:u w:val="none" w:color="auto"/>
                    </w:rPr>
                    <w:t>氢氧化钾</w:t>
                  </w:r>
                </w:p>
              </w:tc>
              <w:tc>
                <w:tcPr>
                  <w:tcW w:w="565" w:type="pct"/>
                  <w:shd w:val="clear" w:color="auto" w:fill="auto"/>
                  <w:vAlign w:val="center"/>
                </w:tcPr>
                <w:p w14:paraId="3129F531">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7"/>
                      <w:sz w:val="21"/>
                      <w:szCs w:val="21"/>
                      <w:u w:val="none" w:color="auto"/>
                    </w:rPr>
                  </w:pPr>
                  <w:r>
                    <w:rPr>
                      <w:rFonts w:hint="default" w:ascii="Times New Roman" w:hAnsi="Times New Roman" w:eastAsia="宋体" w:cs="Times New Roman"/>
                      <w:b w:val="0"/>
                      <w:bCs/>
                      <w:color w:val="auto"/>
                      <w:spacing w:val="3"/>
                      <w:sz w:val="21"/>
                      <w:szCs w:val="21"/>
                      <w:u w:val="none" w:color="auto"/>
                      <w:lang w:val="en-US" w:eastAsia="zh-CN"/>
                    </w:rPr>
                    <w:t>0</w:t>
                  </w:r>
                </w:p>
              </w:tc>
              <w:tc>
                <w:tcPr>
                  <w:tcW w:w="565" w:type="pct"/>
                  <w:shd w:val="clear" w:color="auto" w:fill="auto"/>
                  <w:vAlign w:val="center"/>
                </w:tcPr>
                <w:p w14:paraId="787F50E2">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0.0001</w:t>
                  </w:r>
                </w:p>
              </w:tc>
              <w:tc>
                <w:tcPr>
                  <w:tcW w:w="565" w:type="pct"/>
                  <w:shd w:val="clear" w:color="auto" w:fill="auto"/>
                  <w:vAlign w:val="center"/>
                </w:tcPr>
                <w:p w14:paraId="236EC690">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0.0001</w:t>
                  </w:r>
                </w:p>
              </w:tc>
              <w:tc>
                <w:tcPr>
                  <w:tcW w:w="513" w:type="pct"/>
                  <w:shd w:val="clear" w:color="auto" w:fill="auto"/>
                  <w:vAlign w:val="center"/>
                </w:tcPr>
                <w:p w14:paraId="54625661">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lang w:val="en-US" w:eastAsia="zh-CN"/>
                    </w:rPr>
                    <w:t>t/a</w:t>
                  </w:r>
                </w:p>
              </w:tc>
              <w:tc>
                <w:tcPr>
                  <w:tcW w:w="559" w:type="pct"/>
                  <w:shd w:val="clear" w:color="auto" w:fill="auto"/>
                  <w:vAlign w:val="center"/>
                </w:tcPr>
                <w:p w14:paraId="5298E8E5">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7"/>
                      <w:sz w:val="21"/>
                      <w:szCs w:val="21"/>
                      <w:u w:val="none" w:color="auto"/>
                    </w:rPr>
                    <w:t>500</w:t>
                  </w:r>
                  <w:r>
                    <w:rPr>
                      <w:rFonts w:hint="default" w:ascii="Times New Roman" w:hAnsi="Times New Roman" w:eastAsia="宋体" w:cs="Times New Roman"/>
                      <w:b w:val="0"/>
                      <w:bCs/>
                      <w:color w:val="auto"/>
                      <w:sz w:val="21"/>
                      <w:szCs w:val="21"/>
                      <w:u w:val="none" w:color="auto"/>
                    </w:rPr>
                    <w:t>mL</w:t>
                  </w:r>
                  <w:r>
                    <w:rPr>
                      <w:rFonts w:hint="default" w:ascii="Times New Roman" w:hAnsi="Times New Roman" w:eastAsia="宋体" w:cs="Times New Roman"/>
                      <w:b w:val="0"/>
                      <w:bCs/>
                      <w:color w:val="auto"/>
                      <w:spacing w:val="7"/>
                      <w:sz w:val="21"/>
                      <w:szCs w:val="21"/>
                      <w:u w:val="none" w:color="auto"/>
                    </w:rPr>
                    <w:t>/瓶，存储于</w:t>
                  </w:r>
                  <w:r>
                    <w:rPr>
                      <w:rFonts w:hint="default" w:ascii="Times New Roman" w:hAnsi="Times New Roman" w:eastAsia="宋体" w:cs="Times New Roman"/>
                      <w:b w:val="0"/>
                      <w:bCs/>
                      <w:color w:val="auto"/>
                      <w:spacing w:val="6"/>
                      <w:sz w:val="21"/>
                      <w:szCs w:val="21"/>
                      <w:u w:val="none" w:color="auto"/>
                      <w:lang w:val="en-US" w:eastAsia="zh-CN"/>
                    </w:rPr>
                    <w:t>实验楼器材室内</w:t>
                  </w:r>
                </w:p>
              </w:tc>
              <w:tc>
                <w:tcPr>
                  <w:tcW w:w="276" w:type="pct"/>
                  <w:shd w:val="clear" w:color="auto" w:fill="auto"/>
                  <w:vAlign w:val="center"/>
                </w:tcPr>
                <w:p w14:paraId="1F899910">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0"/>
                      <w:sz w:val="21"/>
                      <w:szCs w:val="21"/>
                      <w:u w:val="none" w:color="auto"/>
                    </w:rPr>
                    <w:t>1瓶</w:t>
                  </w:r>
                </w:p>
              </w:tc>
              <w:tc>
                <w:tcPr>
                  <w:tcW w:w="270" w:type="pct"/>
                  <w:shd w:val="clear" w:color="auto" w:fill="auto"/>
                  <w:vAlign w:val="center"/>
                </w:tcPr>
                <w:p w14:paraId="3AB208EC">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rPr>
                    <w:t>3个月</w:t>
                  </w:r>
                </w:p>
              </w:tc>
              <w:tc>
                <w:tcPr>
                  <w:tcW w:w="742" w:type="pct"/>
                  <w:shd w:val="clear" w:color="auto" w:fill="auto"/>
                  <w:vAlign w:val="center"/>
                </w:tcPr>
                <w:p w14:paraId="3CE56CA1">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rPr>
                    <w:fldChar w:fldCharType="begin"/>
                  </w:r>
                  <w:r>
                    <w:rPr>
                      <w:rFonts w:hint="default" w:ascii="Times New Roman" w:hAnsi="Times New Roman" w:eastAsia="宋体" w:cs="Times New Roman"/>
                      <w:b w:val="0"/>
                      <w:bCs/>
                      <w:color w:val="auto"/>
                      <w:spacing w:val="1"/>
                      <w:sz w:val="21"/>
                      <w:szCs w:val="21"/>
                      <w:u w:val="none" w:color="auto"/>
                    </w:rPr>
                    <w:instrText xml:space="preserve"> HYPERLINK "https://www.chemsrc.com/baike/951883.html" \t "https://www.chemsrc.com/searchResult/%25E6%25B0%25A2%25E6%25B0%25A7%25E5%258C%2596%25E9%2592%25BE/_blank" </w:instrText>
                  </w:r>
                  <w:r>
                    <w:rPr>
                      <w:rFonts w:hint="default" w:ascii="Times New Roman" w:hAnsi="Times New Roman" w:eastAsia="宋体" w:cs="Times New Roman"/>
                      <w:b w:val="0"/>
                      <w:bCs/>
                      <w:color w:val="auto"/>
                      <w:spacing w:val="1"/>
                      <w:sz w:val="21"/>
                      <w:szCs w:val="21"/>
                      <w:u w:val="none" w:color="auto"/>
                    </w:rPr>
                    <w:fldChar w:fldCharType="separate"/>
                  </w:r>
                  <w:r>
                    <w:rPr>
                      <w:rFonts w:hint="default" w:ascii="Times New Roman" w:hAnsi="Times New Roman" w:eastAsia="宋体" w:cs="Times New Roman"/>
                      <w:b w:val="0"/>
                      <w:bCs/>
                      <w:color w:val="auto"/>
                      <w:spacing w:val="1"/>
                      <w:sz w:val="21"/>
                      <w:szCs w:val="21"/>
                      <w:u w:val="none" w:color="auto"/>
                    </w:rPr>
                    <w:t>1310-58-3</w:t>
                  </w:r>
                  <w:r>
                    <w:rPr>
                      <w:rFonts w:hint="default" w:ascii="Times New Roman" w:hAnsi="Times New Roman" w:eastAsia="宋体" w:cs="Times New Roman"/>
                      <w:b w:val="0"/>
                      <w:bCs/>
                      <w:color w:val="auto"/>
                      <w:spacing w:val="1"/>
                      <w:sz w:val="21"/>
                      <w:szCs w:val="21"/>
                      <w:u w:val="none" w:color="auto"/>
                    </w:rPr>
                    <w:fldChar w:fldCharType="end"/>
                  </w:r>
                </w:p>
              </w:tc>
              <w:tc>
                <w:tcPr>
                  <w:tcW w:w="399" w:type="pct"/>
                  <w:shd w:val="clear" w:color="auto" w:fill="auto"/>
                  <w:vAlign w:val="center"/>
                </w:tcPr>
                <w:p w14:paraId="008CEC12">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lang w:val="en-US" w:eastAsia="zh-CN"/>
                    </w:rPr>
                    <w:t>外购</w:t>
                  </w:r>
                </w:p>
              </w:tc>
            </w:tr>
            <w:tr w14:paraId="55EBE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2" w:type="pct"/>
                  <w:vMerge w:val="continue"/>
                  <w:shd w:val="clear" w:color="auto" w:fill="auto"/>
                  <w:vAlign w:val="center"/>
                </w:tcPr>
                <w:p w14:paraId="1C86B7E7">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p>
              </w:tc>
              <w:tc>
                <w:tcPr>
                  <w:tcW w:w="278" w:type="pct"/>
                  <w:shd w:val="clear" w:color="auto" w:fill="auto"/>
                  <w:vAlign w:val="center"/>
                </w:tcPr>
                <w:p w14:paraId="144D43A2">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5"/>
                      <w:sz w:val="21"/>
                      <w:szCs w:val="21"/>
                      <w:u w:val="none" w:color="auto"/>
                    </w:rPr>
                    <w:t>高锰酸钾</w:t>
                  </w:r>
                </w:p>
              </w:tc>
              <w:tc>
                <w:tcPr>
                  <w:tcW w:w="565" w:type="pct"/>
                  <w:shd w:val="clear" w:color="auto" w:fill="auto"/>
                  <w:vAlign w:val="center"/>
                </w:tcPr>
                <w:p w14:paraId="4E194682">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5"/>
                      <w:sz w:val="21"/>
                      <w:szCs w:val="21"/>
                      <w:u w:val="none" w:color="auto"/>
                    </w:rPr>
                  </w:pPr>
                  <w:r>
                    <w:rPr>
                      <w:rFonts w:hint="default" w:ascii="Times New Roman" w:hAnsi="Times New Roman" w:eastAsia="宋体" w:cs="Times New Roman"/>
                      <w:b w:val="0"/>
                      <w:bCs/>
                      <w:color w:val="auto"/>
                      <w:spacing w:val="3"/>
                      <w:sz w:val="21"/>
                      <w:szCs w:val="21"/>
                      <w:u w:val="none" w:color="auto"/>
                      <w:lang w:val="en-US" w:eastAsia="zh-CN"/>
                    </w:rPr>
                    <w:t>0</w:t>
                  </w:r>
                </w:p>
              </w:tc>
              <w:tc>
                <w:tcPr>
                  <w:tcW w:w="565" w:type="pct"/>
                  <w:shd w:val="clear" w:color="auto" w:fill="auto"/>
                  <w:vAlign w:val="center"/>
                </w:tcPr>
                <w:p w14:paraId="6C63939E">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0.0004</w:t>
                  </w:r>
                </w:p>
              </w:tc>
              <w:tc>
                <w:tcPr>
                  <w:tcW w:w="565" w:type="pct"/>
                  <w:shd w:val="clear" w:color="auto" w:fill="auto"/>
                  <w:vAlign w:val="center"/>
                </w:tcPr>
                <w:p w14:paraId="4E1E9168">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0.0004</w:t>
                  </w:r>
                </w:p>
              </w:tc>
              <w:tc>
                <w:tcPr>
                  <w:tcW w:w="513" w:type="pct"/>
                  <w:shd w:val="clear" w:color="auto" w:fill="auto"/>
                  <w:vAlign w:val="center"/>
                </w:tcPr>
                <w:p w14:paraId="437067D7">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lang w:val="en-US" w:eastAsia="zh-CN"/>
                    </w:rPr>
                    <w:t>t/a</w:t>
                  </w:r>
                </w:p>
              </w:tc>
              <w:tc>
                <w:tcPr>
                  <w:tcW w:w="559" w:type="pct"/>
                  <w:shd w:val="clear" w:color="auto" w:fill="auto"/>
                  <w:vAlign w:val="center"/>
                </w:tcPr>
                <w:p w14:paraId="4363B9F1">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7"/>
                      <w:sz w:val="21"/>
                      <w:szCs w:val="21"/>
                      <w:u w:val="none" w:color="auto"/>
                    </w:rPr>
                    <w:t>500</w:t>
                  </w:r>
                  <w:r>
                    <w:rPr>
                      <w:rFonts w:hint="default" w:ascii="Times New Roman" w:hAnsi="Times New Roman" w:eastAsia="宋体" w:cs="Times New Roman"/>
                      <w:b w:val="0"/>
                      <w:bCs/>
                      <w:color w:val="auto"/>
                      <w:sz w:val="21"/>
                      <w:szCs w:val="21"/>
                      <w:u w:val="none" w:color="auto"/>
                    </w:rPr>
                    <w:t>mL</w:t>
                  </w:r>
                  <w:r>
                    <w:rPr>
                      <w:rFonts w:hint="default" w:ascii="Times New Roman" w:hAnsi="Times New Roman" w:eastAsia="宋体" w:cs="Times New Roman"/>
                      <w:b w:val="0"/>
                      <w:bCs/>
                      <w:color w:val="auto"/>
                      <w:spacing w:val="7"/>
                      <w:sz w:val="21"/>
                      <w:szCs w:val="21"/>
                      <w:u w:val="none" w:color="auto"/>
                    </w:rPr>
                    <w:t>/瓶，存储于</w:t>
                  </w:r>
                  <w:r>
                    <w:rPr>
                      <w:rFonts w:hint="default" w:ascii="Times New Roman" w:hAnsi="Times New Roman" w:eastAsia="宋体" w:cs="Times New Roman"/>
                      <w:b w:val="0"/>
                      <w:bCs/>
                      <w:color w:val="auto"/>
                      <w:spacing w:val="6"/>
                      <w:sz w:val="21"/>
                      <w:szCs w:val="21"/>
                      <w:u w:val="none" w:color="auto"/>
                      <w:lang w:val="en-US" w:eastAsia="zh-CN"/>
                    </w:rPr>
                    <w:t>实验楼器材室内</w:t>
                  </w:r>
                </w:p>
              </w:tc>
              <w:tc>
                <w:tcPr>
                  <w:tcW w:w="276" w:type="pct"/>
                  <w:shd w:val="clear" w:color="auto" w:fill="auto"/>
                  <w:vAlign w:val="center"/>
                </w:tcPr>
                <w:p w14:paraId="18460134">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0"/>
                      <w:sz w:val="21"/>
                      <w:szCs w:val="21"/>
                      <w:u w:val="none" w:color="auto"/>
                    </w:rPr>
                    <w:t>1瓶</w:t>
                  </w:r>
                </w:p>
              </w:tc>
              <w:tc>
                <w:tcPr>
                  <w:tcW w:w="270" w:type="pct"/>
                  <w:shd w:val="clear" w:color="auto" w:fill="auto"/>
                  <w:vAlign w:val="center"/>
                </w:tcPr>
                <w:p w14:paraId="39D6E6E7">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rPr>
                    <w:t>3个月</w:t>
                  </w:r>
                </w:p>
              </w:tc>
              <w:tc>
                <w:tcPr>
                  <w:tcW w:w="742" w:type="pct"/>
                  <w:shd w:val="clear" w:color="auto" w:fill="auto"/>
                  <w:vAlign w:val="center"/>
                </w:tcPr>
                <w:p w14:paraId="0E9C34EB">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rPr>
                    <w:fldChar w:fldCharType="begin"/>
                  </w:r>
                  <w:r>
                    <w:rPr>
                      <w:rFonts w:hint="default" w:ascii="Times New Roman" w:hAnsi="Times New Roman" w:eastAsia="宋体" w:cs="Times New Roman"/>
                      <w:b w:val="0"/>
                      <w:bCs/>
                      <w:color w:val="auto"/>
                      <w:spacing w:val="1"/>
                      <w:sz w:val="21"/>
                      <w:szCs w:val="21"/>
                      <w:u w:val="none" w:color="auto"/>
                    </w:rPr>
                    <w:instrText xml:space="preserve"> HYPERLINK "https://www.chemsrc.com/baike/895917.html" \t "https://www.chemsrc.com/searchResult/%25E9%25AB%2598%25E9%2594%25B0%25E9%2585%25B8%25E9%2592%25BE/_blank" </w:instrText>
                  </w:r>
                  <w:r>
                    <w:rPr>
                      <w:rFonts w:hint="default" w:ascii="Times New Roman" w:hAnsi="Times New Roman" w:eastAsia="宋体" w:cs="Times New Roman"/>
                      <w:b w:val="0"/>
                      <w:bCs/>
                      <w:color w:val="auto"/>
                      <w:spacing w:val="1"/>
                      <w:sz w:val="21"/>
                      <w:szCs w:val="21"/>
                      <w:u w:val="none" w:color="auto"/>
                    </w:rPr>
                    <w:fldChar w:fldCharType="separate"/>
                  </w:r>
                  <w:r>
                    <w:rPr>
                      <w:rFonts w:hint="default" w:ascii="Times New Roman" w:hAnsi="Times New Roman" w:eastAsia="宋体" w:cs="Times New Roman"/>
                      <w:b w:val="0"/>
                      <w:bCs/>
                      <w:color w:val="auto"/>
                      <w:spacing w:val="1"/>
                      <w:sz w:val="21"/>
                      <w:szCs w:val="21"/>
                      <w:u w:val="none" w:color="auto"/>
                    </w:rPr>
                    <w:t>7722-64-7</w:t>
                  </w:r>
                  <w:r>
                    <w:rPr>
                      <w:rFonts w:hint="default" w:ascii="Times New Roman" w:hAnsi="Times New Roman" w:eastAsia="宋体" w:cs="Times New Roman"/>
                      <w:b w:val="0"/>
                      <w:bCs/>
                      <w:color w:val="auto"/>
                      <w:spacing w:val="1"/>
                      <w:sz w:val="21"/>
                      <w:szCs w:val="21"/>
                      <w:u w:val="none" w:color="auto"/>
                    </w:rPr>
                    <w:fldChar w:fldCharType="end"/>
                  </w:r>
                </w:p>
              </w:tc>
              <w:tc>
                <w:tcPr>
                  <w:tcW w:w="399" w:type="pct"/>
                  <w:shd w:val="clear" w:color="auto" w:fill="auto"/>
                  <w:vAlign w:val="center"/>
                </w:tcPr>
                <w:p w14:paraId="06B5DF0A">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lang w:val="en-US" w:eastAsia="zh-CN"/>
                    </w:rPr>
                    <w:t>外购</w:t>
                  </w:r>
                </w:p>
              </w:tc>
            </w:tr>
            <w:tr w14:paraId="7CC82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2" w:type="pct"/>
                  <w:vMerge w:val="continue"/>
                  <w:shd w:val="clear" w:color="auto" w:fill="auto"/>
                  <w:vAlign w:val="center"/>
                </w:tcPr>
                <w:p w14:paraId="2C6ABC74">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p>
              </w:tc>
              <w:tc>
                <w:tcPr>
                  <w:tcW w:w="278" w:type="pct"/>
                  <w:shd w:val="clear" w:color="auto" w:fill="auto"/>
                  <w:vAlign w:val="center"/>
                </w:tcPr>
                <w:p w14:paraId="1EFC6048">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7"/>
                      <w:sz w:val="21"/>
                      <w:szCs w:val="21"/>
                      <w:u w:val="none" w:color="auto"/>
                    </w:rPr>
                    <w:t>氢氧化钠</w:t>
                  </w:r>
                </w:p>
              </w:tc>
              <w:tc>
                <w:tcPr>
                  <w:tcW w:w="565" w:type="pct"/>
                  <w:shd w:val="clear" w:color="auto" w:fill="auto"/>
                  <w:vAlign w:val="center"/>
                </w:tcPr>
                <w:p w14:paraId="2FEFF873">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7"/>
                      <w:sz w:val="21"/>
                      <w:szCs w:val="21"/>
                      <w:u w:val="none" w:color="auto"/>
                    </w:rPr>
                  </w:pPr>
                  <w:r>
                    <w:rPr>
                      <w:rFonts w:hint="default" w:ascii="Times New Roman" w:hAnsi="Times New Roman" w:eastAsia="宋体" w:cs="Times New Roman"/>
                      <w:b w:val="0"/>
                      <w:bCs/>
                      <w:color w:val="auto"/>
                      <w:spacing w:val="3"/>
                      <w:sz w:val="21"/>
                      <w:szCs w:val="21"/>
                      <w:u w:val="none" w:color="auto"/>
                      <w:lang w:val="en-US" w:eastAsia="zh-CN"/>
                    </w:rPr>
                    <w:t>0</w:t>
                  </w:r>
                </w:p>
              </w:tc>
              <w:tc>
                <w:tcPr>
                  <w:tcW w:w="565" w:type="pct"/>
                  <w:shd w:val="clear" w:color="auto" w:fill="auto"/>
                  <w:vAlign w:val="center"/>
                </w:tcPr>
                <w:p w14:paraId="240F8927">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0.0003</w:t>
                  </w:r>
                </w:p>
              </w:tc>
              <w:tc>
                <w:tcPr>
                  <w:tcW w:w="565" w:type="pct"/>
                  <w:shd w:val="clear" w:color="auto" w:fill="auto"/>
                  <w:vAlign w:val="center"/>
                </w:tcPr>
                <w:p w14:paraId="4593C227">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0.0003</w:t>
                  </w:r>
                </w:p>
              </w:tc>
              <w:tc>
                <w:tcPr>
                  <w:tcW w:w="513" w:type="pct"/>
                  <w:shd w:val="clear" w:color="auto" w:fill="auto"/>
                  <w:vAlign w:val="center"/>
                </w:tcPr>
                <w:p w14:paraId="2A72C71D">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lang w:val="en-US" w:eastAsia="zh-CN"/>
                    </w:rPr>
                    <w:t>t/a</w:t>
                  </w:r>
                </w:p>
              </w:tc>
              <w:tc>
                <w:tcPr>
                  <w:tcW w:w="559" w:type="pct"/>
                  <w:shd w:val="clear" w:color="auto" w:fill="auto"/>
                  <w:vAlign w:val="center"/>
                </w:tcPr>
                <w:p w14:paraId="369EA5E0">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7"/>
                      <w:sz w:val="21"/>
                      <w:szCs w:val="21"/>
                      <w:u w:val="none" w:color="auto"/>
                    </w:rPr>
                    <w:t>500</w:t>
                  </w:r>
                  <w:r>
                    <w:rPr>
                      <w:rFonts w:hint="default" w:ascii="Times New Roman" w:hAnsi="Times New Roman" w:eastAsia="宋体" w:cs="Times New Roman"/>
                      <w:b w:val="0"/>
                      <w:bCs/>
                      <w:color w:val="auto"/>
                      <w:sz w:val="21"/>
                      <w:szCs w:val="21"/>
                      <w:u w:val="none" w:color="auto"/>
                    </w:rPr>
                    <w:t>mL</w:t>
                  </w:r>
                  <w:r>
                    <w:rPr>
                      <w:rFonts w:hint="default" w:ascii="Times New Roman" w:hAnsi="Times New Roman" w:eastAsia="宋体" w:cs="Times New Roman"/>
                      <w:b w:val="0"/>
                      <w:bCs/>
                      <w:color w:val="auto"/>
                      <w:spacing w:val="7"/>
                      <w:sz w:val="21"/>
                      <w:szCs w:val="21"/>
                      <w:u w:val="none" w:color="auto"/>
                    </w:rPr>
                    <w:t>/瓶，存储于</w:t>
                  </w:r>
                  <w:r>
                    <w:rPr>
                      <w:rFonts w:hint="default" w:ascii="Times New Roman" w:hAnsi="Times New Roman" w:eastAsia="宋体" w:cs="Times New Roman"/>
                      <w:b w:val="0"/>
                      <w:bCs/>
                      <w:color w:val="auto"/>
                      <w:spacing w:val="6"/>
                      <w:sz w:val="21"/>
                      <w:szCs w:val="21"/>
                      <w:u w:val="none" w:color="auto"/>
                      <w:lang w:val="en-US" w:eastAsia="zh-CN"/>
                    </w:rPr>
                    <w:t>实验楼器材室内</w:t>
                  </w:r>
                </w:p>
              </w:tc>
              <w:tc>
                <w:tcPr>
                  <w:tcW w:w="276" w:type="pct"/>
                  <w:shd w:val="clear" w:color="auto" w:fill="auto"/>
                  <w:vAlign w:val="center"/>
                </w:tcPr>
                <w:p w14:paraId="1E3AEB25">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0"/>
                      <w:sz w:val="21"/>
                      <w:szCs w:val="21"/>
                      <w:u w:val="none" w:color="auto"/>
                    </w:rPr>
                    <w:t>1瓶</w:t>
                  </w:r>
                </w:p>
              </w:tc>
              <w:tc>
                <w:tcPr>
                  <w:tcW w:w="270" w:type="pct"/>
                  <w:shd w:val="clear" w:color="auto" w:fill="auto"/>
                  <w:vAlign w:val="center"/>
                </w:tcPr>
                <w:p w14:paraId="41F5E983">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rPr>
                    <w:t>3个月</w:t>
                  </w:r>
                </w:p>
              </w:tc>
              <w:tc>
                <w:tcPr>
                  <w:tcW w:w="742" w:type="pct"/>
                  <w:shd w:val="clear" w:color="auto" w:fill="auto"/>
                  <w:vAlign w:val="center"/>
                </w:tcPr>
                <w:p w14:paraId="3BCA011C">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rPr>
                    <w:fldChar w:fldCharType="begin"/>
                  </w:r>
                  <w:r>
                    <w:rPr>
                      <w:rFonts w:hint="default" w:ascii="Times New Roman" w:hAnsi="Times New Roman" w:eastAsia="宋体" w:cs="Times New Roman"/>
                      <w:b w:val="0"/>
                      <w:bCs/>
                      <w:color w:val="auto"/>
                      <w:spacing w:val="1"/>
                      <w:sz w:val="21"/>
                      <w:szCs w:val="21"/>
                      <w:u w:val="none" w:color="auto"/>
                    </w:rPr>
                    <w:instrText xml:space="preserve"> HYPERLINK "https://www.chemsrc.com/baike/951950.html" \t "https://www.chemsrc.com/searchResult/%25E6%25B0%25A2%25E6%25B0%25A7%25E5%258C%2596%25E9%2592%25A0/_blank" </w:instrText>
                  </w:r>
                  <w:r>
                    <w:rPr>
                      <w:rFonts w:hint="default" w:ascii="Times New Roman" w:hAnsi="Times New Roman" w:eastAsia="宋体" w:cs="Times New Roman"/>
                      <w:b w:val="0"/>
                      <w:bCs/>
                      <w:color w:val="auto"/>
                      <w:spacing w:val="1"/>
                      <w:sz w:val="21"/>
                      <w:szCs w:val="21"/>
                      <w:u w:val="none" w:color="auto"/>
                    </w:rPr>
                    <w:fldChar w:fldCharType="separate"/>
                  </w:r>
                  <w:r>
                    <w:rPr>
                      <w:rFonts w:hint="default" w:ascii="Times New Roman" w:hAnsi="Times New Roman" w:eastAsia="宋体" w:cs="Times New Roman"/>
                      <w:b w:val="0"/>
                      <w:bCs/>
                      <w:color w:val="auto"/>
                      <w:spacing w:val="1"/>
                      <w:sz w:val="21"/>
                      <w:szCs w:val="21"/>
                      <w:u w:val="none" w:color="auto"/>
                    </w:rPr>
                    <w:t>1310-73-2</w:t>
                  </w:r>
                  <w:r>
                    <w:rPr>
                      <w:rFonts w:hint="default" w:ascii="Times New Roman" w:hAnsi="Times New Roman" w:eastAsia="宋体" w:cs="Times New Roman"/>
                      <w:b w:val="0"/>
                      <w:bCs/>
                      <w:color w:val="auto"/>
                      <w:spacing w:val="1"/>
                      <w:sz w:val="21"/>
                      <w:szCs w:val="21"/>
                      <w:u w:val="none" w:color="auto"/>
                    </w:rPr>
                    <w:fldChar w:fldCharType="end"/>
                  </w:r>
                </w:p>
              </w:tc>
              <w:tc>
                <w:tcPr>
                  <w:tcW w:w="399" w:type="pct"/>
                  <w:shd w:val="clear" w:color="auto" w:fill="auto"/>
                  <w:vAlign w:val="center"/>
                </w:tcPr>
                <w:p w14:paraId="7942AF6D">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lang w:val="en-US" w:eastAsia="zh-CN"/>
                    </w:rPr>
                    <w:t>外购</w:t>
                  </w:r>
                </w:p>
              </w:tc>
            </w:tr>
            <w:tr w14:paraId="08C0B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2" w:type="pct"/>
                  <w:vMerge w:val="continue"/>
                  <w:shd w:val="clear" w:color="auto" w:fill="auto"/>
                  <w:vAlign w:val="center"/>
                </w:tcPr>
                <w:p w14:paraId="77AA9507">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p>
              </w:tc>
              <w:tc>
                <w:tcPr>
                  <w:tcW w:w="278" w:type="pct"/>
                  <w:shd w:val="clear" w:color="auto" w:fill="auto"/>
                  <w:vAlign w:val="center"/>
                </w:tcPr>
                <w:p w14:paraId="54E7D355">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6"/>
                      <w:sz w:val="21"/>
                      <w:szCs w:val="21"/>
                      <w:u w:val="none" w:color="auto"/>
                    </w:rPr>
                    <w:t>无水氯化</w:t>
                  </w:r>
                  <w:r>
                    <w:rPr>
                      <w:rFonts w:hint="default" w:ascii="Times New Roman" w:hAnsi="Times New Roman" w:eastAsia="宋体" w:cs="Times New Roman"/>
                      <w:b w:val="0"/>
                      <w:bCs/>
                      <w:color w:val="auto"/>
                      <w:spacing w:val="1"/>
                      <w:sz w:val="21"/>
                      <w:szCs w:val="21"/>
                      <w:u w:val="none" w:color="auto"/>
                    </w:rPr>
                    <w:t>钙</w:t>
                  </w:r>
                </w:p>
              </w:tc>
              <w:tc>
                <w:tcPr>
                  <w:tcW w:w="565" w:type="pct"/>
                  <w:shd w:val="clear" w:color="auto" w:fill="auto"/>
                  <w:vAlign w:val="center"/>
                </w:tcPr>
                <w:p w14:paraId="711A88BF">
                  <w:pPr>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b w:val="0"/>
                      <w:bCs/>
                      <w:color w:val="auto"/>
                      <w:spacing w:val="6"/>
                      <w:sz w:val="21"/>
                      <w:szCs w:val="21"/>
                      <w:u w:val="none" w:color="auto"/>
                    </w:rPr>
                  </w:pPr>
                  <w:r>
                    <w:rPr>
                      <w:rFonts w:hint="default" w:ascii="Times New Roman" w:hAnsi="Times New Roman" w:eastAsia="宋体" w:cs="Times New Roman"/>
                      <w:b w:val="0"/>
                      <w:bCs/>
                      <w:color w:val="auto"/>
                      <w:spacing w:val="3"/>
                      <w:sz w:val="21"/>
                      <w:szCs w:val="21"/>
                      <w:u w:val="none" w:color="auto"/>
                      <w:lang w:val="en-US" w:eastAsia="zh-CN"/>
                    </w:rPr>
                    <w:t>0</w:t>
                  </w:r>
                </w:p>
              </w:tc>
              <w:tc>
                <w:tcPr>
                  <w:tcW w:w="565" w:type="pct"/>
                  <w:shd w:val="clear" w:color="auto" w:fill="auto"/>
                  <w:vAlign w:val="center"/>
                </w:tcPr>
                <w:p w14:paraId="36E1EE8C">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0.0005</w:t>
                  </w:r>
                </w:p>
              </w:tc>
              <w:tc>
                <w:tcPr>
                  <w:tcW w:w="565" w:type="pct"/>
                  <w:shd w:val="clear" w:color="auto" w:fill="auto"/>
                  <w:vAlign w:val="center"/>
                </w:tcPr>
                <w:p w14:paraId="49E550B4">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0.0005</w:t>
                  </w:r>
                </w:p>
              </w:tc>
              <w:tc>
                <w:tcPr>
                  <w:tcW w:w="513" w:type="pct"/>
                  <w:shd w:val="clear" w:color="auto" w:fill="auto"/>
                  <w:vAlign w:val="center"/>
                </w:tcPr>
                <w:p w14:paraId="7804B9C6">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lang w:val="en-US" w:eastAsia="zh-CN"/>
                    </w:rPr>
                    <w:t>t/a</w:t>
                  </w:r>
                </w:p>
              </w:tc>
              <w:tc>
                <w:tcPr>
                  <w:tcW w:w="559" w:type="pct"/>
                  <w:shd w:val="clear" w:color="auto" w:fill="auto"/>
                  <w:vAlign w:val="center"/>
                </w:tcPr>
                <w:p w14:paraId="3157D503">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7"/>
                      <w:sz w:val="21"/>
                      <w:szCs w:val="21"/>
                      <w:u w:val="none" w:color="auto"/>
                    </w:rPr>
                    <w:t>500</w:t>
                  </w:r>
                  <w:r>
                    <w:rPr>
                      <w:rFonts w:hint="default" w:ascii="Times New Roman" w:hAnsi="Times New Roman" w:eastAsia="宋体" w:cs="Times New Roman"/>
                      <w:b w:val="0"/>
                      <w:bCs/>
                      <w:color w:val="auto"/>
                      <w:sz w:val="21"/>
                      <w:szCs w:val="21"/>
                      <w:u w:val="none" w:color="auto"/>
                    </w:rPr>
                    <w:t>mL</w:t>
                  </w:r>
                  <w:r>
                    <w:rPr>
                      <w:rFonts w:hint="default" w:ascii="Times New Roman" w:hAnsi="Times New Roman" w:eastAsia="宋体" w:cs="Times New Roman"/>
                      <w:b w:val="0"/>
                      <w:bCs/>
                      <w:color w:val="auto"/>
                      <w:spacing w:val="7"/>
                      <w:sz w:val="21"/>
                      <w:szCs w:val="21"/>
                      <w:u w:val="none" w:color="auto"/>
                    </w:rPr>
                    <w:t>/瓶，存储于</w:t>
                  </w:r>
                  <w:r>
                    <w:rPr>
                      <w:rFonts w:hint="default" w:ascii="Times New Roman" w:hAnsi="Times New Roman" w:eastAsia="宋体" w:cs="Times New Roman"/>
                      <w:b w:val="0"/>
                      <w:bCs/>
                      <w:color w:val="auto"/>
                      <w:spacing w:val="6"/>
                      <w:sz w:val="21"/>
                      <w:szCs w:val="21"/>
                      <w:u w:val="none" w:color="auto"/>
                      <w:lang w:val="en-US" w:eastAsia="zh-CN"/>
                    </w:rPr>
                    <w:t>实验楼器材室内</w:t>
                  </w:r>
                </w:p>
              </w:tc>
              <w:tc>
                <w:tcPr>
                  <w:tcW w:w="276" w:type="pct"/>
                  <w:shd w:val="clear" w:color="auto" w:fill="auto"/>
                  <w:vAlign w:val="center"/>
                </w:tcPr>
                <w:p w14:paraId="367C7D9E">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0"/>
                      <w:sz w:val="21"/>
                      <w:szCs w:val="21"/>
                      <w:u w:val="none" w:color="auto"/>
                    </w:rPr>
                    <w:t>1瓶</w:t>
                  </w:r>
                </w:p>
              </w:tc>
              <w:tc>
                <w:tcPr>
                  <w:tcW w:w="270" w:type="pct"/>
                  <w:shd w:val="clear" w:color="auto" w:fill="auto"/>
                  <w:vAlign w:val="center"/>
                </w:tcPr>
                <w:p w14:paraId="33720444">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rPr>
                    <w:t>3个月</w:t>
                  </w:r>
                </w:p>
              </w:tc>
              <w:tc>
                <w:tcPr>
                  <w:tcW w:w="742" w:type="pct"/>
                  <w:shd w:val="clear" w:color="auto" w:fill="auto"/>
                  <w:vAlign w:val="center"/>
                </w:tcPr>
                <w:p w14:paraId="0DD45953">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rPr>
                    <w:fldChar w:fldCharType="begin"/>
                  </w:r>
                  <w:r>
                    <w:rPr>
                      <w:rFonts w:hint="default" w:ascii="Times New Roman" w:hAnsi="Times New Roman" w:eastAsia="宋体" w:cs="Times New Roman"/>
                      <w:b w:val="0"/>
                      <w:bCs/>
                      <w:color w:val="auto"/>
                      <w:spacing w:val="1"/>
                      <w:sz w:val="21"/>
                      <w:szCs w:val="21"/>
                      <w:u w:val="none" w:color="auto"/>
                    </w:rPr>
                    <w:instrText xml:space="preserve"> HYPERLINK "https://www.chemsrc.com/baike/951967.html" \t "https://www.chemsrc.com/searchResult/%25E6%2597%25A0%25E6%25B0%25B4%25E6%25B0%25AF%25E5%258C%2596%25E9%2592%2599/_blank" </w:instrText>
                  </w:r>
                  <w:r>
                    <w:rPr>
                      <w:rFonts w:hint="default" w:ascii="Times New Roman" w:hAnsi="Times New Roman" w:eastAsia="宋体" w:cs="Times New Roman"/>
                      <w:b w:val="0"/>
                      <w:bCs/>
                      <w:color w:val="auto"/>
                      <w:spacing w:val="1"/>
                      <w:sz w:val="21"/>
                      <w:szCs w:val="21"/>
                      <w:u w:val="none" w:color="auto"/>
                    </w:rPr>
                    <w:fldChar w:fldCharType="separate"/>
                  </w:r>
                  <w:r>
                    <w:rPr>
                      <w:rFonts w:hint="default" w:ascii="Times New Roman" w:hAnsi="Times New Roman" w:eastAsia="宋体" w:cs="Times New Roman"/>
                      <w:b w:val="0"/>
                      <w:bCs/>
                      <w:color w:val="auto"/>
                      <w:spacing w:val="1"/>
                      <w:sz w:val="21"/>
                      <w:szCs w:val="21"/>
                      <w:u w:val="none" w:color="auto"/>
                    </w:rPr>
                    <w:t>10043-52-4</w:t>
                  </w:r>
                  <w:r>
                    <w:rPr>
                      <w:rFonts w:hint="default" w:ascii="Times New Roman" w:hAnsi="Times New Roman" w:eastAsia="宋体" w:cs="Times New Roman"/>
                      <w:b w:val="0"/>
                      <w:bCs/>
                      <w:color w:val="auto"/>
                      <w:spacing w:val="1"/>
                      <w:sz w:val="21"/>
                      <w:szCs w:val="21"/>
                      <w:u w:val="none" w:color="auto"/>
                    </w:rPr>
                    <w:fldChar w:fldCharType="end"/>
                  </w:r>
                </w:p>
              </w:tc>
              <w:tc>
                <w:tcPr>
                  <w:tcW w:w="399" w:type="pct"/>
                  <w:shd w:val="clear" w:color="auto" w:fill="auto"/>
                  <w:vAlign w:val="center"/>
                </w:tcPr>
                <w:p w14:paraId="1679754F">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lang w:val="en-US" w:eastAsia="zh-CN"/>
                    </w:rPr>
                    <w:t>外购</w:t>
                  </w:r>
                </w:p>
              </w:tc>
            </w:tr>
            <w:tr w14:paraId="5937F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2" w:type="pct"/>
                  <w:vMerge w:val="continue"/>
                  <w:shd w:val="clear" w:color="auto" w:fill="auto"/>
                  <w:vAlign w:val="center"/>
                </w:tcPr>
                <w:p w14:paraId="42BC9F5D">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p>
              </w:tc>
              <w:tc>
                <w:tcPr>
                  <w:tcW w:w="278" w:type="pct"/>
                  <w:shd w:val="clear" w:color="auto" w:fill="auto"/>
                  <w:vAlign w:val="center"/>
                </w:tcPr>
                <w:p w14:paraId="72E2CC2A">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7"/>
                      <w:sz w:val="21"/>
                      <w:szCs w:val="21"/>
                      <w:u w:val="none" w:color="auto"/>
                    </w:rPr>
                    <w:t>碱石灰</w:t>
                  </w:r>
                </w:p>
              </w:tc>
              <w:tc>
                <w:tcPr>
                  <w:tcW w:w="565" w:type="pct"/>
                  <w:shd w:val="clear" w:color="auto" w:fill="auto"/>
                  <w:vAlign w:val="center"/>
                </w:tcPr>
                <w:p w14:paraId="16023191">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7"/>
                      <w:sz w:val="21"/>
                      <w:szCs w:val="21"/>
                      <w:u w:val="none" w:color="auto"/>
                    </w:rPr>
                  </w:pPr>
                  <w:r>
                    <w:rPr>
                      <w:rFonts w:hint="default" w:ascii="Times New Roman" w:hAnsi="Times New Roman" w:eastAsia="宋体" w:cs="Times New Roman"/>
                      <w:b w:val="0"/>
                      <w:bCs/>
                      <w:color w:val="auto"/>
                      <w:spacing w:val="3"/>
                      <w:sz w:val="21"/>
                      <w:szCs w:val="21"/>
                      <w:u w:val="none" w:color="auto"/>
                      <w:lang w:val="en-US" w:eastAsia="zh-CN"/>
                    </w:rPr>
                    <w:t>0</w:t>
                  </w:r>
                </w:p>
              </w:tc>
              <w:tc>
                <w:tcPr>
                  <w:tcW w:w="565" w:type="pct"/>
                  <w:shd w:val="clear" w:color="auto" w:fill="auto"/>
                  <w:vAlign w:val="center"/>
                </w:tcPr>
                <w:p w14:paraId="30E13BF2">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0.0005</w:t>
                  </w:r>
                </w:p>
              </w:tc>
              <w:tc>
                <w:tcPr>
                  <w:tcW w:w="565" w:type="pct"/>
                  <w:shd w:val="clear" w:color="auto" w:fill="auto"/>
                  <w:vAlign w:val="center"/>
                </w:tcPr>
                <w:p w14:paraId="02C6DF55">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0.0005</w:t>
                  </w:r>
                </w:p>
              </w:tc>
              <w:tc>
                <w:tcPr>
                  <w:tcW w:w="513" w:type="pct"/>
                  <w:shd w:val="clear" w:color="auto" w:fill="auto"/>
                  <w:vAlign w:val="center"/>
                </w:tcPr>
                <w:p w14:paraId="38A975FF">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lang w:val="en-US" w:eastAsia="zh-CN"/>
                    </w:rPr>
                    <w:t>t/a</w:t>
                  </w:r>
                </w:p>
              </w:tc>
              <w:tc>
                <w:tcPr>
                  <w:tcW w:w="559" w:type="pct"/>
                  <w:shd w:val="clear" w:color="auto" w:fill="auto"/>
                  <w:vAlign w:val="center"/>
                </w:tcPr>
                <w:p w14:paraId="0B256135">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7"/>
                      <w:sz w:val="21"/>
                      <w:szCs w:val="21"/>
                      <w:u w:val="none" w:color="auto"/>
                    </w:rPr>
                    <w:t>500</w:t>
                  </w:r>
                  <w:r>
                    <w:rPr>
                      <w:rFonts w:hint="default" w:ascii="Times New Roman" w:hAnsi="Times New Roman" w:eastAsia="宋体" w:cs="Times New Roman"/>
                      <w:b w:val="0"/>
                      <w:bCs/>
                      <w:color w:val="auto"/>
                      <w:sz w:val="21"/>
                      <w:szCs w:val="21"/>
                      <w:u w:val="none" w:color="auto"/>
                    </w:rPr>
                    <w:t>mL</w:t>
                  </w:r>
                  <w:r>
                    <w:rPr>
                      <w:rFonts w:hint="default" w:ascii="Times New Roman" w:hAnsi="Times New Roman" w:eastAsia="宋体" w:cs="Times New Roman"/>
                      <w:b w:val="0"/>
                      <w:bCs/>
                      <w:color w:val="auto"/>
                      <w:spacing w:val="7"/>
                      <w:sz w:val="21"/>
                      <w:szCs w:val="21"/>
                      <w:u w:val="none" w:color="auto"/>
                    </w:rPr>
                    <w:t>/瓶，存储于</w:t>
                  </w:r>
                  <w:r>
                    <w:rPr>
                      <w:rFonts w:hint="default" w:ascii="Times New Roman" w:hAnsi="Times New Roman" w:eastAsia="宋体" w:cs="Times New Roman"/>
                      <w:b w:val="0"/>
                      <w:bCs/>
                      <w:color w:val="auto"/>
                      <w:spacing w:val="6"/>
                      <w:sz w:val="21"/>
                      <w:szCs w:val="21"/>
                      <w:u w:val="none" w:color="auto"/>
                      <w:lang w:val="en-US" w:eastAsia="zh-CN"/>
                    </w:rPr>
                    <w:t>实验楼器材室内</w:t>
                  </w:r>
                </w:p>
              </w:tc>
              <w:tc>
                <w:tcPr>
                  <w:tcW w:w="276" w:type="pct"/>
                  <w:shd w:val="clear" w:color="auto" w:fill="auto"/>
                  <w:vAlign w:val="center"/>
                </w:tcPr>
                <w:p w14:paraId="2EA8D3EA">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0"/>
                      <w:sz w:val="21"/>
                      <w:szCs w:val="21"/>
                      <w:u w:val="none" w:color="auto"/>
                    </w:rPr>
                    <w:t>1瓶</w:t>
                  </w:r>
                </w:p>
              </w:tc>
              <w:tc>
                <w:tcPr>
                  <w:tcW w:w="270" w:type="pct"/>
                  <w:shd w:val="clear" w:color="auto" w:fill="auto"/>
                  <w:vAlign w:val="center"/>
                </w:tcPr>
                <w:p w14:paraId="69D046C5">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rPr>
                    <w:t>3个月</w:t>
                  </w:r>
                </w:p>
              </w:tc>
              <w:tc>
                <w:tcPr>
                  <w:tcW w:w="742" w:type="pct"/>
                  <w:shd w:val="clear" w:color="auto" w:fill="auto"/>
                  <w:vAlign w:val="center"/>
                </w:tcPr>
                <w:p w14:paraId="152C6CD5">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rPr>
                    <w:fldChar w:fldCharType="begin"/>
                  </w:r>
                  <w:r>
                    <w:rPr>
                      <w:rFonts w:hint="default" w:ascii="Times New Roman" w:hAnsi="Times New Roman" w:eastAsia="宋体" w:cs="Times New Roman"/>
                      <w:b w:val="0"/>
                      <w:bCs/>
                      <w:color w:val="auto"/>
                      <w:spacing w:val="1"/>
                      <w:sz w:val="21"/>
                      <w:szCs w:val="21"/>
                      <w:u w:val="none" w:color="auto"/>
                    </w:rPr>
                    <w:instrText xml:space="preserve"> HYPERLINK "https://www.chemsrc.com/baike/1187149.html" \t "https://www.chemsrc.com/searchResult/%25E7%25A2%25B1%25E7%259F%25B3%25E7%2581%25B0/_blank" </w:instrText>
                  </w:r>
                  <w:r>
                    <w:rPr>
                      <w:rFonts w:hint="default" w:ascii="Times New Roman" w:hAnsi="Times New Roman" w:eastAsia="宋体" w:cs="Times New Roman"/>
                      <w:b w:val="0"/>
                      <w:bCs/>
                      <w:color w:val="auto"/>
                      <w:spacing w:val="1"/>
                      <w:sz w:val="21"/>
                      <w:szCs w:val="21"/>
                      <w:u w:val="none" w:color="auto"/>
                    </w:rPr>
                    <w:fldChar w:fldCharType="separate"/>
                  </w:r>
                  <w:r>
                    <w:rPr>
                      <w:rFonts w:hint="default" w:ascii="Times New Roman" w:hAnsi="Times New Roman" w:eastAsia="宋体" w:cs="Times New Roman"/>
                      <w:b w:val="0"/>
                      <w:bCs/>
                      <w:color w:val="auto"/>
                      <w:spacing w:val="1"/>
                      <w:sz w:val="21"/>
                      <w:szCs w:val="21"/>
                      <w:u w:val="none" w:color="auto"/>
                    </w:rPr>
                    <w:t>8006-28-8</w:t>
                  </w:r>
                  <w:r>
                    <w:rPr>
                      <w:rFonts w:hint="default" w:ascii="Times New Roman" w:hAnsi="Times New Roman" w:eastAsia="宋体" w:cs="Times New Roman"/>
                      <w:b w:val="0"/>
                      <w:bCs/>
                      <w:color w:val="auto"/>
                      <w:spacing w:val="1"/>
                      <w:sz w:val="21"/>
                      <w:szCs w:val="21"/>
                      <w:u w:val="none" w:color="auto"/>
                    </w:rPr>
                    <w:fldChar w:fldCharType="end"/>
                  </w:r>
                </w:p>
              </w:tc>
              <w:tc>
                <w:tcPr>
                  <w:tcW w:w="399" w:type="pct"/>
                  <w:shd w:val="clear" w:color="auto" w:fill="auto"/>
                  <w:vAlign w:val="center"/>
                </w:tcPr>
                <w:p w14:paraId="5484C52C">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lang w:val="en-US" w:eastAsia="zh-CN"/>
                    </w:rPr>
                    <w:t>外购</w:t>
                  </w:r>
                </w:p>
              </w:tc>
            </w:tr>
            <w:tr w14:paraId="54510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2" w:type="pct"/>
                  <w:vMerge w:val="continue"/>
                  <w:shd w:val="clear" w:color="auto" w:fill="auto"/>
                  <w:vAlign w:val="center"/>
                </w:tcPr>
                <w:p w14:paraId="2D225F42">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p>
              </w:tc>
              <w:tc>
                <w:tcPr>
                  <w:tcW w:w="278" w:type="pct"/>
                  <w:shd w:val="clear" w:color="auto" w:fill="auto"/>
                  <w:vAlign w:val="center"/>
                </w:tcPr>
                <w:p w14:paraId="4D59BA9F">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4"/>
                      <w:sz w:val="21"/>
                      <w:szCs w:val="21"/>
                      <w:u w:val="none" w:color="auto"/>
                    </w:rPr>
                    <w:t>琼脂</w:t>
                  </w:r>
                </w:p>
              </w:tc>
              <w:tc>
                <w:tcPr>
                  <w:tcW w:w="565" w:type="pct"/>
                  <w:shd w:val="clear" w:color="auto" w:fill="auto"/>
                  <w:vAlign w:val="center"/>
                </w:tcPr>
                <w:p w14:paraId="358D9E3B">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4"/>
                      <w:sz w:val="21"/>
                      <w:szCs w:val="21"/>
                      <w:u w:val="none" w:color="auto"/>
                    </w:rPr>
                  </w:pPr>
                  <w:r>
                    <w:rPr>
                      <w:rFonts w:hint="default" w:ascii="Times New Roman" w:hAnsi="Times New Roman" w:eastAsia="宋体" w:cs="Times New Roman"/>
                      <w:b w:val="0"/>
                      <w:bCs/>
                      <w:color w:val="auto"/>
                      <w:spacing w:val="3"/>
                      <w:sz w:val="21"/>
                      <w:szCs w:val="21"/>
                      <w:u w:val="none" w:color="auto"/>
                      <w:lang w:val="en-US" w:eastAsia="zh-CN"/>
                    </w:rPr>
                    <w:t>0</w:t>
                  </w:r>
                </w:p>
              </w:tc>
              <w:tc>
                <w:tcPr>
                  <w:tcW w:w="565" w:type="pct"/>
                  <w:shd w:val="clear" w:color="auto" w:fill="auto"/>
                  <w:vAlign w:val="center"/>
                </w:tcPr>
                <w:p w14:paraId="068CAFE2">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0.0002</w:t>
                  </w:r>
                </w:p>
              </w:tc>
              <w:tc>
                <w:tcPr>
                  <w:tcW w:w="565" w:type="pct"/>
                  <w:shd w:val="clear" w:color="auto" w:fill="auto"/>
                  <w:vAlign w:val="center"/>
                </w:tcPr>
                <w:p w14:paraId="06263A30">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0.0002</w:t>
                  </w:r>
                </w:p>
              </w:tc>
              <w:tc>
                <w:tcPr>
                  <w:tcW w:w="513" w:type="pct"/>
                  <w:shd w:val="clear" w:color="auto" w:fill="auto"/>
                  <w:vAlign w:val="center"/>
                </w:tcPr>
                <w:p w14:paraId="5B69F992">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lang w:val="en-US" w:eastAsia="zh-CN"/>
                    </w:rPr>
                    <w:t>t/a</w:t>
                  </w:r>
                </w:p>
              </w:tc>
              <w:tc>
                <w:tcPr>
                  <w:tcW w:w="559" w:type="pct"/>
                  <w:shd w:val="clear" w:color="auto" w:fill="auto"/>
                  <w:vAlign w:val="center"/>
                </w:tcPr>
                <w:p w14:paraId="19C67BD8">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7"/>
                      <w:sz w:val="21"/>
                      <w:szCs w:val="21"/>
                      <w:u w:val="none" w:color="auto"/>
                    </w:rPr>
                    <w:t>500</w:t>
                  </w:r>
                  <w:r>
                    <w:rPr>
                      <w:rFonts w:hint="default" w:ascii="Times New Roman" w:hAnsi="Times New Roman" w:eastAsia="宋体" w:cs="Times New Roman"/>
                      <w:b w:val="0"/>
                      <w:bCs/>
                      <w:color w:val="auto"/>
                      <w:sz w:val="21"/>
                      <w:szCs w:val="21"/>
                      <w:u w:val="none" w:color="auto"/>
                    </w:rPr>
                    <w:t>mL</w:t>
                  </w:r>
                  <w:r>
                    <w:rPr>
                      <w:rFonts w:hint="default" w:ascii="Times New Roman" w:hAnsi="Times New Roman" w:eastAsia="宋体" w:cs="Times New Roman"/>
                      <w:b w:val="0"/>
                      <w:bCs/>
                      <w:color w:val="auto"/>
                      <w:spacing w:val="7"/>
                      <w:sz w:val="21"/>
                      <w:szCs w:val="21"/>
                      <w:u w:val="none" w:color="auto"/>
                    </w:rPr>
                    <w:t>/瓶，存储于</w:t>
                  </w:r>
                  <w:r>
                    <w:rPr>
                      <w:rFonts w:hint="default" w:ascii="Times New Roman" w:hAnsi="Times New Roman" w:eastAsia="宋体" w:cs="Times New Roman"/>
                      <w:b w:val="0"/>
                      <w:bCs/>
                      <w:color w:val="auto"/>
                      <w:spacing w:val="6"/>
                      <w:sz w:val="21"/>
                      <w:szCs w:val="21"/>
                      <w:u w:val="none" w:color="auto"/>
                      <w:lang w:val="en-US" w:eastAsia="zh-CN"/>
                    </w:rPr>
                    <w:t>实验楼器材室内</w:t>
                  </w:r>
                </w:p>
              </w:tc>
              <w:tc>
                <w:tcPr>
                  <w:tcW w:w="276" w:type="pct"/>
                  <w:shd w:val="clear" w:color="auto" w:fill="auto"/>
                  <w:vAlign w:val="center"/>
                </w:tcPr>
                <w:p w14:paraId="6F04AF9A">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0"/>
                      <w:sz w:val="21"/>
                      <w:szCs w:val="21"/>
                      <w:u w:val="none" w:color="auto"/>
                    </w:rPr>
                    <w:t>1瓶</w:t>
                  </w:r>
                </w:p>
              </w:tc>
              <w:tc>
                <w:tcPr>
                  <w:tcW w:w="270" w:type="pct"/>
                  <w:shd w:val="clear" w:color="auto" w:fill="auto"/>
                  <w:vAlign w:val="center"/>
                </w:tcPr>
                <w:p w14:paraId="620583B2">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rPr>
                    <w:t>3个月</w:t>
                  </w:r>
                </w:p>
              </w:tc>
              <w:tc>
                <w:tcPr>
                  <w:tcW w:w="742" w:type="pct"/>
                  <w:shd w:val="clear" w:color="auto" w:fill="auto"/>
                  <w:vAlign w:val="center"/>
                </w:tcPr>
                <w:p w14:paraId="19421924">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rPr>
                    <w:fldChar w:fldCharType="begin"/>
                  </w:r>
                  <w:r>
                    <w:rPr>
                      <w:rFonts w:hint="default" w:ascii="Times New Roman" w:hAnsi="Times New Roman" w:eastAsia="宋体" w:cs="Times New Roman"/>
                      <w:b w:val="0"/>
                      <w:bCs/>
                      <w:color w:val="auto"/>
                      <w:spacing w:val="1"/>
                      <w:sz w:val="21"/>
                      <w:szCs w:val="21"/>
                      <w:u w:val="none" w:color="auto"/>
                    </w:rPr>
                    <w:instrText xml:space="preserve"> HYPERLINK "https://www.chemsrc.com/baike/304482.html" \t "https://www.chemsrc.com/searchResult/%25E7%2590%25BC%25E8%2584%2582/_blank" </w:instrText>
                  </w:r>
                  <w:r>
                    <w:rPr>
                      <w:rFonts w:hint="default" w:ascii="Times New Roman" w:hAnsi="Times New Roman" w:eastAsia="宋体" w:cs="Times New Roman"/>
                      <w:b w:val="0"/>
                      <w:bCs/>
                      <w:color w:val="auto"/>
                      <w:spacing w:val="1"/>
                      <w:sz w:val="21"/>
                      <w:szCs w:val="21"/>
                      <w:u w:val="none" w:color="auto"/>
                    </w:rPr>
                    <w:fldChar w:fldCharType="separate"/>
                  </w:r>
                  <w:r>
                    <w:rPr>
                      <w:rFonts w:hint="default" w:ascii="Times New Roman" w:hAnsi="Times New Roman" w:eastAsia="宋体" w:cs="Times New Roman"/>
                      <w:b w:val="0"/>
                      <w:bCs/>
                      <w:color w:val="auto"/>
                      <w:spacing w:val="1"/>
                      <w:sz w:val="21"/>
                      <w:szCs w:val="21"/>
                      <w:u w:val="none" w:color="auto"/>
                    </w:rPr>
                    <w:t>9002-18-0</w:t>
                  </w:r>
                  <w:r>
                    <w:rPr>
                      <w:rFonts w:hint="default" w:ascii="Times New Roman" w:hAnsi="Times New Roman" w:eastAsia="宋体" w:cs="Times New Roman"/>
                      <w:b w:val="0"/>
                      <w:bCs/>
                      <w:color w:val="auto"/>
                      <w:spacing w:val="1"/>
                      <w:sz w:val="21"/>
                      <w:szCs w:val="21"/>
                      <w:u w:val="none" w:color="auto"/>
                    </w:rPr>
                    <w:fldChar w:fldCharType="end"/>
                  </w:r>
                </w:p>
              </w:tc>
              <w:tc>
                <w:tcPr>
                  <w:tcW w:w="399" w:type="pct"/>
                  <w:shd w:val="clear" w:color="auto" w:fill="auto"/>
                  <w:vAlign w:val="center"/>
                </w:tcPr>
                <w:p w14:paraId="39E58697">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lang w:val="en-US" w:eastAsia="zh-CN"/>
                    </w:rPr>
                    <w:t>外购</w:t>
                  </w:r>
                </w:p>
              </w:tc>
            </w:tr>
            <w:tr w14:paraId="05939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2" w:type="pct"/>
                  <w:vMerge w:val="continue"/>
                  <w:shd w:val="clear" w:color="auto" w:fill="auto"/>
                  <w:vAlign w:val="center"/>
                </w:tcPr>
                <w:p w14:paraId="0B3E8960">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p>
              </w:tc>
              <w:tc>
                <w:tcPr>
                  <w:tcW w:w="278" w:type="pct"/>
                  <w:shd w:val="clear" w:color="auto" w:fill="auto"/>
                  <w:vAlign w:val="center"/>
                </w:tcPr>
                <w:p w14:paraId="78B69F23">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7"/>
                      <w:sz w:val="21"/>
                      <w:szCs w:val="21"/>
                      <w:u w:val="none" w:color="auto"/>
                    </w:rPr>
                    <w:t>碘化钾</w:t>
                  </w:r>
                </w:p>
              </w:tc>
              <w:tc>
                <w:tcPr>
                  <w:tcW w:w="565" w:type="pct"/>
                  <w:shd w:val="clear" w:color="auto" w:fill="auto"/>
                  <w:vAlign w:val="center"/>
                </w:tcPr>
                <w:p w14:paraId="4F480DDF">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7"/>
                      <w:sz w:val="21"/>
                      <w:szCs w:val="21"/>
                      <w:u w:val="none" w:color="auto"/>
                    </w:rPr>
                  </w:pPr>
                  <w:r>
                    <w:rPr>
                      <w:rFonts w:hint="default" w:ascii="Times New Roman" w:hAnsi="Times New Roman" w:eastAsia="宋体" w:cs="Times New Roman"/>
                      <w:b w:val="0"/>
                      <w:bCs/>
                      <w:color w:val="auto"/>
                      <w:spacing w:val="3"/>
                      <w:sz w:val="21"/>
                      <w:szCs w:val="21"/>
                      <w:u w:val="none" w:color="auto"/>
                      <w:lang w:val="en-US" w:eastAsia="zh-CN"/>
                    </w:rPr>
                    <w:t>0</w:t>
                  </w:r>
                </w:p>
              </w:tc>
              <w:tc>
                <w:tcPr>
                  <w:tcW w:w="565" w:type="pct"/>
                  <w:shd w:val="clear" w:color="auto" w:fill="auto"/>
                  <w:vAlign w:val="center"/>
                </w:tcPr>
                <w:p w14:paraId="33386B1D">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0.00005</w:t>
                  </w:r>
                </w:p>
              </w:tc>
              <w:tc>
                <w:tcPr>
                  <w:tcW w:w="565" w:type="pct"/>
                  <w:shd w:val="clear" w:color="auto" w:fill="auto"/>
                  <w:vAlign w:val="center"/>
                </w:tcPr>
                <w:p w14:paraId="439517DB">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0.00005</w:t>
                  </w:r>
                </w:p>
              </w:tc>
              <w:tc>
                <w:tcPr>
                  <w:tcW w:w="513" w:type="pct"/>
                  <w:shd w:val="clear" w:color="auto" w:fill="auto"/>
                  <w:vAlign w:val="center"/>
                </w:tcPr>
                <w:p w14:paraId="6D2D9EFC">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lang w:val="en-US" w:eastAsia="zh-CN"/>
                    </w:rPr>
                    <w:t>t/a</w:t>
                  </w:r>
                </w:p>
              </w:tc>
              <w:tc>
                <w:tcPr>
                  <w:tcW w:w="559" w:type="pct"/>
                  <w:shd w:val="clear" w:color="auto" w:fill="auto"/>
                  <w:vAlign w:val="center"/>
                </w:tcPr>
                <w:p w14:paraId="7537D48D">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7"/>
                      <w:sz w:val="21"/>
                      <w:szCs w:val="21"/>
                      <w:u w:val="none" w:color="auto"/>
                    </w:rPr>
                    <w:t>500</w:t>
                  </w:r>
                  <w:r>
                    <w:rPr>
                      <w:rFonts w:hint="default" w:ascii="Times New Roman" w:hAnsi="Times New Roman" w:eastAsia="宋体" w:cs="Times New Roman"/>
                      <w:b w:val="0"/>
                      <w:bCs/>
                      <w:color w:val="auto"/>
                      <w:sz w:val="21"/>
                      <w:szCs w:val="21"/>
                      <w:u w:val="none" w:color="auto"/>
                    </w:rPr>
                    <w:t>mL</w:t>
                  </w:r>
                  <w:r>
                    <w:rPr>
                      <w:rFonts w:hint="default" w:ascii="Times New Roman" w:hAnsi="Times New Roman" w:eastAsia="宋体" w:cs="Times New Roman"/>
                      <w:b w:val="0"/>
                      <w:bCs/>
                      <w:color w:val="auto"/>
                      <w:spacing w:val="7"/>
                      <w:sz w:val="21"/>
                      <w:szCs w:val="21"/>
                      <w:u w:val="none" w:color="auto"/>
                    </w:rPr>
                    <w:t>/瓶，存储于</w:t>
                  </w:r>
                  <w:r>
                    <w:rPr>
                      <w:rFonts w:hint="default" w:ascii="Times New Roman" w:hAnsi="Times New Roman" w:eastAsia="宋体" w:cs="Times New Roman"/>
                      <w:b w:val="0"/>
                      <w:bCs/>
                      <w:color w:val="auto"/>
                      <w:spacing w:val="6"/>
                      <w:sz w:val="21"/>
                      <w:szCs w:val="21"/>
                      <w:u w:val="none" w:color="auto"/>
                      <w:lang w:val="en-US" w:eastAsia="zh-CN"/>
                    </w:rPr>
                    <w:t>实验楼器材室内</w:t>
                  </w:r>
                </w:p>
              </w:tc>
              <w:tc>
                <w:tcPr>
                  <w:tcW w:w="276" w:type="pct"/>
                  <w:shd w:val="clear" w:color="auto" w:fill="auto"/>
                  <w:vAlign w:val="center"/>
                </w:tcPr>
                <w:p w14:paraId="3F763D80">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0"/>
                      <w:sz w:val="21"/>
                      <w:szCs w:val="21"/>
                      <w:u w:val="none" w:color="auto"/>
                    </w:rPr>
                    <w:t>1瓶</w:t>
                  </w:r>
                </w:p>
              </w:tc>
              <w:tc>
                <w:tcPr>
                  <w:tcW w:w="270" w:type="pct"/>
                  <w:shd w:val="clear" w:color="auto" w:fill="auto"/>
                  <w:vAlign w:val="center"/>
                </w:tcPr>
                <w:p w14:paraId="55A3602B">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rPr>
                    <w:t>3个月</w:t>
                  </w:r>
                </w:p>
              </w:tc>
              <w:tc>
                <w:tcPr>
                  <w:tcW w:w="742" w:type="pct"/>
                  <w:shd w:val="clear" w:color="auto" w:fill="auto"/>
                  <w:vAlign w:val="center"/>
                </w:tcPr>
                <w:p w14:paraId="313B706E">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rPr>
                    <w:fldChar w:fldCharType="begin"/>
                  </w:r>
                  <w:r>
                    <w:rPr>
                      <w:rFonts w:hint="default" w:ascii="Times New Roman" w:hAnsi="Times New Roman" w:eastAsia="宋体" w:cs="Times New Roman"/>
                      <w:b w:val="0"/>
                      <w:bCs/>
                      <w:color w:val="auto"/>
                      <w:spacing w:val="1"/>
                      <w:sz w:val="21"/>
                      <w:szCs w:val="21"/>
                      <w:u w:val="none" w:color="auto"/>
                    </w:rPr>
                    <w:instrText xml:space="preserve"> HYPERLINK "https://www.chemsrc.com/baike/245497.html" \t "https://www.chemsrc.com/searchResult/%25E7%25A2%2598%25E5%258C%2596%25E9%2592%25BE/_blank" </w:instrText>
                  </w:r>
                  <w:r>
                    <w:rPr>
                      <w:rFonts w:hint="default" w:ascii="Times New Roman" w:hAnsi="Times New Roman" w:eastAsia="宋体" w:cs="Times New Roman"/>
                      <w:b w:val="0"/>
                      <w:bCs/>
                      <w:color w:val="auto"/>
                      <w:spacing w:val="1"/>
                      <w:sz w:val="21"/>
                      <w:szCs w:val="21"/>
                      <w:u w:val="none" w:color="auto"/>
                    </w:rPr>
                    <w:fldChar w:fldCharType="separate"/>
                  </w:r>
                  <w:r>
                    <w:rPr>
                      <w:rFonts w:hint="default" w:ascii="Times New Roman" w:hAnsi="Times New Roman" w:eastAsia="宋体" w:cs="Times New Roman"/>
                      <w:b w:val="0"/>
                      <w:bCs/>
                      <w:color w:val="auto"/>
                      <w:spacing w:val="1"/>
                      <w:sz w:val="21"/>
                      <w:szCs w:val="21"/>
                      <w:u w:val="none" w:color="auto"/>
                    </w:rPr>
                    <w:t>7681-11-0</w:t>
                  </w:r>
                  <w:r>
                    <w:rPr>
                      <w:rFonts w:hint="default" w:ascii="Times New Roman" w:hAnsi="Times New Roman" w:eastAsia="宋体" w:cs="Times New Roman"/>
                      <w:b w:val="0"/>
                      <w:bCs/>
                      <w:color w:val="auto"/>
                      <w:spacing w:val="1"/>
                      <w:sz w:val="21"/>
                      <w:szCs w:val="21"/>
                      <w:u w:val="none" w:color="auto"/>
                    </w:rPr>
                    <w:fldChar w:fldCharType="end"/>
                  </w:r>
                </w:p>
              </w:tc>
              <w:tc>
                <w:tcPr>
                  <w:tcW w:w="399" w:type="pct"/>
                  <w:shd w:val="clear" w:color="auto" w:fill="auto"/>
                  <w:vAlign w:val="center"/>
                </w:tcPr>
                <w:p w14:paraId="582B71F1">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lang w:val="en-US" w:eastAsia="zh-CN"/>
                    </w:rPr>
                    <w:t>外购</w:t>
                  </w:r>
                </w:p>
              </w:tc>
            </w:tr>
            <w:tr w14:paraId="7FD05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2" w:type="pct"/>
                  <w:vMerge w:val="continue"/>
                  <w:shd w:val="clear" w:color="auto" w:fill="auto"/>
                  <w:vAlign w:val="center"/>
                </w:tcPr>
                <w:p w14:paraId="1CF3F5ED">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p>
              </w:tc>
              <w:tc>
                <w:tcPr>
                  <w:tcW w:w="278" w:type="pct"/>
                  <w:shd w:val="clear" w:color="auto" w:fill="auto"/>
                  <w:vAlign w:val="center"/>
                </w:tcPr>
                <w:p w14:paraId="6101B529">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6"/>
                      <w:sz w:val="21"/>
                      <w:szCs w:val="21"/>
                      <w:u w:val="none" w:color="auto"/>
                    </w:rPr>
                    <w:t>斐林试剂</w:t>
                  </w:r>
                </w:p>
              </w:tc>
              <w:tc>
                <w:tcPr>
                  <w:tcW w:w="565" w:type="pct"/>
                  <w:shd w:val="clear" w:color="auto" w:fill="auto"/>
                  <w:vAlign w:val="center"/>
                </w:tcPr>
                <w:p w14:paraId="72B7FC2E">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6"/>
                      <w:sz w:val="21"/>
                      <w:szCs w:val="21"/>
                      <w:u w:val="none" w:color="auto"/>
                    </w:rPr>
                  </w:pPr>
                  <w:r>
                    <w:rPr>
                      <w:rFonts w:hint="default" w:ascii="Times New Roman" w:hAnsi="Times New Roman" w:eastAsia="宋体" w:cs="Times New Roman"/>
                      <w:b w:val="0"/>
                      <w:bCs/>
                      <w:color w:val="auto"/>
                      <w:spacing w:val="3"/>
                      <w:sz w:val="21"/>
                      <w:szCs w:val="21"/>
                      <w:u w:val="none" w:color="auto"/>
                      <w:lang w:val="en-US" w:eastAsia="zh-CN"/>
                    </w:rPr>
                    <w:t>0</w:t>
                  </w:r>
                </w:p>
              </w:tc>
              <w:tc>
                <w:tcPr>
                  <w:tcW w:w="565" w:type="pct"/>
                  <w:shd w:val="clear" w:color="auto" w:fill="auto"/>
                  <w:vAlign w:val="center"/>
                </w:tcPr>
                <w:p w14:paraId="506C40E9">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0.00004</w:t>
                  </w:r>
                </w:p>
              </w:tc>
              <w:tc>
                <w:tcPr>
                  <w:tcW w:w="565" w:type="pct"/>
                  <w:shd w:val="clear" w:color="auto" w:fill="auto"/>
                  <w:vAlign w:val="center"/>
                </w:tcPr>
                <w:p w14:paraId="5ED53BFD">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rPr>
                    <w:t>0.00004</w:t>
                  </w:r>
                </w:p>
              </w:tc>
              <w:tc>
                <w:tcPr>
                  <w:tcW w:w="513" w:type="pct"/>
                  <w:shd w:val="clear" w:color="auto" w:fill="auto"/>
                  <w:vAlign w:val="center"/>
                </w:tcPr>
                <w:p w14:paraId="037CC8B4">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lang w:val="en-US" w:eastAsia="zh-CN"/>
                    </w:rPr>
                    <w:t>t/a</w:t>
                  </w:r>
                </w:p>
              </w:tc>
              <w:tc>
                <w:tcPr>
                  <w:tcW w:w="559" w:type="pct"/>
                  <w:shd w:val="clear" w:color="auto" w:fill="auto"/>
                  <w:vAlign w:val="center"/>
                </w:tcPr>
                <w:p w14:paraId="6CB751C0">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7"/>
                      <w:sz w:val="21"/>
                      <w:szCs w:val="21"/>
                      <w:u w:val="none" w:color="auto"/>
                    </w:rPr>
                    <w:t>500</w:t>
                  </w:r>
                  <w:r>
                    <w:rPr>
                      <w:rFonts w:hint="default" w:ascii="Times New Roman" w:hAnsi="Times New Roman" w:eastAsia="宋体" w:cs="Times New Roman"/>
                      <w:b w:val="0"/>
                      <w:bCs/>
                      <w:color w:val="auto"/>
                      <w:sz w:val="21"/>
                      <w:szCs w:val="21"/>
                      <w:u w:val="none" w:color="auto"/>
                    </w:rPr>
                    <w:t>mL</w:t>
                  </w:r>
                  <w:r>
                    <w:rPr>
                      <w:rFonts w:hint="default" w:ascii="Times New Roman" w:hAnsi="Times New Roman" w:eastAsia="宋体" w:cs="Times New Roman"/>
                      <w:b w:val="0"/>
                      <w:bCs/>
                      <w:color w:val="auto"/>
                      <w:spacing w:val="7"/>
                      <w:sz w:val="21"/>
                      <w:szCs w:val="21"/>
                      <w:u w:val="none" w:color="auto"/>
                    </w:rPr>
                    <w:t>/瓶，存储于</w:t>
                  </w:r>
                  <w:r>
                    <w:rPr>
                      <w:rFonts w:hint="default" w:ascii="Times New Roman" w:hAnsi="Times New Roman" w:eastAsia="宋体" w:cs="Times New Roman"/>
                      <w:b w:val="0"/>
                      <w:bCs/>
                      <w:color w:val="auto"/>
                      <w:spacing w:val="6"/>
                      <w:sz w:val="21"/>
                      <w:szCs w:val="21"/>
                      <w:u w:val="none" w:color="auto"/>
                      <w:lang w:val="en-US" w:eastAsia="zh-CN"/>
                    </w:rPr>
                    <w:t>实验楼器材室内</w:t>
                  </w:r>
                </w:p>
              </w:tc>
              <w:tc>
                <w:tcPr>
                  <w:tcW w:w="276" w:type="pct"/>
                  <w:shd w:val="clear" w:color="auto" w:fill="auto"/>
                  <w:vAlign w:val="center"/>
                </w:tcPr>
                <w:p w14:paraId="3BCE753F">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0"/>
                      <w:sz w:val="21"/>
                      <w:szCs w:val="21"/>
                      <w:u w:val="none" w:color="auto"/>
                    </w:rPr>
                    <w:t>1瓶</w:t>
                  </w:r>
                </w:p>
              </w:tc>
              <w:tc>
                <w:tcPr>
                  <w:tcW w:w="270" w:type="pct"/>
                  <w:shd w:val="clear" w:color="auto" w:fill="auto"/>
                  <w:vAlign w:val="center"/>
                </w:tcPr>
                <w:p w14:paraId="7C70B4F6">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1"/>
                      <w:sz w:val="21"/>
                      <w:szCs w:val="21"/>
                      <w:u w:val="none" w:color="auto"/>
                    </w:rPr>
                    <w:t>3个月</w:t>
                  </w:r>
                </w:p>
              </w:tc>
              <w:tc>
                <w:tcPr>
                  <w:tcW w:w="742" w:type="pct"/>
                  <w:shd w:val="clear" w:color="auto" w:fill="auto"/>
                  <w:vAlign w:val="center"/>
                </w:tcPr>
                <w:p w14:paraId="4E0700BD">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rPr>
                    <w:t>7758-98-7</w:t>
                  </w:r>
                </w:p>
              </w:tc>
              <w:tc>
                <w:tcPr>
                  <w:tcW w:w="399" w:type="pct"/>
                  <w:shd w:val="clear" w:color="auto" w:fill="auto"/>
                  <w:vAlign w:val="center"/>
                </w:tcPr>
                <w:p w14:paraId="6CFC35BF">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lang w:val="en-US" w:eastAsia="zh-CN"/>
                    </w:rPr>
                    <w:t>外购</w:t>
                  </w:r>
                </w:p>
              </w:tc>
            </w:tr>
            <w:tr w14:paraId="35FFD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2" w:type="pct"/>
                  <w:vMerge w:val="continue"/>
                  <w:shd w:val="clear" w:color="auto" w:fill="auto"/>
                  <w:vAlign w:val="center"/>
                </w:tcPr>
                <w:p w14:paraId="28F49455">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8"/>
                      <w:sz w:val="21"/>
                      <w:szCs w:val="21"/>
                      <w:u w:val="none" w:color="auto"/>
                      <w:lang w:val="en-US" w:eastAsia="zh-CN"/>
                    </w:rPr>
                  </w:pPr>
                </w:p>
              </w:tc>
              <w:tc>
                <w:tcPr>
                  <w:tcW w:w="278" w:type="pct"/>
                  <w:shd w:val="clear" w:color="auto" w:fill="auto"/>
                  <w:vAlign w:val="center"/>
                </w:tcPr>
                <w:p w14:paraId="2C9F97C7">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6"/>
                      <w:sz w:val="21"/>
                      <w:szCs w:val="21"/>
                      <w:u w:val="none" w:color="auto"/>
                      <w:lang w:val="en-US" w:eastAsia="zh-CN"/>
                    </w:rPr>
                  </w:pPr>
                  <w:r>
                    <w:rPr>
                      <w:rFonts w:hint="default" w:ascii="Times New Roman" w:hAnsi="Times New Roman" w:eastAsia="宋体" w:cs="Times New Roman"/>
                      <w:b w:val="0"/>
                      <w:bCs/>
                      <w:color w:val="auto"/>
                      <w:spacing w:val="6"/>
                      <w:sz w:val="21"/>
                      <w:szCs w:val="21"/>
                      <w:u w:val="none" w:color="auto"/>
                      <w:lang w:val="en-US" w:eastAsia="zh-CN"/>
                    </w:rPr>
                    <w:t>柴油</w:t>
                  </w:r>
                </w:p>
              </w:tc>
              <w:tc>
                <w:tcPr>
                  <w:tcW w:w="565" w:type="pct"/>
                  <w:shd w:val="clear" w:color="auto" w:fill="auto"/>
                  <w:vAlign w:val="center"/>
                </w:tcPr>
                <w:p w14:paraId="4BF57D7F">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6"/>
                      <w:sz w:val="21"/>
                      <w:szCs w:val="21"/>
                      <w:u w:val="none" w:color="auto"/>
                      <w:lang w:val="en-US" w:eastAsia="zh-CN"/>
                    </w:rPr>
                  </w:pPr>
                  <w:r>
                    <w:rPr>
                      <w:rFonts w:hint="default" w:ascii="Times New Roman" w:hAnsi="Times New Roman" w:eastAsia="宋体" w:cs="Times New Roman"/>
                      <w:b w:val="0"/>
                      <w:bCs/>
                      <w:color w:val="auto"/>
                      <w:spacing w:val="3"/>
                      <w:sz w:val="21"/>
                      <w:szCs w:val="21"/>
                      <w:u w:val="none" w:color="auto"/>
                      <w:lang w:val="en-US" w:eastAsia="zh-CN"/>
                    </w:rPr>
                    <w:t>0</w:t>
                  </w:r>
                </w:p>
              </w:tc>
              <w:tc>
                <w:tcPr>
                  <w:tcW w:w="565" w:type="pct"/>
                  <w:shd w:val="clear" w:color="auto" w:fill="auto"/>
                  <w:vAlign w:val="center"/>
                </w:tcPr>
                <w:p w14:paraId="377909DA">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3"/>
                      <w:kern w:val="2"/>
                      <w:sz w:val="21"/>
                      <w:szCs w:val="21"/>
                      <w:u w:val="none" w:color="auto"/>
                      <w:lang w:val="en-US" w:eastAsia="zh-CN" w:bidi="ar-SA"/>
                    </w:rPr>
                  </w:pPr>
                  <w:r>
                    <w:rPr>
                      <w:rFonts w:hint="default" w:ascii="Times New Roman" w:hAnsi="Times New Roman" w:eastAsia="宋体" w:cs="Times New Roman"/>
                      <w:b w:val="0"/>
                      <w:bCs/>
                      <w:color w:val="auto"/>
                      <w:spacing w:val="3"/>
                      <w:sz w:val="21"/>
                      <w:szCs w:val="21"/>
                      <w:u w:val="none" w:color="auto"/>
                      <w:lang w:val="en-US" w:eastAsia="zh-CN"/>
                    </w:rPr>
                    <w:t>1</w:t>
                  </w:r>
                </w:p>
              </w:tc>
              <w:tc>
                <w:tcPr>
                  <w:tcW w:w="565" w:type="pct"/>
                  <w:shd w:val="clear" w:color="auto" w:fill="auto"/>
                  <w:vAlign w:val="center"/>
                </w:tcPr>
                <w:p w14:paraId="079C7AA7">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3"/>
                      <w:sz w:val="21"/>
                      <w:szCs w:val="21"/>
                      <w:u w:val="none" w:color="auto"/>
                      <w:lang w:val="en-US" w:eastAsia="zh-CN"/>
                    </w:rPr>
                  </w:pPr>
                  <w:r>
                    <w:rPr>
                      <w:rFonts w:hint="default" w:ascii="Times New Roman" w:hAnsi="Times New Roman" w:eastAsia="宋体" w:cs="Times New Roman"/>
                      <w:b w:val="0"/>
                      <w:bCs/>
                      <w:color w:val="auto"/>
                      <w:spacing w:val="3"/>
                      <w:sz w:val="21"/>
                      <w:szCs w:val="21"/>
                      <w:u w:val="none" w:color="auto"/>
                      <w:lang w:val="en-US" w:eastAsia="zh-CN"/>
                    </w:rPr>
                    <w:t>1</w:t>
                  </w:r>
                </w:p>
              </w:tc>
              <w:tc>
                <w:tcPr>
                  <w:tcW w:w="513" w:type="pct"/>
                  <w:shd w:val="clear" w:color="auto" w:fill="auto"/>
                  <w:vAlign w:val="center"/>
                </w:tcPr>
                <w:p w14:paraId="33E6B786">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1"/>
                      <w:sz w:val="21"/>
                      <w:szCs w:val="21"/>
                      <w:u w:val="none" w:color="auto"/>
                      <w:lang w:eastAsia="zh-CN"/>
                    </w:rPr>
                  </w:pPr>
                  <w:r>
                    <w:rPr>
                      <w:rFonts w:hint="default" w:ascii="Times New Roman" w:hAnsi="Times New Roman" w:eastAsia="宋体" w:cs="Times New Roman"/>
                      <w:b w:val="0"/>
                      <w:bCs/>
                      <w:color w:val="auto"/>
                      <w:spacing w:val="1"/>
                      <w:sz w:val="21"/>
                      <w:szCs w:val="21"/>
                      <w:u w:val="none" w:color="auto"/>
                      <w:lang w:val="en-US" w:eastAsia="zh-CN"/>
                    </w:rPr>
                    <w:t>t/a</w:t>
                  </w:r>
                </w:p>
              </w:tc>
              <w:tc>
                <w:tcPr>
                  <w:tcW w:w="559" w:type="pct"/>
                  <w:shd w:val="clear" w:color="auto" w:fill="auto"/>
                  <w:vAlign w:val="center"/>
                </w:tcPr>
                <w:p w14:paraId="709F471D">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7"/>
                      <w:sz w:val="21"/>
                      <w:szCs w:val="21"/>
                      <w:u w:val="none" w:color="auto"/>
                      <w:lang w:val="en-US" w:eastAsia="zh-CN"/>
                    </w:rPr>
                  </w:pPr>
                  <w:r>
                    <w:rPr>
                      <w:rFonts w:hint="default" w:ascii="Times New Roman" w:hAnsi="Times New Roman" w:eastAsia="宋体" w:cs="Times New Roman"/>
                      <w:b w:val="0"/>
                      <w:bCs/>
                      <w:color w:val="auto"/>
                      <w:spacing w:val="7"/>
                      <w:sz w:val="21"/>
                      <w:szCs w:val="21"/>
                      <w:u w:val="none" w:color="auto"/>
                    </w:rPr>
                    <w:t>50</w:t>
                  </w:r>
                  <w:r>
                    <w:rPr>
                      <w:rFonts w:hint="default" w:ascii="Times New Roman" w:hAnsi="Times New Roman" w:eastAsia="宋体" w:cs="Times New Roman"/>
                      <w:b w:val="0"/>
                      <w:bCs/>
                      <w:color w:val="auto"/>
                      <w:spacing w:val="7"/>
                      <w:sz w:val="21"/>
                      <w:szCs w:val="21"/>
                      <w:u w:val="none" w:color="auto"/>
                      <w:lang w:val="en-US" w:eastAsia="zh-CN"/>
                    </w:rPr>
                    <w:t>kg</w:t>
                  </w:r>
                  <w:r>
                    <w:rPr>
                      <w:rFonts w:hint="default" w:ascii="Times New Roman" w:hAnsi="Times New Roman" w:eastAsia="宋体" w:cs="Times New Roman"/>
                      <w:b w:val="0"/>
                      <w:bCs/>
                      <w:color w:val="auto"/>
                      <w:spacing w:val="7"/>
                      <w:sz w:val="21"/>
                      <w:szCs w:val="21"/>
                      <w:u w:val="none" w:color="auto"/>
                    </w:rPr>
                    <w:t>/</w:t>
                  </w:r>
                  <w:r>
                    <w:rPr>
                      <w:rFonts w:hint="default" w:ascii="Times New Roman" w:hAnsi="Times New Roman" w:eastAsia="宋体" w:cs="Times New Roman"/>
                      <w:b w:val="0"/>
                      <w:bCs/>
                      <w:color w:val="auto"/>
                      <w:spacing w:val="7"/>
                      <w:sz w:val="21"/>
                      <w:szCs w:val="21"/>
                      <w:u w:val="none" w:color="auto"/>
                      <w:lang w:val="en-US" w:eastAsia="zh-CN"/>
                    </w:rPr>
                    <w:t>桶</w:t>
                  </w:r>
                  <w:r>
                    <w:rPr>
                      <w:rFonts w:hint="default" w:ascii="Times New Roman" w:hAnsi="Times New Roman" w:eastAsia="宋体" w:cs="Times New Roman"/>
                      <w:b w:val="0"/>
                      <w:bCs/>
                      <w:color w:val="auto"/>
                      <w:spacing w:val="7"/>
                      <w:sz w:val="21"/>
                      <w:szCs w:val="21"/>
                      <w:u w:val="none" w:color="auto"/>
                    </w:rPr>
                    <w:t>，存储于</w:t>
                  </w:r>
                  <w:r>
                    <w:rPr>
                      <w:rFonts w:hint="default" w:ascii="Times New Roman" w:hAnsi="Times New Roman" w:eastAsia="宋体" w:cs="Times New Roman"/>
                      <w:b w:val="0"/>
                      <w:bCs/>
                      <w:color w:val="auto"/>
                      <w:spacing w:val="6"/>
                      <w:sz w:val="21"/>
                      <w:szCs w:val="21"/>
                      <w:u w:val="none" w:color="auto"/>
                      <w:lang w:val="en-US" w:eastAsia="zh-CN"/>
                    </w:rPr>
                    <w:t>综合楼地下一层发电机房内</w:t>
                  </w:r>
                </w:p>
              </w:tc>
              <w:tc>
                <w:tcPr>
                  <w:tcW w:w="276" w:type="pct"/>
                  <w:shd w:val="clear" w:color="auto" w:fill="auto"/>
                  <w:vAlign w:val="center"/>
                </w:tcPr>
                <w:p w14:paraId="6CA3099B">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0"/>
                      <w:sz w:val="21"/>
                      <w:szCs w:val="21"/>
                      <w:u w:val="none" w:color="auto"/>
                      <w:lang w:val="en-US" w:eastAsia="zh-CN"/>
                    </w:rPr>
                  </w:pPr>
                  <w:r>
                    <w:rPr>
                      <w:rFonts w:hint="default" w:ascii="Times New Roman" w:hAnsi="Times New Roman" w:eastAsia="宋体" w:cs="Times New Roman"/>
                      <w:b w:val="0"/>
                      <w:bCs/>
                      <w:color w:val="auto"/>
                      <w:spacing w:val="-10"/>
                      <w:sz w:val="21"/>
                      <w:szCs w:val="21"/>
                      <w:u w:val="none" w:color="auto"/>
                      <w:lang w:val="en-US" w:eastAsia="zh-CN"/>
                    </w:rPr>
                    <w:t>0.5吨</w:t>
                  </w:r>
                </w:p>
              </w:tc>
              <w:tc>
                <w:tcPr>
                  <w:tcW w:w="270" w:type="pct"/>
                  <w:shd w:val="clear" w:color="auto" w:fill="auto"/>
                  <w:vAlign w:val="center"/>
                </w:tcPr>
                <w:p w14:paraId="1C5FF3E1">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lang w:val="en-US" w:eastAsia="zh-CN"/>
                    </w:rPr>
                  </w:pPr>
                  <w:r>
                    <w:rPr>
                      <w:rFonts w:hint="default" w:ascii="Times New Roman" w:hAnsi="Times New Roman" w:eastAsia="宋体" w:cs="Times New Roman"/>
                      <w:b w:val="0"/>
                      <w:bCs/>
                      <w:color w:val="auto"/>
                      <w:spacing w:val="1"/>
                      <w:sz w:val="21"/>
                      <w:szCs w:val="21"/>
                      <w:u w:val="none" w:color="auto"/>
                      <w:lang w:val="en-US" w:eastAsia="zh-CN"/>
                    </w:rPr>
                    <w:t>半年</w:t>
                  </w:r>
                </w:p>
              </w:tc>
              <w:tc>
                <w:tcPr>
                  <w:tcW w:w="742" w:type="pct"/>
                  <w:shd w:val="clear" w:color="auto" w:fill="auto"/>
                  <w:vAlign w:val="center"/>
                </w:tcPr>
                <w:p w14:paraId="26B501A5">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rPr>
                    <w:fldChar w:fldCharType="begin"/>
                  </w:r>
                  <w:r>
                    <w:rPr>
                      <w:rFonts w:hint="default" w:ascii="Times New Roman" w:hAnsi="Times New Roman" w:eastAsia="宋体" w:cs="Times New Roman"/>
                      <w:b w:val="0"/>
                      <w:bCs/>
                      <w:color w:val="auto"/>
                      <w:spacing w:val="1"/>
                      <w:sz w:val="21"/>
                      <w:szCs w:val="21"/>
                      <w:u w:val="none" w:color="auto"/>
                    </w:rPr>
                    <w:instrText xml:space="preserve"> HYPERLINK "https://www.chembk.com/cn/chem/68334-30-5" </w:instrText>
                  </w:r>
                  <w:r>
                    <w:rPr>
                      <w:rFonts w:hint="default" w:ascii="Times New Roman" w:hAnsi="Times New Roman" w:eastAsia="宋体" w:cs="Times New Roman"/>
                      <w:b w:val="0"/>
                      <w:bCs/>
                      <w:color w:val="auto"/>
                      <w:spacing w:val="1"/>
                      <w:sz w:val="21"/>
                      <w:szCs w:val="21"/>
                      <w:u w:val="none" w:color="auto"/>
                    </w:rPr>
                    <w:fldChar w:fldCharType="separate"/>
                  </w:r>
                  <w:r>
                    <w:rPr>
                      <w:rFonts w:hint="default" w:ascii="Times New Roman" w:hAnsi="Times New Roman" w:eastAsia="宋体" w:cs="Times New Roman"/>
                      <w:b w:val="0"/>
                      <w:bCs/>
                      <w:color w:val="auto"/>
                      <w:spacing w:val="1"/>
                      <w:sz w:val="21"/>
                      <w:szCs w:val="21"/>
                      <w:u w:val="none" w:color="auto"/>
                    </w:rPr>
                    <w:t>68334-30-5</w:t>
                  </w:r>
                  <w:r>
                    <w:rPr>
                      <w:rFonts w:hint="default" w:ascii="Times New Roman" w:hAnsi="Times New Roman" w:eastAsia="宋体" w:cs="Times New Roman"/>
                      <w:b w:val="0"/>
                      <w:bCs/>
                      <w:color w:val="auto"/>
                      <w:spacing w:val="1"/>
                      <w:sz w:val="21"/>
                      <w:szCs w:val="21"/>
                      <w:u w:val="none" w:color="auto"/>
                    </w:rPr>
                    <w:fldChar w:fldCharType="end"/>
                  </w:r>
                </w:p>
              </w:tc>
              <w:tc>
                <w:tcPr>
                  <w:tcW w:w="399" w:type="pct"/>
                  <w:shd w:val="clear" w:color="auto" w:fill="auto"/>
                  <w:vAlign w:val="center"/>
                </w:tcPr>
                <w:p w14:paraId="77D8CE79">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pacing w:val="1"/>
                      <w:sz w:val="21"/>
                      <w:szCs w:val="21"/>
                      <w:u w:val="none" w:color="auto"/>
                      <w:lang w:val="en-US" w:eastAsia="zh-CN"/>
                    </w:rPr>
                    <w:t>外购</w:t>
                  </w:r>
                </w:p>
              </w:tc>
            </w:tr>
            <w:tr w14:paraId="6A854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2" w:type="pct"/>
                  <w:vMerge w:val="restart"/>
                  <w:shd w:val="clear" w:color="auto" w:fill="auto"/>
                  <w:vAlign w:val="center"/>
                </w:tcPr>
                <w:p w14:paraId="28928CA9">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8"/>
                      <w:sz w:val="21"/>
                      <w:szCs w:val="21"/>
                      <w:u w:val="none" w:color="auto"/>
                      <w:lang w:val="en-US" w:eastAsia="zh-CN"/>
                    </w:rPr>
                  </w:pPr>
                  <w:r>
                    <w:rPr>
                      <w:rFonts w:hint="default" w:ascii="Times New Roman" w:hAnsi="Times New Roman" w:eastAsia="宋体" w:cs="Times New Roman"/>
                      <w:b w:val="0"/>
                      <w:bCs/>
                      <w:color w:val="auto"/>
                      <w:spacing w:val="-8"/>
                      <w:sz w:val="21"/>
                      <w:szCs w:val="21"/>
                      <w:u w:val="none" w:color="auto"/>
                      <w:lang w:val="en-US" w:eastAsia="zh-CN"/>
                    </w:rPr>
                    <w:t>能源</w:t>
                  </w:r>
                </w:p>
              </w:tc>
              <w:tc>
                <w:tcPr>
                  <w:tcW w:w="278" w:type="pct"/>
                  <w:shd w:val="clear" w:color="auto" w:fill="auto"/>
                  <w:vAlign w:val="center"/>
                </w:tcPr>
                <w:p w14:paraId="3CE027BF">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b w:val="0"/>
                      <w:bCs/>
                      <w:color w:val="auto"/>
                      <w:spacing w:val="6"/>
                      <w:sz w:val="21"/>
                      <w:szCs w:val="21"/>
                      <w:u w:val="none" w:color="auto"/>
                      <w:lang w:val="en-US" w:eastAsia="zh-CN"/>
                    </w:rPr>
                  </w:pPr>
                  <w:r>
                    <w:rPr>
                      <w:rFonts w:hint="default" w:ascii="Times New Roman" w:hAnsi="Times New Roman" w:eastAsia="宋体" w:cs="Times New Roman"/>
                      <w:b w:val="0"/>
                      <w:bCs/>
                      <w:color w:val="auto"/>
                      <w:sz w:val="21"/>
                      <w:szCs w:val="21"/>
                      <w:highlight w:val="none"/>
                      <w:u w:val="none" w:color="auto"/>
                    </w:rPr>
                    <w:t>新鲜水</w:t>
                  </w:r>
                </w:p>
              </w:tc>
              <w:tc>
                <w:tcPr>
                  <w:tcW w:w="565" w:type="pct"/>
                  <w:shd w:val="clear" w:color="auto" w:fill="auto"/>
                  <w:vAlign w:val="center"/>
                </w:tcPr>
                <w:p w14:paraId="07683F7C">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3"/>
                      <w:sz w:val="21"/>
                      <w:szCs w:val="21"/>
                      <w:u w:val="none" w:color="auto"/>
                      <w:lang w:val="en-US" w:eastAsia="zh-CN"/>
                    </w:rPr>
                  </w:pPr>
                  <w:r>
                    <w:rPr>
                      <w:rFonts w:hint="default" w:ascii="Times New Roman" w:hAnsi="Times New Roman" w:eastAsia="宋体" w:cs="Times New Roman"/>
                      <w:b w:val="0"/>
                      <w:bCs/>
                      <w:color w:val="auto"/>
                      <w:spacing w:val="3"/>
                      <w:sz w:val="21"/>
                      <w:szCs w:val="21"/>
                      <w:u w:val="none" w:color="auto"/>
                      <w:lang w:val="en-US" w:eastAsia="zh-CN"/>
                    </w:rPr>
                    <w:t>133194</w:t>
                  </w:r>
                </w:p>
              </w:tc>
              <w:tc>
                <w:tcPr>
                  <w:tcW w:w="565" w:type="pct"/>
                  <w:shd w:val="clear" w:color="auto" w:fill="auto"/>
                  <w:vAlign w:val="center"/>
                </w:tcPr>
                <w:p w14:paraId="7FA11BB8">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3"/>
                      <w:sz w:val="21"/>
                      <w:szCs w:val="21"/>
                      <w:u w:val="none" w:color="auto"/>
                      <w:lang w:val="en-US" w:eastAsia="zh-CN"/>
                    </w:rPr>
                  </w:pPr>
                  <w:r>
                    <w:rPr>
                      <w:rFonts w:hint="default" w:ascii="Times New Roman" w:hAnsi="Times New Roman" w:eastAsia="宋体" w:cs="Times New Roman"/>
                      <w:b w:val="0"/>
                      <w:bCs/>
                      <w:color w:val="auto"/>
                      <w:spacing w:val="3"/>
                      <w:sz w:val="21"/>
                      <w:szCs w:val="21"/>
                      <w:u w:val="none" w:color="auto"/>
                      <w:lang w:val="en-US" w:eastAsia="zh-CN"/>
                    </w:rPr>
                    <w:t>1998</w:t>
                  </w:r>
                </w:p>
              </w:tc>
              <w:tc>
                <w:tcPr>
                  <w:tcW w:w="565" w:type="pct"/>
                  <w:shd w:val="clear" w:color="auto" w:fill="auto"/>
                  <w:vAlign w:val="center"/>
                </w:tcPr>
                <w:p w14:paraId="24A45BBA">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3"/>
                      <w:sz w:val="21"/>
                      <w:szCs w:val="21"/>
                      <w:u w:val="none" w:color="auto"/>
                      <w:lang w:val="en-US" w:eastAsia="zh-CN"/>
                    </w:rPr>
                  </w:pPr>
                  <w:r>
                    <w:rPr>
                      <w:rFonts w:hint="default" w:ascii="Times New Roman" w:hAnsi="Times New Roman" w:eastAsia="宋体" w:cs="Times New Roman"/>
                      <w:b w:val="0"/>
                      <w:bCs/>
                      <w:color w:val="auto"/>
                      <w:spacing w:val="3"/>
                      <w:sz w:val="21"/>
                      <w:szCs w:val="21"/>
                      <w:u w:val="none" w:color="auto"/>
                      <w:lang w:val="en-US" w:eastAsia="zh-CN"/>
                    </w:rPr>
                    <w:t>135192</w:t>
                  </w:r>
                </w:p>
              </w:tc>
              <w:tc>
                <w:tcPr>
                  <w:tcW w:w="513" w:type="pct"/>
                  <w:shd w:val="clear" w:color="auto" w:fill="auto"/>
                  <w:vAlign w:val="center"/>
                </w:tcPr>
                <w:p w14:paraId="250662BA">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z w:val="21"/>
                      <w:szCs w:val="21"/>
                      <w:highlight w:val="none"/>
                      <w:u w:val="none" w:color="auto"/>
                    </w:rPr>
                    <w:t>m</w:t>
                  </w:r>
                  <w:r>
                    <w:rPr>
                      <w:rFonts w:hint="default" w:ascii="Times New Roman" w:hAnsi="Times New Roman" w:eastAsia="宋体" w:cs="Times New Roman"/>
                      <w:b w:val="0"/>
                      <w:bCs/>
                      <w:color w:val="auto"/>
                      <w:sz w:val="21"/>
                      <w:szCs w:val="21"/>
                      <w:highlight w:val="none"/>
                      <w:u w:val="none" w:color="auto"/>
                      <w:vertAlign w:val="superscript"/>
                    </w:rPr>
                    <w:t>3</w:t>
                  </w:r>
                  <w:r>
                    <w:rPr>
                      <w:rFonts w:hint="default" w:ascii="Times New Roman" w:hAnsi="Times New Roman" w:eastAsia="宋体" w:cs="Times New Roman"/>
                      <w:b w:val="0"/>
                      <w:bCs/>
                      <w:color w:val="auto"/>
                      <w:sz w:val="21"/>
                      <w:szCs w:val="21"/>
                      <w:highlight w:val="none"/>
                      <w:u w:val="none" w:color="auto"/>
                    </w:rPr>
                    <w:t>/a</w:t>
                  </w:r>
                </w:p>
              </w:tc>
              <w:tc>
                <w:tcPr>
                  <w:tcW w:w="559" w:type="pct"/>
                  <w:shd w:val="clear" w:color="auto" w:fill="auto"/>
                  <w:vAlign w:val="center"/>
                </w:tcPr>
                <w:p w14:paraId="78E9AD59">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7"/>
                      <w:sz w:val="21"/>
                      <w:szCs w:val="21"/>
                      <w:u w:val="none" w:color="auto"/>
                      <w:lang w:val="en-US" w:eastAsia="zh-CN"/>
                    </w:rPr>
                  </w:pPr>
                  <w:r>
                    <w:rPr>
                      <w:rFonts w:hint="default" w:ascii="Times New Roman" w:hAnsi="Times New Roman" w:eastAsia="宋体" w:cs="Times New Roman"/>
                      <w:b w:val="0"/>
                      <w:bCs/>
                      <w:color w:val="auto"/>
                      <w:spacing w:val="7"/>
                      <w:sz w:val="21"/>
                      <w:szCs w:val="21"/>
                      <w:u w:val="none" w:color="auto"/>
                      <w:lang w:val="en-US" w:eastAsia="zh-CN"/>
                    </w:rPr>
                    <w:t>/</w:t>
                  </w:r>
                </w:p>
              </w:tc>
              <w:tc>
                <w:tcPr>
                  <w:tcW w:w="276" w:type="pct"/>
                  <w:shd w:val="clear" w:color="auto" w:fill="auto"/>
                  <w:vAlign w:val="center"/>
                </w:tcPr>
                <w:p w14:paraId="45ADB0BE">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0"/>
                      <w:sz w:val="21"/>
                      <w:szCs w:val="21"/>
                      <w:u w:val="none" w:color="auto"/>
                      <w:lang w:val="en-US" w:eastAsia="zh-CN"/>
                    </w:rPr>
                  </w:pPr>
                  <w:r>
                    <w:rPr>
                      <w:rFonts w:hint="default" w:ascii="Times New Roman" w:hAnsi="Times New Roman" w:eastAsia="宋体" w:cs="Times New Roman"/>
                      <w:b w:val="0"/>
                      <w:bCs/>
                      <w:color w:val="auto"/>
                      <w:spacing w:val="-10"/>
                      <w:sz w:val="21"/>
                      <w:szCs w:val="21"/>
                      <w:u w:val="none" w:color="auto"/>
                      <w:lang w:val="en-US" w:eastAsia="zh-CN"/>
                    </w:rPr>
                    <w:t>/</w:t>
                  </w:r>
                </w:p>
              </w:tc>
              <w:tc>
                <w:tcPr>
                  <w:tcW w:w="270" w:type="pct"/>
                  <w:shd w:val="clear" w:color="auto" w:fill="auto"/>
                  <w:vAlign w:val="center"/>
                </w:tcPr>
                <w:p w14:paraId="05308E7F">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lang w:val="en-US" w:eastAsia="zh-CN"/>
                    </w:rPr>
                  </w:pPr>
                  <w:r>
                    <w:rPr>
                      <w:rFonts w:hint="default" w:ascii="Times New Roman" w:hAnsi="Times New Roman" w:eastAsia="宋体" w:cs="Times New Roman"/>
                      <w:b w:val="0"/>
                      <w:bCs/>
                      <w:color w:val="auto"/>
                      <w:spacing w:val="1"/>
                      <w:sz w:val="21"/>
                      <w:szCs w:val="21"/>
                      <w:u w:val="none" w:color="auto"/>
                      <w:lang w:val="en-US" w:eastAsia="zh-CN"/>
                    </w:rPr>
                    <w:t>/</w:t>
                  </w:r>
                </w:p>
              </w:tc>
              <w:tc>
                <w:tcPr>
                  <w:tcW w:w="742" w:type="pct"/>
                  <w:shd w:val="clear" w:color="auto" w:fill="auto"/>
                  <w:vAlign w:val="center"/>
                </w:tcPr>
                <w:p w14:paraId="26FE7CB6">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sz w:val="21"/>
                      <w:szCs w:val="21"/>
                      <w:u w:val="none" w:color="auto"/>
                      <w:lang w:val="en-US" w:eastAsia="zh-CN"/>
                    </w:rPr>
                  </w:pPr>
                  <w:r>
                    <w:rPr>
                      <w:rFonts w:hint="default" w:ascii="Times New Roman" w:hAnsi="Times New Roman" w:eastAsia="宋体" w:cs="Times New Roman"/>
                      <w:b w:val="0"/>
                      <w:bCs/>
                      <w:color w:val="auto"/>
                      <w:spacing w:val="1"/>
                      <w:sz w:val="21"/>
                      <w:szCs w:val="21"/>
                      <w:u w:val="none" w:color="auto"/>
                      <w:lang w:val="en-US" w:eastAsia="zh-CN"/>
                    </w:rPr>
                    <w:t>/</w:t>
                  </w:r>
                </w:p>
              </w:tc>
              <w:tc>
                <w:tcPr>
                  <w:tcW w:w="399" w:type="pct"/>
                  <w:shd w:val="clear" w:color="auto" w:fill="auto"/>
                  <w:vAlign w:val="center"/>
                </w:tcPr>
                <w:p w14:paraId="000F067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pacing w:val="1"/>
                      <w:sz w:val="21"/>
                      <w:szCs w:val="21"/>
                      <w:u w:val="none" w:color="auto"/>
                      <w:lang w:val="en-US" w:eastAsia="zh-CN"/>
                    </w:rPr>
                  </w:pPr>
                  <w:r>
                    <w:rPr>
                      <w:rFonts w:hint="default" w:ascii="Times New Roman" w:hAnsi="Times New Roman" w:eastAsia="宋体" w:cs="Times New Roman"/>
                      <w:b w:val="0"/>
                      <w:bCs/>
                      <w:color w:val="auto"/>
                      <w:sz w:val="21"/>
                      <w:szCs w:val="21"/>
                      <w:highlight w:val="none"/>
                      <w:u w:val="none" w:color="auto"/>
                    </w:rPr>
                    <w:t>由市政供水管网供给</w:t>
                  </w:r>
                </w:p>
              </w:tc>
            </w:tr>
            <w:tr w14:paraId="310E9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2" w:type="pct"/>
                  <w:vMerge w:val="continue"/>
                  <w:shd w:val="clear" w:color="auto" w:fill="auto"/>
                  <w:vAlign w:val="center"/>
                </w:tcPr>
                <w:p w14:paraId="117B7AF9">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8"/>
                      <w:sz w:val="21"/>
                      <w:szCs w:val="21"/>
                      <w:u w:val="none" w:color="auto"/>
                      <w:lang w:val="en-US" w:eastAsia="zh-CN"/>
                    </w:rPr>
                  </w:pPr>
                </w:p>
              </w:tc>
              <w:tc>
                <w:tcPr>
                  <w:tcW w:w="278" w:type="pct"/>
                  <w:shd w:val="clear" w:color="auto" w:fill="auto"/>
                  <w:vAlign w:val="center"/>
                </w:tcPr>
                <w:p w14:paraId="0162FF4E">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b w:val="0"/>
                      <w:bCs/>
                      <w:color w:val="auto"/>
                      <w:spacing w:val="6"/>
                      <w:sz w:val="21"/>
                      <w:szCs w:val="21"/>
                      <w:u w:val="none" w:color="auto"/>
                      <w:lang w:val="en-US" w:eastAsia="zh-CN"/>
                    </w:rPr>
                  </w:pPr>
                  <w:r>
                    <w:rPr>
                      <w:rFonts w:hint="default" w:ascii="Times New Roman" w:hAnsi="Times New Roman" w:eastAsia="宋体" w:cs="Times New Roman"/>
                      <w:b w:val="0"/>
                      <w:bCs/>
                      <w:color w:val="auto"/>
                      <w:sz w:val="21"/>
                      <w:szCs w:val="21"/>
                      <w:highlight w:val="none"/>
                      <w:u w:val="none" w:color="auto"/>
                    </w:rPr>
                    <w:t>电</w:t>
                  </w:r>
                </w:p>
              </w:tc>
              <w:tc>
                <w:tcPr>
                  <w:tcW w:w="565" w:type="pct"/>
                  <w:shd w:val="clear" w:color="auto" w:fill="auto"/>
                  <w:vAlign w:val="center"/>
                </w:tcPr>
                <w:p w14:paraId="11A38792">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3"/>
                      <w:sz w:val="21"/>
                      <w:szCs w:val="21"/>
                      <w:u w:val="none" w:color="auto"/>
                      <w:lang w:val="en-US" w:eastAsia="zh-CN"/>
                    </w:rPr>
                  </w:pPr>
                  <w:r>
                    <w:rPr>
                      <w:rFonts w:hint="default" w:ascii="Times New Roman" w:hAnsi="Times New Roman" w:eastAsia="宋体" w:cs="Times New Roman"/>
                      <w:b w:val="0"/>
                      <w:bCs/>
                      <w:color w:val="auto"/>
                      <w:spacing w:val="3"/>
                      <w:sz w:val="21"/>
                      <w:szCs w:val="21"/>
                      <w:u w:val="none" w:color="auto"/>
                      <w:lang w:val="en-US" w:eastAsia="zh-CN"/>
                    </w:rPr>
                    <w:t>78.8</w:t>
                  </w:r>
                </w:p>
              </w:tc>
              <w:tc>
                <w:tcPr>
                  <w:tcW w:w="565" w:type="pct"/>
                  <w:shd w:val="clear" w:color="auto" w:fill="auto"/>
                  <w:vAlign w:val="center"/>
                </w:tcPr>
                <w:p w14:paraId="02F4E598">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3"/>
                      <w:sz w:val="21"/>
                      <w:szCs w:val="21"/>
                      <w:u w:val="none" w:color="auto"/>
                      <w:lang w:val="en-US" w:eastAsia="zh-CN"/>
                    </w:rPr>
                  </w:pPr>
                  <w:r>
                    <w:rPr>
                      <w:rFonts w:hint="default" w:ascii="Times New Roman" w:hAnsi="Times New Roman" w:eastAsia="宋体" w:cs="Times New Roman"/>
                      <w:b w:val="0"/>
                      <w:bCs/>
                      <w:color w:val="auto"/>
                      <w:spacing w:val="3"/>
                      <w:sz w:val="21"/>
                      <w:szCs w:val="21"/>
                      <w:u w:val="none" w:color="auto"/>
                      <w:lang w:val="en-US" w:eastAsia="zh-CN"/>
                    </w:rPr>
                    <w:t>23.63</w:t>
                  </w:r>
                </w:p>
              </w:tc>
              <w:tc>
                <w:tcPr>
                  <w:tcW w:w="565" w:type="pct"/>
                  <w:shd w:val="clear" w:color="auto" w:fill="auto"/>
                  <w:vAlign w:val="center"/>
                </w:tcPr>
                <w:p w14:paraId="12D82360">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3"/>
                      <w:sz w:val="21"/>
                      <w:szCs w:val="21"/>
                      <w:u w:val="none" w:color="auto"/>
                      <w:lang w:val="en-US" w:eastAsia="zh-CN"/>
                    </w:rPr>
                  </w:pPr>
                  <w:r>
                    <w:rPr>
                      <w:rFonts w:hint="default" w:ascii="Times New Roman" w:hAnsi="Times New Roman" w:eastAsia="宋体" w:cs="Times New Roman"/>
                      <w:b w:val="0"/>
                      <w:bCs/>
                      <w:color w:val="auto"/>
                      <w:spacing w:val="3"/>
                      <w:sz w:val="21"/>
                      <w:szCs w:val="21"/>
                      <w:u w:val="none" w:color="auto"/>
                      <w:lang w:val="en-US" w:eastAsia="zh-CN"/>
                    </w:rPr>
                    <w:t>102.43</w:t>
                  </w:r>
                </w:p>
              </w:tc>
              <w:tc>
                <w:tcPr>
                  <w:tcW w:w="513" w:type="pct"/>
                  <w:shd w:val="clear" w:color="auto" w:fill="auto"/>
                  <w:vAlign w:val="center"/>
                </w:tcPr>
                <w:p w14:paraId="503C682E">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1"/>
                      <w:sz w:val="21"/>
                      <w:szCs w:val="21"/>
                      <w:u w:val="none" w:color="auto"/>
                    </w:rPr>
                  </w:pPr>
                  <w:r>
                    <w:rPr>
                      <w:rFonts w:hint="default" w:ascii="Times New Roman" w:hAnsi="Times New Roman" w:eastAsia="宋体" w:cs="Times New Roman"/>
                      <w:b w:val="0"/>
                      <w:bCs/>
                      <w:color w:val="auto"/>
                      <w:sz w:val="21"/>
                      <w:szCs w:val="21"/>
                      <w:highlight w:val="none"/>
                      <w:u w:val="none" w:color="auto"/>
                    </w:rPr>
                    <w:t>万kW·h/a</w:t>
                  </w:r>
                </w:p>
              </w:tc>
              <w:tc>
                <w:tcPr>
                  <w:tcW w:w="559" w:type="pct"/>
                  <w:shd w:val="clear" w:color="auto" w:fill="auto"/>
                  <w:vAlign w:val="center"/>
                </w:tcPr>
                <w:p w14:paraId="288F0132">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7"/>
                      <w:kern w:val="2"/>
                      <w:sz w:val="21"/>
                      <w:szCs w:val="21"/>
                      <w:u w:val="none" w:color="auto"/>
                      <w:lang w:val="en-US" w:eastAsia="zh-CN" w:bidi="ar-SA"/>
                    </w:rPr>
                  </w:pPr>
                  <w:r>
                    <w:rPr>
                      <w:rFonts w:hint="default" w:ascii="Times New Roman" w:hAnsi="Times New Roman" w:eastAsia="宋体" w:cs="Times New Roman"/>
                      <w:b w:val="0"/>
                      <w:bCs/>
                      <w:color w:val="auto"/>
                      <w:spacing w:val="7"/>
                      <w:sz w:val="21"/>
                      <w:szCs w:val="21"/>
                      <w:u w:val="none" w:color="auto"/>
                      <w:lang w:val="en-US" w:eastAsia="zh-CN"/>
                    </w:rPr>
                    <w:t>/</w:t>
                  </w:r>
                </w:p>
              </w:tc>
              <w:tc>
                <w:tcPr>
                  <w:tcW w:w="276" w:type="pct"/>
                  <w:shd w:val="clear" w:color="auto" w:fill="auto"/>
                  <w:vAlign w:val="center"/>
                </w:tcPr>
                <w:p w14:paraId="754C1B34">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0"/>
                      <w:kern w:val="2"/>
                      <w:sz w:val="21"/>
                      <w:szCs w:val="21"/>
                      <w:u w:val="none" w:color="auto"/>
                      <w:lang w:val="en-US" w:eastAsia="zh-CN" w:bidi="ar-SA"/>
                    </w:rPr>
                  </w:pPr>
                  <w:r>
                    <w:rPr>
                      <w:rFonts w:hint="default" w:ascii="Times New Roman" w:hAnsi="Times New Roman" w:eastAsia="宋体" w:cs="Times New Roman"/>
                      <w:b w:val="0"/>
                      <w:bCs/>
                      <w:color w:val="auto"/>
                      <w:spacing w:val="-10"/>
                      <w:sz w:val="21"/>
                      <w:szCs w:val="21"/>
                      <w:u w:val="none" w:color="auto"/>
                      <w:lang w:val="en-US" w:eastAsia="zh-CN"/>
                    </w:rPr>
                    <w:t>/</w:t>
                  </w:r>
                </w:p>
              </w:tc>
              <w:tc>
                <w:tcPr>
                  <w:tcW w:w="270" w:type="pct"/>
                  <w:shd w:val="clear" w:color="auto" w:fill="auto"/>
                  <w:vAlign w:val="center"/>
                </w:tcPr>
                <w:p w14:paraId="1F7211D9">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kern w:val="2"/>
                      <w:sz w:val="21"/>
                      <w:szCs w:val="21"/>
                      <w:u w:val="none" w:color="auto"/>
                      <w:lang w:val="en-US" w:eastAsia="zh-CN" w:bidi="ar-SA"/>
                    </w:rPr>
                  </w:pPr>
                  <w:r>
                    <w:rPr>
                      <w:rFonts w:hint="default" w:ascii="Times New Roman" w:hAnsi="Times New Roman" w:eastAsia="宋体" w:cs="Times New Roman"/>
                      <w:b w:val="0"/>
                      <w:bCs/>
                      <w:color w:val="auto"/>
                      <w:spacing w:val="1"/>
                      <w:sz w:val="21"/>
                      <w:szCs w:val="21"/>
                      <w:u w:val="none" w:color="auto"/>
                      <w:lang w:val="en-US" w:eastAsia="zh-CN"/>
                    </w:rPr>
                    <w:t>/</w:t>
                  </w:r>
                </w:p>
              </w:tc>
              <w:tc>
                <w:tcPr>
                  <w:tcW w:w="742" w:type="pct"/>
                  <w:shd w:val="clear" w:color="auto" w:fill="auto"/>
                  <w:vAlign w:val="center"/>
                </w:tcPr>
                <w:p w14:paraId="04EB4C9A">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spacing w:val="1"/>
                      <w:kern w:val="2"/>
                      <w:sz w:val="21"/>
                      <w:szCs w:val="21"/>
                      <w:u w:val="none" w:color="auto"/>
                      <w:lang w:val="en-US" w:eastAsia="zh-CN" w:bidi="ar-SA"/>
                    </w:rPr>
                  </w:pPr>
                  <w:r>
                    <w:rPr>
                      <w:rFonts w:hint="default" w:ascii="Times New Roman" w:hAnsi="Times New Roman" w:eastAsia="宋体" w:cs="Times New Roman"/>
                      <w:b w:val="0"/>
                      <w:bCs/>
                      <w:color w:val="auto"/>
                      <w:spacing w:val="1"/>
                      <w:sz w:val="21"/>
                      <w:szCs w:val="21"/>
                      <w:u w:val="none" w:color="auto"/>
                      <w:lang w:val="en-US" w:eastAsia="zh-CN"/>
                    </w:rPr>
                    <w:t>/</w:t>
                  </w:r>
                </w:p>
              </w:tc>
              <w:tc>
                <w:tcPr>
                  <w:tcW w:w="399" w:type="pct"/>
                  <w:shd w:val="clear" w:color="auto" w:fill="auto"/>
                  <w:vAlign w:val="center"/>
                </w:tcPr>
                <w:p w14:paraId="5861F0A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pacing w:val="1"/>
                      <w:sz w:val="21"/>
                      <w:szCs w:val="21"/>
                      <w:u w:val="none" w:color="auto"/>
                      <w:lang w:val="en-US" w:eastAsia="zh-CN"/>
                    </w:rPr>
                  </w:pPr>
                  <w:r>
                    <w:rPr>
                      <w:rFonts w:hint="default" w:ascii="Times New Roman" w:hAnsi="Times New Roman" w:eastAsia="宋体" w:cs="Times New Roman"/>
                      <w:b w:val="0"/>
                      <w:bCs/>
                      <w:color w:val="auto"/>
                      <w:sz w:val="21"/>
                      <w:szCs w:val="21"/>
                      <w:highlight w:val="none"/>
                      <w:u w:val="none" w:color="auto"/>
                    </w:rPr>
                    <w:t>由市政供电系统供应</w:t>
                  </w:r>
                </w:p>
              </w:tc>
            </w:tr>
          </w:tbl>
          <w:p w14:paraId="038B79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highlight w:val="none"/>
                <w:u w:val="none" w:color="auto"/>
              </w:rPr>
            </w:pPr>
            <w:r>
              <w:rPr>
                <w:rFonts w:hint="default" w:ascii="Times New Roman" w:hAnsi="Times New Roman" w:eastAsia="宋体" w:cs="Times New Roman"/>
                <w:b/>
                <w:bCs/>
                <w:color w:val="auto"/>
                <w:sz w:val="24"/>
                <w:highlight w:val="none"/>
                <w:u w:val="none" w:color="auto"/>
              </w:rPr>
              <w:t>表2-7      项目</w:t>
            </w:r>
            <w:r>
              <w:rPr>
                <w:rFonts w:hint="eastAsia" w:ascii="Times New Roman" w:hAnsi="Times New Roman" w:eastAsia="宋体" w:cs="Times New Roman"/>
                <w:b/>
                <w:bCs/>
                <w:color w:val="auto"/>
                <w:sz w:val="24"/>
                <w:highlight w:val="none"/>
                <w:u w:val="none" w:color="auto"/>
                <w:lang w:val="en-US" w:eastAsia="zh-CN"/>
              </w:rPr>
              <w:t>原辅材料</w:t>
            </w:r>
            <w:r>
              <w:rPr>
                <w:rFonts w:hint="default" w:ascii="Times New Roman" w:hAnsi="Times New Roman" w:eastAsia="宋体" w:cs="Times New Roman"/>
                <w:b/>
                <w:bCs/>
                <w:color w:val="auto"/>
                <w:sz w:val="24"/>
                <w:highlight w:val="none"/>
                <w:u w:val="none" w:color="auto"/>
              </w:rPr>
              <w:t>理化性质一览表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2"/>
              <w:gridCol w:w="1162"/>
              <w:gridCol w:w="6212"/>
            </w:tblGrid>
            <w:tr w14:paraId="02925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pct"/>
                  <w:vAlign w:val="center"/>
                </w:tcPr>
                <w:p w14:paraId="248F9A65">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b w:val="0"/>
                      <w:bCs/>
                      <w:color w:val="auto"/>
                      <w:sz w:val="21"/>
                      <w:szCs w:val="21"/>
                      <w:highlight w:val="none"/>
                      <w:u w:val="none" w:color="auto"/>
                      <w:vertAlign w:val="baseline"/>
                      <w:lang w:val="en-US" w:eastAsia="zh-CN"/>
                    </w:rPr>
                  </w:pPr>
                  <w:r>
                    <w:rPr>
                      <w:rFonts w:hint="default" w:ascii="Times New Roman" w:hAnsi="Times New Roman" w:eastAsia="宋体" w:cs="Times New Roman"/>
                      <w:b w:val="0"/>
                      <w:bCs/>
                      <w:color w:val="auto"/>
                      <w:sz w:val="21"/>
                      <w:szCs w:val="21"/>
                      <w:highlight w:val="none"/>
                      <w:u w:val="none" w:color="auto"/>
                      <w:vertAlign w:val="baseline"/>
                      <w:lang w:val="en-US" w:eastAsia="zh-CN"/>
                    </w:rPr>
                    <w:t>序号</w:t>
                  </w:r>
                </w:p>
              </w:tc>
              <w:tc>
                <w:tcPr>
                  <w:tcW w:w="714" w:type="pct"/>
                  <w:vAlign w:val="center"/>
                </w:tcPr>
                <w:p w14:paraId="2A70515C">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z w:val="21"/>
                      <w:szCs w:val="21"/>
                      <w:highlight w:val="none"/>
                      <w:u w:val="none" w:color="auto"/>
                      <w:vertAlign w:val="baseline"/>
                    </w:rPr>
                  </w:pPr>
                  <w:r>
                    <w:rPr>
                      <w:rFonts w:hint="default" w:ascii="Times New Roman" w:hAnsi="Times New Roman" w:eastAsia="宋体" w:cs="Times New Roman"/>
                      <w:b w:val="0"/>
                      <w:bCs/>
                      <w:color w:val="auto"/>
                      <w:spacing w:val="3"/>
                      <w:sz w:val="21"/>
                      <w:szCs w:val="21"/>
                      <w:u w:val="none" w:color="auto"/>
                    </w:rPr>
                    <w:t>名称</w:t>
                  </w:r>
                </w:p>
              </w:tc>
              <w:tc>
                <w:tcPr>
                  <w:tcW w:w="3816" w:type="pct"/>
                  <w:vAlign w:val="center"/>
                </w:tcPr>
                <w:p w14:paraId="1AFA9408">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z w:val="21"/>
                      <w:szCs w:val="21"/>
                      <w:highlight w:val="none"/>
                      <w:u w:val="none" w:color="auto"/>
                      <w:vertAlign w:val="baseline"/>
                    </w:rPr>
                  </w:pPr>
                  <w:r>
                    <w:rPr>
                      <w:rFonts w:hint="default" w:ascii="Times New Roman" w:hAnsi="Times New Roman" w:eastAsia="宋体" w:cs="Times New Roman"/>
                      <w:b w:val="0"/>
                      <w:bCs/>
                      <w:color w:val="auto"/>
                      <w:spacing w:val="6"/>
                      <w:sz w:val="21"/>
                      <w:szCs w:val="21"/>
                      <w:u w:val="none" w:color="auto"/>
                    </w:rPr>
                    <w:t>理化性质</w:t>
                  </w:r>
                </w:p>
              </w:tc>
            </w:tr>
            <w:tr w14:paraId="65B2E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pct"/>
                  <w:shd w:val="clear" w:color="auto" w:fill="auto"/>
                  <w:vAlign w:val="center"/>
                </w:tcPr>
                <w:p w14:paraId="01911CFC">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rPr>
                    <w:t>1</w:t>
                  </w:r>
                </w:p>
              </w:tc>
              <w:tc>
                <w:tcPr>
                  <w:tcW w:w="714" w:type="pct"/>
                  <w:shd w:val="clear" w:color="auto" w:fill="auto"/>
                  <w:vAlign w:val="center"/>
                </w:tcPr>
                <w:p w14:paraId="3C8E4D1A">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spacing w:val="3"/>
                      <w:sz w:val="21"/>
                      <w:szCs w:val="21"/>
                      <w:u w:val="none" w:color="auto"/>
                      <w:lang w:val="en-US" w:eastAsia="en-US"/>
                    </w:rPr>
                  </w:pPr>
                  <w:r>
                    <w:rPr>
                      <w:rFonts w:hint="default" w:ascii="Times New Roman" w:hAnsi="Times New Roman" w:eastAsia="宋体" w:cs="Times New Roman"/>
                      <w:b w:val="0"/>
                      <w:bCs/>
                      <w:color w:val="auto"/>
                      <w:spacing w:val="3"/>
                      <w:sz w:val="21"/>
                      <w:szCs w:val="21"/>
                      <w:u w:val="none" w:color="auto"/>
                    </w:rPr>
                    <w:t>硝酸</w:t>
                  </w:r>
                </w:p>
              </w:tc>
              <w:tc>
                <w:tcPr>
                  <w:tcW w:w="3816" w:type="pct"/>
                  <w:shd w:val="clear" w:color="auto" w:fill="auto"/>
                  <w:vAlign w:val="center"/>
                </w:tcPr>
                <w:p w14:paraId="059D6827">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7"/>
                      <w:sz w:val="21"/>
                      <w:szCs w:val="21"/>
                      <w:u w:val="none" w:color="auto"/>
                    </w:rPr>
                    <w:t>为无色液体，是一种强氧化性、腐蚀性的强酸</w:t>
                  </w:r>
                  <w:r>
                    <w:rPr>
                      <w:rFonts w:hint="default" w:ascii="Times New Roman" w:hAnsi="Times New Roman" w:eastAsia="宋体" w:cs="Times New Roman"/>
                      <w:b w:val="0"/>
                      <w:bCs/>
                      <w:color w:val="auto"/>
                      <w:spacing w:val="6"/>
                      <w:sz w:val="21"/>
                      <w:szCs w:val="21"/>
                      <w:u w:val="none" w:color="auto"/>
                    </w:rPr>
                    <w:t>，与水混溶，溶于乙醚，遇</w:t>
                  </w:r>
                  <w:r>
                    <w:rPr>
                      <w:rFonts w:hint="default" w:ascii="Times New Roman" w:hAnsi="Times New Roman" w:eastAsia="宋体" w:cs="Times New Roman"/>
                      <w:b w:val="0"/>
                      <w:bCs/>
                      <w:color w:val="auto"/>
                      <w:spacing w:val="8"/>
                      <w:sz w:val="21"/>
                      <w:szCs w:val="21"/>
                      <w:u w:val="none" w:color="auto"/>
                    </w:rPr>
                    <w:t>光或热会分解。化学式：</w:t>
                  </w:r>
                  <w:r>
                    <w:rPr>
                      <w:rFonts w:hint="default" w:ascii="Times New Roman" w:hAnsi="Times New Roman" w:eastAsia="宋体" w:cs="Times New Roman"/>
                      <w:b w:val="0"/>
                      <w:bCs/>
                      <w:color w:val="auto"/>
                      <w:sz w:val="21"/>
                      <w:szCs w:val="21"/>
                      <w:u w:val="none" w:color="auto"/>
                    </w:rPr>
                    <w:t>HNO</w:t>
                  </w:r>
                  <w:r>
                    <w:rPr>
                      <w:rFonts w:hint="default" w:ascii="Times New Roman" w:hAnsi="Times New Roman" w:eastAsia="宋体" w:cs="Times New Roman"/>
                      <w:b w:val="0"/>
                      <w:bCs/>
                      <w:color w:val="auto"/>
                      <w:sz w:val="21"/>
                      <w:szCs w:val="21"/>
                      <w:u w:val="none" w:color="auto"/>
                      <w:vertAlign w:val="subscript"/>
                      <w:lang w:val="en-US" w:eastAsia="zh-CN"/>
                    </w:rPr>
                    <w:t>3</w:t>
                  </w:r>
                  <w:r>
                    <w:rPr>
                      <w:rFonts w:hint="default" w:ascii="Times New Roman" w:hAnsi="Times New Roman" w:eastAsia="宋体" w:cs="Times New Roman"/>
                      <w:b w:val="0"/>
                      <w:bCs/>
                      <w:color w:val="auto"/>
                      <w:spacing w:val="8"/>
                      <w:sz w:val="21"/>
                      <w:szCs w:val="21"/>
                      <w:u w:val="none" w:color="auto"/>
                    </w:rPr>
                    <w:t>；分子量：63.01；</w:t>
                  </w:r>
                  <w:r>
                    <w:rPr>
                      <w:rFonts w:hint="default" w:ascii="Times New Roman" w:hAnsi="Times New Roman" w:eastAsia="宋体" w:cs="Times New Roman"/>
                      <w:b w:val="0"/>
                      <w:bCs/>
                      <w:color w:val="auto"/>
                      <w:spacing w:val="7"/>
                      <w:sz w:val="21"/>
                      <w:szCs w:val="21"/>
                      <w:u w:val="none" w:color="auto"/>
                    </w:rPr>
                    <w:t>熔点：-42℃；沸点：</w:t>
                  </w:r>
                  <w:r>
                    <w:rPr>
                      <w:rFonts w:hint="default" w:ascii="Times New Roman" w:hAnsi="Times New Roman" w:eastAsia="宋体" w:cs="Times New Roman"/>
                      <w:b w:val="0"/>
                      <w:bCs/>
                      <w:color w:val="auto"/>
                      <w:spacing w:val="5"/>
                      <w:sz w:val="21"/>
                      <w:szCs w:val="21"/>
                      <w:u w:val="none" w:color="auto"/>
                    </w:rPr>
                    <w:t>83℃；密度：1.649g/</w:t>
                  </w:r>
                  <w:r>
                    <w:rPr>
                      <w:rFonts w:hint="default" w:ascii="Times New Roman" w:hAnsi="Times New Roman" w:eastAsia="宋体" w:cs="Times New Roman"/>
                      <w:b w:val="0"/>
                      <w:bCs/>
                      <w:color w:val="auto"/>
                      <w:sz w:val="21"/>
                      <w:szCs w:val="21"/>
                      <w:u w:val="none" w:color="auto"/>
                    </w:rPr>
                    <w:t>cm</w:t>
                  </w:r>
                  <w:r>
                    <w:rPr>
                      <w:rFonts w:hint="default" w:ascii="Times New Roman" w:hAnsi="Times New Roman" w:eastAsia="宋体" w:cs="Times New Roman"/>
                      <w:b w:val="0"/>
                      <w:bCs/>
                      <w:color w:val="auto"/>
                      <w:sz w:val="21"/>
                      <w:szCs w:val="21"/>
                      <w:u w:val="none" w:color="auto"/>
                      <w:vertAlign w:val="superscript"/>
                      <w:lang w:val="en-US" w:eastAsia="zh-CN"/>
                    </w:rPr>
                    <w:t>3</w:t>
                  </w:r>
                  <w:r>
                    <w:rPr>
                      <w:rFonts w:hint="default" w:ascii="Times New Roman" w:hAnsi="Times New Roman" w:eastAsia="宋体" w:cs="Times New Roman"/>
                      <w:b w:val="0"/>
                      <w:bCs/>
                      <w:color w:val="auto"/>
                      <w:spacing w:val="5"/>
                      <w:sz w:val="21"/>
                      <w:szCs w:val="21"/>
                      <w:u w:val="none" w:color="auto"/>
                    </w:rPr>
                    <w:t>。</w:t>
                  </w:r>
                </w:p>
              </w:tc>
            </w:tr>
            <w:tr w14:paraId="24175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pct"/>
                  <w:shd w:val="clear" w:color="auto" w:fill="auto"/>
                  <w:vAlign w:val="center"/>
                </w:tcPr>
                <w:p w14:paraId="37813462">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rPr>
                    <w:t>2</w:t>
                  </w:r>
                </w:p>
              </w:tc>
              <w:tc>
                <w:tcPr>
                  <w:tcW w:w="714" w:type="pct"/>
                  <w:shd w:val="clear" w:color="auto" w:fill="auto"/>
                  <w:vAlign w:val="center"/>
                </w:tcPr>
                <w:p w14:paraId="4D1C02CD">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5"/>
                      <w:sz w:val="21"/>
                      <w:szCs w:val="21"/>
                      <w:u w:val="none" w:color="auto"/>
                    </w:rPr>
                    <w:t>硫酸</w:t>
                  </w:r>
                </w:p>
              </w:tc>
              <w:tc>
                <w:tcPr>
                  <w:tcW w:w="3816" w:type="pct"/>
                  <w:shd w:val="clear" w:color="auto" w:fill="auto"/>
                  <w:vAlign w:val="center"/>
                </w:tcPr>
                <w:p w14:paraId="63081893">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2"/>
                      <w:sz w:val="21"/>
                      <w:szCs w:val="21"/>
                      <w:u w:val="none" w:color="auto"/>
                    </w:rPr>
                    <w:t>纯硫酸一般为无色油状液体，能与水以任意比例互溶，同时放出大量的热，</w:t>
                  </w:r>
                  <w:r>
                    <w:rPr>
                      <w:rFonts w:hint="default" w:ascii="Times New Roman" w:hAnsi="Times New Roman" w:eastAsia="宋体" w:cs="Times New Roman"/>
                      <w:b w:val="0"/>
                      <w:bCs/>
                      <w:color w:val="auto"/>
                      <w:spacing w:val="7"/>
                      <w:sz w:val="21"/>
                      <w:szCs w:val="21"/>
                      <w:u w:val="none" w:color="auto"/>
                    </w:rPr>
                    <w:t>使水沸腾。具有强氧化性、脱水性、难挥发性、酸性</w:t>
                  </w:r>
                  <w:r>
                    <w:rPr>
                      <w:rFonts w:hint="default" w:ascii="Times New Roman" w:hAnsi="Times New Roman" w:eastAsia="宋体" w:cs="Times New Roman"/>
                      <w:b w:val="0"/>
                      <w:bCs/>
                      <w:color w:val="auto"/>
                      <w:spacing w:val="6"/>
                      <w:sz w:val="21"/>
                      <w:szCs w:val="21"/>
                      <w:u w:val="none" w:color="auto"/>
                    </w:rPr>
                    <w:t>和吸水性等，为无色</w:t>
                  </w:r>
                  <w:r>
                    <w:rPr>
                      <w:rFonts w:hint="default" w:ascii="Times New Roman" w:hAnsi="Times New Roman" w:eastAsia="宋体" w:cs="Times New Roman"/>
                      <w:b w:val="0"/>
                      <w:bCs/>
                      <w:color w:val="auto"/>
                      <w:spacing w:val="5"/>
                      <w:sz w:val="21"/>
                      <w:szCs w:val="21"/>
                      <w:u w:val="none" w:color="auto"/>
                    </w:rPr>
                    <w:t>粘稠，油状液体。化学式：H</w:t>
                  </w:r>
                  <w:r>
                    <w:rPr>
                      <w:rFonts w:hint="default" w:ascii="Times New Roman" w:hAnsi="Times New Roman" w:eastAsia="宋体" w:cs="Times New Roman"/>
                      <w:b w:val="0"/>
                      <w:bCs/>
                      <w:color w:val="auto"/>
                      <w:spacing w:val="5"/>
                      <w:position w:val="-1"/>
                      <w:sz w:val="21"/>
                      <w:szCs w:val="21"/>
                      <w:u w:val="none" w:color="auto"/>
                    </w:rPr>
                    <w:t>2</w:t>
                  </w:r>
                  <w:r>
                    <w:rPr>
                      <w:rFonts w:hint="default" w:ascii="Times New Roman" w:hAnsi="Times New Roman" w:eastAsia="宋体" w:cs="Times New Roman"/>
                      <w:b w:val="0"/>
                      <w:bCs/>
                      <w:color w:val="auto"/>
                      <w:sz w:val="21"/>
                      <w:szCs w:val="21"/>
                      <w:u w:val="none" w:color="auto"/>
                    </w:rPr>
                    <w:t>SO</w:t>
                  </w:r>
                  <w:r>
                    <w:rPr>
                      <w:rFonts w:hint="default" w:ascii="Times New Roman" w:hAnsi="Times New Roman" w:eastAsia="宋体" w:cs="Times New Roman"/>
                      <w:b w:val="0"/>
                      <w:bCs/>
                      <w:color w:val="auto"/>
                      <w:spacing w:val="5"/>
                      <w:position w:val="-1"/>
                      <w:sz w:val="21"/>
                      <w:szCs w:val="21"/>
                      <w:u w:val="none" w:color="auto"/>
                    </w:rPr>
                    <w:t>4</w:t>
                  </w:r>
                  <w:r>
                    <w:rPr>
                      <w:rFonts w:hint="default" w:ascii="Times New Roman" w:hAnsi="Times New Roman" w:eastAsia="宋体" w:cs="Times New Roman"/>
                      <w:b w:val="0"/>
                      <w:bCs/>
                      <w:color w:val="auto"/>
                      <w:spacing w:val="5"/>
                      <w:sz w:val="21"/>
                      <w:szCs w:val="21"/>
                      <w:u w:val="none" w:color="auto"/>
                    </w:rPr>
                    <w:t>；当质量分数为</w:t>
                  </w:r>
                  <w:r>
                    <w:rPr>
                      <w:rFonts w:hint="default" w:ascii="Times New Roman" w:hAnsi="Times New Roman" w:eastAsia="宋体" w:cs="Times New Roman"/>
                      <w:b w:val="0"/>
                      <w:bCs/>
                      <w:color w:val="auto"/>
                      <w:spacing w:val="-37"/>
                      <w:sz w:val="21"/>
                      <w:szCs w:val="21"/>
                      <w:u w:val="none" w:color="auto"/>
                    </w:rPr>
                    <w:t xml:space="preserve"> </w:t>
                  </w:r>
                  <w:r>
                    <w:rPr>
                      <w:rFonts w:hint="default" w:ascii="Times New Roman" w:hAnsi="Times New Roman" w:eastAsia="宋体" w:cs="Times New Roman"/>
                      <w:b w:val="0"/>
                      <w:bCs/>
                      <w:color w:val="auto"/>
                      <w:spacing w:val="5"/>
                      <w:sz w:val="21"/>
                      <w:szCs w:val="21"/>
                      <w:u w:val="none" w:color="auto"/>
                    </w:rPr>
                    <w:t>98.3%时，熔点：</w:t>
                  </w:r>
                  <w:r>
                    <w:rPr>
                      <w:rFonts w:hint="default" w:ascii="Times New Roman" w:hAnsi="Times New Roman" w:eastAsia="宋体" w:cs="Times New Roman"/>
                      <w:b w:val="0"/>
                      <w:bCs/>
                      <w:color w:val="auto"/>
                      <w:spacing w:val="4"/>
                      <w:sz w:val="21"/>
                      <w:szCs w:val="21"/>
                      <w:u w:val="none" w:color="auto"/>
                    </w:rPr>
                    <w:t>10℃</w:t>
                  </w:r>
                  <w:r>
                    <w:rPr>
                      <w:rFonts w:hint="default" w:ascii="Times New Roman" w:hAnsi="Times New Roman" w:eastAsia="宋体" w:cs="Times New Roman"/>
                      <w:b w:val="0"/>
                      <w:bCs/>
                      <w:color w:val="auto"/>
                      <w:spacing w:val="4"/>
                      <w:sz w:val="21"/>
                      <w:szCs w:val="21"/>
                      <w:u w:val="none" w:color="auto"/>
                      <w:lang w:eastAsia="zh-CN"/>
                    </w:rPr>
                    <w:t>；</w:t>
                  </w:r>
                  <w:r>
                    <w:rPr>
                      <w:rFonts w:hint="default" w:ascii="Times New Roman" w:hAnsi="Times New Roman" w:eastAsia="宋体" w:cs="Times New Roman"/>
                      <w:b w:val="0"/>
                      <w:bCs/>
                      <w:color w:val="auto"/>
                      <w:spacing w:val="6"/>
                      <w:sz w:val="21"/>
                      <w:szCs w:val="21"/>
                      <w:u w:val="none" w:color="auto"/>
                    </w:rPr>
                    <w:t>沸点：338℃；密度：1.84g/</w:t>
                  </w:r>
                  <w:r>
                    <w:rPr>
                      <w:rFonts w:hint="default" w:ascii="Times New Roman" w:hAnsi="Times New Roman" w:eastAsia="宋体" w:cs="Times New Roman"/>
                      <w:b w:val="0"/>
                      <w:bCs/>
                      <w:color w:val="auto"/>
                      <w:sz w:val="21"/>
                      <w:szCs w:val="21"/>
                      <w:u w:val="none" w:color="auto"/>
                    </w:rPr>
                    <w:t>cm</w:t>
                  </w:r>
                  <w:r>
                    <w:rPr>
                      <w:rFonts w:hint="default" w:ascii="Times New Roman" w:hAnsi="Times New Roman" w:eastAsia="宋体" w:cs="Times New Roman"/>
                      <w:b w:val="0"/>
                      <w:bCs/>
                      <w:color w:val="auto"/>
                      <w:sz w:val="21"/>
                      <w:szCs w:val="21"/>
                      <w:u w:val="none" w:color="auto"/>
                      <w:vertAlign w:val="superscript"/>
                      <w:lang w:val="en-US" w:eastAsia="zh-CN"/>
                    </w:rPr>
                    <w:t>3</w:t>
                  </w:r>
                  <w:r>
                    <w:rPr>
                      <w:rFonts w:hint="default" w:ascii="Times New Roman" w:hAnsi="Times New Roman" w:eastAsia="宋体" w:cs="Times New Roman"/>
                      <w:b w:val="0"/>
                      <w:bCs/>
                      <w:color w:val="auto"/>
                      <w:spacing w:val="6"/>
                      <w:sz w:val="21"/>
                      <w:szCs w:val="21"/>
                      <w:u w:val="none" w:color="auto"/>
                    </w:rPr>
                    <w:t>。</w:t>
                  </w:r>
                </w:p>
              </w:tc>
            </w:tr>
            <w:tr w14:paraId="5B351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pct"/>
                  <w:shd w:val="clear" w:color="auto" w:fill="auto"/>
                  <w:vAlign w:val="center"/>
                </w:tcPr>
                <w:p w14:paraId="50D5429F">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rPr>
                    <w:t>3</w:t>
                  </w:r>
                </w:p>
              </w:tc>
              <w:tc>
                <w:tcPr>
                  <w:tcW w:w="714" w:type="pct"/>
                  <w:shd w:val="clear" w:color="auto" w:fill="auto"/>
                  <w:vAlign w:val="center"/>
                </w:tcPr>
                <w:p w14:paraId="6BB1DCB6">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3"/>
                      <w:sz w:val="21"/>
                      <w:szCs w:val="21"/>
                      <w:u w:val="none" w:color="auto"/>
                    </w:rPr>
                    <w:t>盐酸</w:t>
                  </w:r>
                </w:p>
              </w:tc>
              <w:tc>
                <w:tcPr>
                  <w:tcW w:w="3816" w:type="pct"/>
                  <w:shd w:val="clear" w:color="auto" w:fill="auto"/>
                  <w:vAlign w:val="center"/>
                </w:tcPr>
                <w:p w14:paraId="5057AAA0">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2"/>
                      <w:sz w:val="21"/>
                      <w:szCs w:val="21"/>
                      <w:u w:val="none" w:color="auto"/>
                    </w:rPr>
                    <w:t>是氯化氢的水溶液，有强烈的刺鼻气味，具有较高的腐蚀性，又叫氢氯酸，</w:t>
                  </w:r>
                  <w:r>
                    <w:rPr>
                      <w:rFonts w:hint="default" w:ascii="Times New Roman" w:hAnsi="Times New Roman" w:eastAsia="宋体" w:cs="Times New Roman"/>
                      <w:b w:val="0"/>
                      <w:bCs/>
                      <w:color w:val="auto"/>
                      <w:spacing w:val="-7"/>
                      <w:sz w:val="21"/>
                      <w:szCs w:val="21"/>
                      <w:u w:val="none" w:color="auto"/>
                    </w:rPr>
                    <w:t>外观呈无色至淡黄色清澈液体。化学式：HCl；分子量：36.5；熔点：-27.32℃</w:t>
                  </w:r>
                  <w:r>
                    <w:rPr>
                      <w:rFonts w:hint="default" w:ascii="Times New Roman" w:hAnsi="Times New Roman" w:eastAsia="宋体" w:cs="Times New Roman"/>
                      <w:b w:val="0"/>
                      <w:bCs/>
                      <w:color w:val="auto"/>
                      <w:spacing w:val="-7"/>
                      <w:sz w:val="21"/>
                      <w:szCs w:val="21"/>
                      <w:u w:val="none" w:color="auto"/>
                      <w:lang w:eastAsia="zh-CN"/>
                    </w:rPr>
                    <w:t>；</w:t>
                  </w:r>
                  <w:r>
                    <w:rPr>
                      <w:rFonts w:hint="default" w:ascii="Times New Roman" w:hAnsi="Times New Roman" w:eastAsia="宋体" w:cs="Times New Roman"/>
                      <w:b w:val="0"/>
                      <w:bCs/>
                      <w:color w:val="auto"/>
                      <w:spacing w:val="4"/>
                      <w:sz w:val="21"/>
                      <w:szCs w:val="21"/>
                      <w:u w:val="none" w:color="auto"/>
                    </w:rPr>
                    <w:t>沸点：110℃；密度：1.</w:t>
                  </w:r>
                  <w:r>
                    <w:rPr>
                      <w:rFonts w:hint="default" w:ascii="Times New Roman" w:hAnsi="Times New Roman" w:eastAsia="宋体" w:cs="Times New Roman"/>
                      <w:b w:val="0"/>
                      <w:bCs/>
                      <w:color w:val="auto"/>
                      <w:spacing w:val="-8"/>
                      <w:sz w:val="21"/>
                      <w:szCs w:val="21"/>
                      <w:u w:val="none" w:color="auto"/>
                    </w:rPr>
                    <w:t xml:space="preserve"> </w:t>
                  </w:r>
                  <w:r>
                    <w:rPr>
                      <w:rFonts w:hint="default" w:ascii="Times New Roman" w:hAnsi="Times New Roman" w:eastAsia="宋体" w:cs="Times New Roman"/>
                      <w:b w:val="0"/>
                      <w:bCs/>
                      <w:color w:val="auto"/>
                      <w:spacing w:val="4"/>
                      <w:sz w:val="21"/>
                      <w:szCs w:val="21"/>
                      <w:u w:val="none" w:color="auto"/>
                    </w:rPr>
                    <w:t>18g/</w:t>
                  </w:r>
                  <w:r>
                    <w:rPr>
                      <w:rFonts w:hint="default" w:ascii="Times New Roman" w:hAnsi="Times New Roman" w:eastAsia="宋体" w:cs="Times New Roman"/>
                      <w:b w:val="0"/>
                      <w:bCs/>
                      <w:color w:val="auto"/>
                      <w:sz w:val="21"/>
                      <w:szCs w:val="21"/>
                      <w:u w:val="none" w:color="auto"/>
                    </w:rPr>
                    <w:t>cm</w:t>
                  </w:r>
                  <w:r>
                    <w:rPr>
                      <w:rFonts w:hint="default" w:ascii="Times New Roman" w:hAnsi="Times New Roman" w:eastAsia="宋体" w:cs="Times New Roman"/>
                      <w:b w:val="0"/>
                      <w:bCs/>
                      <w:color w:val="auto"/>
                      <w:sz w:val="21"/>
                      <w:szCs w:val="21"/>
                      <w:u w:val="none" w:color="auto"/>
                      <w:vertAlign w:val="superscript"/>
                      <w:lang w:val="en-US" w:eastAsia="zh-CN"/>
                    </w:rPr>
                    <w:t>3</w:t>
                  </w:r>
                  <w:r>
                    <w:rPr>
                      <w:rFonts w:hint="default" w:ascii="Times New Roman" w:hAnsi="Times New Roman" w:eastAsia="宋体" w:cs="Times New Roman"/>
                      <w:b w:val="0"/>
                      <w:bCs/>
                      <w:color w:val="auto"/>
                      <w:spacing w:val="4"/>
                      <w:sz w:val="21"/>
                      <w:szCs w:val="21"/>
                      <w:u w:val="none" w:color="auto"/>
                    </w:rPr>
                    <w:t>。</w:t>
                  </w:r>
                </w:p>
              </w:tc>
            </w:tr>
            <w:tr w14:paraId="0514C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pct"/>
                  <w:shd w:val="clear" w:color="auto" w:fill="auto"/>
                  <w:vAlign w:val="center"/>
                </w:tcPr>
                <w:p w14:paraId="29AA8571">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1"/>
                      <w:sz w:val="21"/>
                      <w:szCs w:val="21"/>
                      <w:u w:val="none" w:color="auto"/>
                    </w:rPr>
                    <w:t>4</w:t>
                  </w:r>
                </w:p>
              </w:tc>
              <w:tc>
                <w:tcPr>
                  <w:tcW w:w="714" w:type="pct"/>
                  <w:shd w:val="clear" w:color="auto" w:fill="auto"/>
                  <w:vAlign w:val="center"/>
                </w:tcPr>
                <w:p w14:paraId="3ECEAE0C">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3"/>
                      <w:sz w:val="21"/>
                      <w:szCs w:val="21"/>
                      <w:u w:val="none" w:color="auto"/>
                    </w:rPr>
                    <w:t>氯水</w:t>
                  </w:r>
                </w:p>
              </w:tc>
              <w:tc>
                <w:tcPr>
                  <w:tcW w:w="3816" w:type="pct"/>
                  <w:shd w:val="clear" w:color="auto" w:fill="auto"/>
                  <w:vAlign w:val="center"/>
                </w:tcPr>
                <w:p w14:paraId="1B5002D2">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9"/>
                      <w:sz w:val="21"/>
                      <w:szCs w:val="21"/>
                      <w:u w:val="none" w:color="auto"/>
                    </w:rPr>
                    <w:t>为氯气的水溶液，饱和氯水呈现浅黄绿色，具有刺激性气味。</w:t>
                  </w:r>
                </w:p>
              </w:tc>
            </w:tr>
            <w:tr w14:paraId="11DFD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pct"/>
                  <w:shd w:val="clear" w:color="auto" w:fill="auto"/>
                  <w:vAlign w:val="center"/>
                </w:tcPr>
                <w:p w14:paraId="18D77ACD">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rPr>
                    <w:t>5</w:t>
                  </w:r>
                </w:p>
              </w:tc>
              <w:tc>
                <w:tcPr>
                  <w:tcW w:w="714" w:type="pct"/>
                  <w:shd w:val="clear" w:color="auto" w:fill="auto"/>
                  <w:vAlign w:val="center"/>
                </w:tcPr>
                <w:p w14:paraId="1657EBDE">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2"/>
                      <w:sz w:val="21"/>
                      <w:szCs w:val="21"/>
                      <w:u w:val="none" w:color="auto"/>
                    </w:rPr>
                    <w:t>溴水</w:t>
                  </w:r>
                </w:p>
              </w:tc>
              <w:tc>
                <w:tcPr>
                  <w:tcW w:w="3816" w:type="pct"/>
                  <w:shd w:val="clear" w:color="auto" w:fill="auto"/>
                  <w:vAlign w:val="center"/>
                </w:tcPr>
                <w:p w14:paraId="663B5BAC">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8"/>
                      <w:sz w:val="21"/>
                      <w:szCs w:val="21"/>
                      <w:u w:val="none" w:color="auto"/>
                    </w:rPr>
                    <w:t>一般指溴单质溶于水形成的混合物，呈橙黄色。</w:t>
                  </w:r>
                </w:p>
              </w:tc>
            </w:tr>
            <w:tr w14:paraId="30D17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pct"/>
                  <w:shd w:val="clear" w:color="auto" w:fill="auto"/>
                  <w:vAlign w:val="center"/>
                </w:tcPr>
                <w:p w14:paraId="4BCCF884">
                  <w:pPr>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b w:val="0"/>
                      <w:bCs/>
                      <w:color w:val="auto"/>
                      <w:sz w:val="21"/>
                      <w:szCs w:val="21"/>
                      <w:u w:val="none" w:color="auto"/>
                    </w:rPr>
                  </w:pPr>
                </w:p>
                <w:p w14:paraId="7A74FF02">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rPr>
                    <w:t>6</w:t>
                  </w:r>
                </w:p>
              </w:tc>
              <w:tc>
                <w:tcPr>
                  <w:tcW w:w="714" w:type="pct"/>
                  <w:shd w:val="clear" w:color="auto" w:fill="auto"/>
                  <w:vAlign w:val="center"/>
                </w:tcPr>
                <w:p w14:paraId="0E9C530D">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b w:val="0"/>
                      <w:bCs/>
                      <w:color w:val="auto"/>
                      <w:sz w:val="21"/>
                      <w:szCs w:val="21"/>
                      <w:u w:val="none" w:color="auto"/>
                    </w:rPr>
                  </w:pPr>
                  <w:r>
                    <w:rPr>
                      <w:rFonts w:hint="default" w:ascii="Times New Roman" w:hAnsi="Times New Roman" w:eastAsia="宋体" w:cs="Times New Roman"/>
                      <w:b w:val="0"/>
                      <w:bCs/>
                      <w:color w:val="auto"/>
                      <w:spacing w:val="6"/>
                      <w:sz w:val="21"/>
                      <w:szCs w:val="21"/>
                      <w:u w:val="none" w:color="auto"/>
                    </w:rPr>
                    <w:t>氢氧化</w:t>
                  </w:r>
                </w:p>
                <w:p w14:paraId="160ECA12">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z w:val="21"/>
                      <w:szCs w:val="21"/>
                      <w:u w:val="none" w:color="auto"/>
                    </w:rPr>
                    <w:t>钾</w:t>
                  </w:r>
                </w:p>
              </w:tc>
              <w:tc>
                <w:tcPr>
                  <w:tcW w:w="3816" w:type="pct"/>
                  <w:shd w:val="clear" w:color="auto" w:fill="auto"/>
                  <w:vAlign w:val="center"/>
                </w:tcPr>
                <w:p w14:paraId="1D5CA81B">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2"/>
                      <w:sz w:val="21"/>
                      <w:szCs w:val="21"/>
                      <w:u w:val="none" w:color="auto"/>
                    </w:rPr>
                    <w:t>一种常见的无机碱，常温下为白色粉末或片状固体，具有强碱性及腐蚀性，</w:t>
                  </w:r>
                  <w:r>
                    <w:rPr>
                      <w:rFonts w:hint="default" w:ascii="Times New Roman" w:hAnsi="Times New Roman" w:eastAsia="宋体" w:cs="Times New Roman"/>
                      <w:b w:val="0"/>
                      <w:bCs/>
                      <w:color w:val="auto"/>
                      <w:spacing w:val="-3"/>
                      <w:sz w:val="21"/>
                      <w:szCs w:val="21"/>
                      <w:u w:val="none" w:color="auto"/>
                    </w:rPr>
                    <w:t>易溶于水。化学式：KOH；分子量：56.</w:t>
                  </w:r>
                  <w:r>
                    <w:rPr>
                      <w:rFonts w:hint="default" w:ascii="Times New Roman" w:hAnsi="Times New Roman" w:eastAsia="宋体" w:cs="Times New Roman"/>
                      <w:b w:val="0"/>
                      <w:bCs/>
                      <w:color w:val="auto"/>
                      <w:spacing w:val="-10"/>
                      <w:sz w:val="21"/>
                      <w:szCs w:val="21"/>
                      <w:u w:val="none" w:color="auto"/>
                    </w:rPr>
                    <w:t xml:space="preserve"> </w:t>
                  </w:r>
                  <w:r>
                    <w:rPr>
                      <w:rFonts w:hint="default" w:ascii="Times New Roman" w:hAnsi="Times New Roman" w:eastAsia="宋体" w:cs="Times New Roman"/>
                      <w:b w:val="0"/>
                      <w:bCs/>
                      <w:color w:val="auto"/>
                      <w:spacing w:val="-3"/>
                      <w:sz w:val="21"/>
                      <w:szCs w:val="21"/>
                      <w:u w:val="none" w:color="auto"/>
                    </w:rPr>
                    <w:t>1056；熔点：360℃；沸点：1324℃</w:t>
                  </w:r>
                  <w:r>
                    <w:rPr>
                      <w:rFonts w:hint="default" w:ascii="Times New Roman" w:hAnsi="Times New Roman" w:eastAsia="宋体" w:cs="Times New Roman"/>
                      <w:b w:val="0"/>
                      <w:bCs/>
                      <w:color w:val="auto"/>
                      <w:spacing w:val="-3"/>
                      <w:sz w:val="21"/>
                      <w:szCs w:val="21"/>
                      <w:u w:val="none" w:color="auto"/>
                      <w:lang w:eastAsia="zh-CN"/>
                    </w:rPr>
                    <w:t>；</w:t>
                  </w:r>
                  <w:r>
                    <w:rPr>
                      <w:rFonts w:hint="default" w:ascii="Times New Roman" w:hAnsi="Times New Roman" w:eastAsia="宋体" w:cs="Times New Roman"/>
                      <w:b w:val="0"/>
                      <w:bCs/>
                      <w:color w:val="auto"/>
                      <w:spacing w:val="5"/>
                      <w:sz w:val="21"/>
                      <w:szCs w:val="21"/>
                      <w:u w:val="none" w:color="auto"/>
                    </w:rPr>
                    <w:t>密度：2.044g/</w:t>
                  </w:r>
                  <w:r>
                    <w:rPr>
                      <w:rFonts w:hint="default" w:ascii="Times New Roman" w:hAnsi="Times New Roman" w:eastAsia="宋体" w:cs="Times New Roman"/>
                      <w:b w:val="0"/>
                      <w:bCs/>
                      <w:color w:val="auto"/>
                      <w:sz w:val="21"/>
                      <w:szCs w:val="21"/>
                      <w:u w:val="none" w:color="auto"/>
                    </w:rPr>
                    <w:t>cm</w:t>
                  </w:r>
                  <w:r>
                    <w:rPr>
                      <w:rFonts w:hint="default" w:ascii="Times New Roman" w:hAnsi="Times New Roman" w:eastAsia="宋体" w:cs="Times New Roman"/>
                      <w:b w:val="0"/>
                      <w:bCs/>
                      <w:color w:val="auto"/>
                      <w:sz w:val="21"/>
                      <w:szCs w:val="21"/>
                      <w:u w:val="none" w:color="auto"/>
                      <w:vertAlign w:val="superscript"/>
                      <w:lang w:val="en-US" w:eastAsia="zh-CN"/>
                    </w:rPr>
                    <w:t>3</w:t>
                  </w:r>
                  <w:r>
                    <w:rPr>
                      <w:rFonts w:hint="default" w:ascii="Times New Roman" w:hAnsi="Times New Roman" w:eastAsia="宋体" w:cs="Times New Roman"/>
                      <w:b w:val="0"/>
                      <w:bCs/>
                      <w:color w:val="auto"/>
                      <w:spacing w:val="5"/>
                      <w:sz w:val="21"/>
                      <w:szCs w:val="21"/>
                      <w:u w:val="none" w:color="auto"/>
                    </w:rPr>
                    <w:t>。</w:t>
                  </w:r>
                </w:p>
              </w:tc>
            </w:tr>
            <w:tr w14:paraId="509EA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pct"/>
                  <w:shd w:val="clear" w:color="auto" w:fill="auto"/>
                  <w:vAlign w:val="center"/>
                </w:tcPr>
                <w:p w14:paraId="4A4E3441">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rPr>
                    <w:t>7</w:t>
                  </w:r>
                </w:p>
              </w:tc>
              <w:tc>
                <w:tcPr>
                  <w:tcW w:w="714" w:type="pct"/>
                  <w:shd w:val="clear" w:color="auto" w:fill="auto"/>
                  <w:vAlign w:val="center"/>
                </w:tcPr>
                <w:p w14:paraId="5A863142">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5"/>
                      <w:sz w:val="21"/>
                      <w:szCs w:val="21"/>
                      <w:u w:val="none" w:color="auto"/>
                    </w:rPr>
                    <w:t>高锰酸</w:t>
                  </w:r>
                  <w:r>
                    <w:rPr>
                      <w:rFonts w:hint="default" w:ascii="Times New Roman" w:hAnsi="Times New Roman" w:eastAsia="宋体" w:cs="Times New Roman"/>
                      <w:b w:val="0"/>
                      <w:bCs/>
                      <w:color w:val="auto"/>
                      <w:sz w:val="21"/>
                      <w:szCs w:val="21"/>
                      <w:u w:val="none" w:color="auto"/>
                    </w:rPr>
                    <w:t xml:space="preserve"> 钾</w:t>
                  </w:r>
                </w:p>
              </w:tc>
              <w:tc>
                <w:tcPr>
                  <w:tcW w:w="3816" w:type="pct"/>
                  <w:shd w:val="clear" w:color="auto" w:fill="auto"/>
                  <w:vAlign w:val="center"/>
                </w:tcPr>
                <w:p w14:paraId="61939D4E">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7"/>
                      <w:sz w:val="21"/>
                      <w:szCs w:val="21"/>
                      <w:u w:val="none" w:color="auto"/>
                    </w:rPr>
                    <w:t>是一种强氧化剂，为黑紫色、西昌的棱形结</w:t>
                  </w:r>
                  <w:r>
                    <w:rPr>
                      <w:rFonts w:hint="default" w:ascii="Times New Roman" w:hAnsi="Times New Roman" w:eastAsia="宋体" w:cs="Times New Roman"/>
                      <w:b w:val="0"/>
                      <w:bCs/>
                      <w:color w:val="auto"/>
                      <w:spacing w:val="6"/>
                      <w:sz w:val="21"/>
                      <w:szCs w:val="21"/>
                      <w:u w:val="none" w:color="auto"/>
                    </w:rPr>
                    <w:t>晶或颗粒，带有蓝色的金属光</w:t>
                  </w:r>
                  <w:r>
                    <w:rPr>
                      <w:rFonts w:hint="default" w:ascii="Times New Roman" w:hAnsi="Times New Roman" w:eastAsia="宋体" w:cs="Times New Roman"/>
                      <w:b w:val="0"/>
                      <w:bCs/>
                      <w:color w:val="auto"/>
                      <w:spacing w:val="8"/>
                      <w:sz w:val="21"/>
                      <w:szCs w:val="21"/>
                      <w:u w:val="none" w:color="auto"/>
                    </w:rPr>
                    <w:t>泽，无臭，与某些有机物或易氧化物接触，易发生爆炸，溶于水、碱液，微溶于甲醇、丙酮、硫酸。分子式：</w:t>
                  </w:r>
                  <w:r>
                    <w:rPr>
                      <w:rFonts w:hint="default" w:ascii="Times New Roman" w:hAnsi="Times New Roman" w:eastAsia="宋体" w:cs="Times New Roman"/>
                      <w:b w:val="0"/>
                      <w:bCs/>
                      <w:color w:val="auto"/>
                      <w:sz w:val="21"/>
                      <w:szCs w:val="21"/>
                      <w:u w:val="none" w:color="auto"/>
                    </w:rPr>
                    <w:t>KMnO</w:t>
                  </w:r>
                  <w:r>
                    <w:rPr>
                      <w:rFonts w:hint="default" w:ascii="Times New Roman" w:hAnsi="Times New Roman" w:eastAsia="宋体" w:cs="Times New Roman"/>
                      <w:b w:val="0"/>
                      <w:bCs/>
                      <w:color w:val="auto"/>
                      <w:sz w:val="21"/>
                      <w:szCs w:val="21"/>
                      <w:u w:val="none" w:color="auto"/>
                      <w:vertAlign w:val="subscript"/>
                      <w:lang w:val="en-US" w:eastAsia="zh-CN"/>
                    </w:rPr>
                    <w:t>4</w:t>
                  </w:r>
                  <w:r>
                    <w:rPr>
                      <w:rFonts w:hint="default" w:ascii="Times New Roman" w:hAnsi="Times New Roman" w:eastAsia="宋体" w:cs="Times New Roman"/>
                      <w:b w:val="0"/>
                      <w:bCs/>
                      <w:color w:val="auto"/>
                      <w:spacing w:val="8"/>
                      <w:sz w:val="21"/>
                      <w:szCs w:val="21"/>
                      <w:u w:val="none" w:color="auto"/>
                    </w:rPr>
                    <w:t>；分子量：158.034；熔点：</w:t>
                  </w:r>
                  <w:r>
                    <w:rPr>
                      <w:rFonts w:hint="default" w:ascii="Times New Roman" w:hAnsi="Times New Roman" w:eastAsia="宋体" w:cs="Times New Roman"/>
                      <w:b w:val="0"/>
                      <w:bCs/>
                      <w:color w:val="auto"/>
                      <w:spacing w:val="6"/>
                      <w:sz w:val="21"/>
                      <w:szCs w:val="21"/>
                      <w:u w:val="none" w:color="auto"/>
                    </w:rPr>
                    <w:t>240℃；水溶性：6.38g/100</w:t>
                  </w:r>
                  <w:r>
                    <w:rPr>
                      <w:rFonts w:hint="default" w:ascii="Times New Roman" w:hAnsi="Times New Roman" w:eastAsia="宋体" w:cs="Times New Roman"/>
                      <w:b w:val="0"/>
                      <w:bCs/>
                      <w:color w:val="auto"/>
                      <w:sz w:val="21"/>
                      <w:szCs w:val="21"/>
                      <w:u w:val="none" w:color="auto"/>
                    </w:rPr>
                    <w:t>mL</w:t>
                  </w:r>
                  <w:r>
                    <w:rPr>
                      <w:rFonts w:hint="default" w:ascii="Times New Roman" w:hAnsi="Times New Roman" w:eastAsia="宋体" w:cs="Times New Roman"/>
                      <w:b w:val="0"/>
                      <w:bCs/>
                      <w:color w:val="auto"/>
                      <w:spacing w:val="6"/>
                      <w:sz w:val="21"/>
                      <w:szCs w:val="21"/>
                      <w:u w:val="none" w:color="auto"/>
                    </w:rPr>
                    <w:t>（20</w:t>
                  </w:r>
                  <w:r>
                    <w:rPr>
                      <w:rFonts w:hint="default" w:ascii="Times New Roman" w:hAnsi="Times New Roman" w:eastAsia="宋体" w:cs="Times New Roman"/>
                      <w:b w:val="0"/>
                      <w:bCs/>
                      <w:color w:val="auto"/>
                      <w:spacing w:val="5"/>
                      <w:sz w:val="21"/>
                      <w:szCs w:val="21"/>
                      <w:u w:val="none" w:color="auto"/>
                    </w:rPr>
                    <w:t>℃)</w:t>
                  </w:r>
                  <w:r>
                    <w:rPr>
                      <w:rFonts w:hint="default" w:ascii="Times New Roman" w:hAnsi="Times New Roman" w:eastAsia="宋体" w:cs="Times New Roman"/>
                      <w:b w:val="0"/>
                      <w:bCs/>
                      <w:color w:val="auto"/>
                      <w:spacing w:val="-59"/>
                      <w:sz w:val="21"/>
                      <w:szCs w:val="21"/>
                      <w:u w:val="none" w:color="auto"/>
                    </w:rPr>
                    <w:t xml:space="preserve"> </w:t>
                  </w:r>
                  <w:r>
                    <w:rPr>
                      <w:rFonts w:hint="default" w:ascii="Times New Roman" w:hAnsi="Times New Roman" w:eastAsia="宋体" w:cs="Times New Roman"/>
                      <w:b w:val="0"/>
                      <w:bCs/>
                      <w:color w:val="auto"/>
                      <w:spacing w:val="5"/>
                      <w:sz w:val="21"/>
                      <w:szCs w:val="21"/>
                      <w:u w:val="none" w:color="auto"/>
                    </w:rPr>
                    <w:t>；密度：2.7g/</w:t>
                  </w:r>
                  <w:r>
                    <w:rPr>
                      <w:rFonts w:hint="default" w:ascii="Times New Roman" w:hAnsi="Times New Roman" w:eastAsia="宋体" w:cs="Times New Roman"/>
                      <w:b w:val="0"/>
                      <w:bCs/>
                      <w:color w:val="auto"/>
                      <w:sz w:val="21"/>
                      <w:szCs w:val="21"/>
                      <w:u w:val="none" w:color="auto"/>
                    </w:rPr>
                    <w:t>cm</w:t>
                  </w:r>
                  <w:r>
                    <w:rPr>
                      <w:rFonts w:hint="default" w:ascii="Times New Roman" w:hAnsi="Times New Roman" w:eastAsia="宋体" w:cs="Times New Roman"/>
                      <w:b w:val="0"/>
                      <w:bCs/>
                      <w:color w:val="auto"/>
                      <w:sz w:val="21"/>
                      <w:szCs w:val="21"/>
                      <w:u w:val="none" w:color="auto"/>
                      <w:vertAlign w:val="superscript"/>
                      <w:lang w:val="en-US" w:eastAsia="zh-CN"/>
                    </w:rPr>
                    <w:t>3</w:t>
                  </w:r>
                  <w:r>
                    <w:rPr>
                      <w:rFonts w:hint="default" w:ascii="Times New Roman" w:hAnsi="Times New Roman" w:eastAsia="宋体" w:cs="Times New Roman"/>
                      <w:b w:val="0"/>
                      <w:bCs/>
                      <w:color w:val="auto"/>
                      <w:spacing w:val="5"/>
                      <w:sz w:val="21"/>
                      <w:szCs w:val="21"/>
                      <w:u w:val="none" w:color="auto"/>
                    </w:rPr>
                    <w:t>。</w:t>
                  </w:r>
                </w:p>
              </w:tc>
            </w:tr>
            <w:tr w14:paraId="1A778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pct"/>
                  <w:shd w:val="clear" w:color="auto" w:fill="auto"/>
                  <w:vAlign w:val="center"/>
                </w:tcPr>
                <w:p w14:paraId="2C9DC309">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rPr>
                    <w:t>8</w:t>
                  </w:r>
                </w:p>
              </w:tc>
              <w:tc>
                <w:tcPr>
                  <w:tcW w:w="714" w:type="pct"/>
                  <w:shd w:val="clear" w:color="auto" w:fill="auto"/>
                  <w:vAlign w:val="center"/>
                </w:tcPr>
                <w:p w14:paraId="217C91DE">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6"/>
                      <w:sz w:val="21"/>
                      <w:szCs w:val="21"/>
                      <w:u w:val="none" w:color="auto"/>
                    </w:rPr>
                    <w:t>氢氧化</w:t>
                  </w:r>
                  <w:r>
                    <w:rPr>
                      <w:rFonts w:hint="default" w:ascii="Times New Roman" w:hAnsi="Times New Roman" w:eastAsia="宋体" w:cs="Times New Roman"/>
                      <w:b w:val="0"/>
                      <w:bCs/>
                      <w:color w:val="auto"/>
                      <w:spacing w:val="1"/>
                      <w:sz w:val="21"/>
                      <w:szCs w:val="21"/>
                      <w:u w:val="none" w:color="auto"/>
                    </w:rPr>
                    <w:t>钠</w:t>
                  </w:r>
                </w:p>
              </w:tc>
              <w:tc>
                <w:tcPr>
                  <w:tcW w:w="3816" w:type="pct"/>
                  <w:shd w:val="clear" w:color="auto" w:fill="auto"/>
                  <w:vAlign w:val="center"/>
                </w:tcPr>
                <w:p w14:paraId="634FCD4A">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2"/>
                      <w:sz w:val="21"/>
                      <w:szCs w:val="21"/>
                      <w:u w:val="none" w:color="auto"/>
                    </w:rPr>
                    <w:t>为无色透明晶体，是一种无机化合物，具有强碱性、强吸湿性和强腐蚀性，又称烧碱、火碱等，易溶于水、乙醇、甘油，不溶于丙酮、乙醚。化学式：</w:t>
                  </w:r>
                  <w:r>
                    <w:rPr>
                      <w:rFonts w:hint="default" w:ascii="Times New Roman" w:hAnsi="Times New Roman" w:eastAsia="宋体" w:cs="Times New Roman"/>
                      <w:b w:val="0"/>
                      <w:bCs/>
                      <w:color w:val="auto"/>
                      <w:sz w:val="21"/>
                      <w:szCs w:val="21"/>
                      <w:u w:val="none" w:color="auto"/>
                    </w:rPr>
                    <w:t>NaOH</w:t>
                  </w:r>
                  <w:r>
                    <w:rPr>
                      <w:rFonts w:hint="default" w:ascii="Times New Roman" w:hAnsi="Times New Roman" w:eastAsia="宋体" w:cs="Times New Roman"/>
                      <w:b w:val="0"/>
                      <w:bCs/>
                      <w:color w:val="auto"/>
                      <w:spacing w:val="7"/>
                      <w:sz w:val="21"/>
                      <w:szCs w:val="21"/>
                      <w:u w:val="none" w:color="auto"/>
                    </w:rPr>
                    <w:t>；分子量：40；熔点：318.4℃；沸点：1390℃；密度：</w:t>
                  </w:r>
                  <w:r>
                    <w:rPr>
                      <w:rFonts w:hint="default" w:ascii="Times New Roman" w:hAnsi="Times New Roman" w:eastAsia="宋体" w:cs="Times New Roman"/>
                      <w:b w:val="0"/>
                      <w:bCs/>
                      <w:color w:val="auto"/>
                      <w:spacing w:val="6"/>
                      <w:sz w:val="21"/>
                      <w:szCs w:val="21"/>
                      <w:u w:val="none" w:color="auto"/>
                    </w:rPr>
                    <w:t>2.</w:t>
                  </w:r>
                  <w:r>
                    <w:rPr>
                      <w:rFonts w:hint="default" w:ascii="Times New Roman" w:hAnsi="Times New Roman" w:eastAsia="宋体" w:cs="Times New Roman"/>
                      <w:b w:val="0"/>
                      <w:bCs/>
                      <w:color w:val="auto"/>
                      <w:spacing w:val="-25"/>
                      <w:sz w:val="21"/>
                      <w:szCs w:val="21"/>
                      <w:u w:val="none" w:color="auto"/>
                    </w:rPr>
                    <w:t xml:space="preserve"> </w:t>
                  </w:r>
                  <w:r>
                    <w:rPr>
                      <w:rFonts w:hint="default" w:ascii="Times New Roman" w:hAnsi="Times New Roman" w:eastAsia="宋体" w:cs="Times New Roman"/>
                      <w:b w:val="0"/>
                      <w:bCs/>
                      <w:color w:val="auto"/>
                      <w:spacing w:val="6"/>
                      <w:sz w:val="21"/>
                      <w:szCs w:val="21"/>
                      <w:u w:val="none" w:color="auto"/>
                    </w:rPr>
                    <w:t>13g/</w:t>
                  </w:r>
                  <w:r>
                    <w:rPr>
                      <w:rFonts w:hint="default" w:ascii="Times New Roman" w:hAnsi="Times New Roman" w:eastAsia="宋体" w:cs="Times New Roman"/>
                      <w:b w:val="0"/>
                      <w:bCs/>
                      <w:color w:val="auto"/>
                      <w:sz w:val="21"/>
                      <w:szCs w:val="21"/>
                      <w:u w:val="none" w:color="auto"/>
                    </w:rPr>
                    <w:t>cm</w:t>
                  </w:r>
                  <w:r>
                    <w:rPr>
                      <w:rFonts w:hint="default" w:ascii="Times New Roman" w:hAnsi="Times New Roman" w:eastAsia="宋体" w:cs="Times New Roman"/>
                      <w:b w:val="0"/>
                      <w:bCs/>
                      <w:color w:val="auto"/>
                      <w:sz w:val="21"/>
                      <w:szCs w:val="21"/>
                      <w:u w:val="none" w:color="auto"/>
                      <w:vertAlign w:val="superscript"/>
                      <w:lang w:val="en-US" w:eastAsia="zh-CN"/>
                    </w:rPr>
                    <w:t>3</w:t>
                  </w:r>
                  <w:r>
                    <w:rPr>
                      <w:rFonts w:hint="default" w:ascii="Times New Roman" w:hAnsi="Times New Roman" w:eastAsia="宋体" w:cs="Times New Roman"/>
                      <w:b w:val="0"/>
                      <w:bCs/>
                      <w:color w:val="auto"/>
                      <w:spacing w:val="6"/>
                      <w:sz w:val="21"/>
                      <w:szCs w:val="21"/>
                      <w:u w:val="none" w:color="auto"/>
                    </w:rPr>
                    <w:t>。</w:t>
                  </w:r>
                </w:p>
              </w:tc>
            </w:tr>
            <w:tr w14:paraId="261DE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pct"/>
                  <w:shd w:val="clear" w:color="auto" w:fill="auto"/>
                  <w:vAlign w:val="center"/>
                </w:tcPr>
                <w:p w14:paraId="62D61428">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rPr>
                    <w:t>9</w:t>
                  </w:r>
                </w:p>
              </w:tc>
              <w:tc>
                <w:tcPr>
                  <w:tcW w:w="714" w:type="pct"/>
                  <w:shd w:val="clear" w:color="auto" w:fill="auto"/>
                  <w:vAlign w:val="center"/>
                </w:tcPr>
                <w:p w14:paraId="6E988D2F">
                  <w:pPr>
                    <w:pStyle w:val="170"/>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6"/>
                      <w:sz w:val="21"/>
                      <w:szCs w:val="21"/>
                      <w:u w:val="none" w:color="auto"/>
                    </w:rPr>
                    <w:t>无水氯</w:t>
                  </w:r>
                  <w:r>
                    <w:rPr>
                      <w:rFonts w:hint="default" w:ascii="Times New Roman" w:hAnsi="Times New Roman" w:eastAsia="宋体" w:cs="Times New Roman"/>
                      <w:b w:val="0"/>
                      <w:bCs/>
                      <w:color w:val="auto"/>
                      <w:spacing w:val="4"/>
                      <w:sz w:val="21"/>
                      <w:szCs w:val="21"/>
                      <w:u w:val="none" w:color="auto"/>
                    </w:rPr>
                    <w:t>化钙</w:t>
                  </w:r>
                </w:p>
              </w:tc>
              <w:tc>
                <w:tcPr>
                  <w:tcW w:w="3816" w:type="pct"/>
                  <w:shd w:val="clear" w:color="auto" w:fill="auto"/>
                  <w:vAlign w:val="center"/>
                </w:tcPr>
                <w:p w14:paraId="2835529F">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7"/>
                      <w:sz w:val="21"/>
                      <w:szCs w:val="21"/>
                      <w:u w:val="none" w:color="auto"/>
                    </w:rPr>
                    <w:t>一种由氯元素和钙元素组成的化学物质，微</w:t>
                  </w:r>
                  <w:r>
                    <w:rPr>
                      <w:rFonts w:hint="default" w:ascii="Times New Roman" w:hAnsi="Times New Roman" w:eastAsia="宋体" w:cs="Times New Roman"/>
                      <w:b w:val="0"/>
                      <w:bCs/>
                      <w:color w:val="auto"/>
                      <w:spacing w:val="6"/>
                      <w:sz w:val="21"/>
                      <w:szCs w:val="21"/>
                      <w:u w:val="none" w:color="auto"/>
                    </w:rPr>
                    <w:t>苦，室温下为白色、硬质碎块</w:t>
                  </w:r>
                  <w:r>
                    <w:rPr>
                      <w:rFonts w:hint="default" w:ascii="Times New Roman" w:hAnsi="Times New Roman" w:eastAsia="宋体" w:cs="Times New Roman"/>
                      <w:b w:val="0"/>
                      <w:bCs/>
                      <w:color w:val="auto"/>
                      <w:spacing w:val="8"/>
                      <w:sz w:val="21"/>
                      <w:szCs w:val="21"/>
                      <w:u w:val="none" w:color="auto"/>
                    </w:rPr>
                    <w:t>或颗粒，易溶于水，溶解时放热。化学式：</w:t>
                  </w:r>
                  <w:r>
                    <w:rPr>
                      <w:rFonts w:hint="default" w:ascii="Times New Roman" w:hAnsi="Times New Roman" w:eastAsia="宋体" w:cs="Times New Roman"/>
                      <w:b w:val="0"/>
                      <w:bCs/>
                      <w:color w:val="auto"/>
                      <w:sz w:val="21"/>
                      <w:szCs w:val="21"/>
                      <w:u w:val="none" w:color="auto"/>
                    </w:rPr>
                    <w:t>CaCl</w:t>
                  </w:r>
                  <w:r>
                    <w:rPr>
                      <w:rFonts w:hint="default" w:ascii="Times New Roman" w:hAnsi="Times New Roman" w:eastAsia="宋体" w:cs="Times New Roman"/>
                      <w:b w:val="0"/>
                      <w:bCs/>
                      <w:color w:val="auto"/>
                      <w:sz w:val="21"/>
                      <w:szCs w:val="21"/>
                      <w:u w:val="none" w:color="auto"/>
                      <w:vertAlign w:val="subscript"/>
                      <w:lang w:val="en-US" w:eastAsia="zh-CN"/>
                    </w:rPr>
                    <w:t>2</w:t>
                  </w:r>
                  <w:r>
                    <w:rPr>
                      <w:rFonts w:hint="default" w:ascii="Times New Roman" w:hAnsi="Times New Roman" w:eastAsia="宋体" w:cs="Times New Roman"/>
                      <w:b w:val="0"/>
                      <w:bCs/>
                      <w:color w:val="auto"/>
                      <w:spacing w:val="8"/>
                      <w:sz w:val="21"/>
                      <w:szCs w:val="21"/>
                      <w:u w:val="none" w:color="auto"/>
                    </w:rPr>
                    <w:t>；分子</w:t>
                  </w:r>
                  <w:r>
                    <w:rPr>
                      <w:rFonts w:hint="default" w:ascii="Times New Roman" w:hAnsi="Times New Roman" w:eastAsia="宋体" w:cs="Times New Roman"/>
                      <w:b w:val="0"/>
                      <w:bCs/>
                      <w:color w:val="auto"/>
                      <w:spacing w:val="7"/>
                      <w:sz w:val="21"/>
                      <w:szCs w:val="21"/>
                      <w:u w:val="none" w:color="auto"/>
                    </w:rPr>
                    <w:t>量：110.984；熔</w:t>
                  </w:r>
                  <w:r>
                    <w:rPr>
                      <w:rFonts w:hint="default" w:ascii="Times New Roman" w:hAnsi="Times New Roman" w:eastAsia="宋体" w:cs="Times New Roman"/>
                      <w:b w:val="0"/>
                      <w:bCs/>
                      <w:color w:val="auto"/>
                      <w:spacing w:val="5"/>
                      <w:sz w:val="21"/>
                      <w:szCs w:val="21"/>
                      <w:u w:val="none" w:color="auto"/>
                    </w:rPr>
                    <w:t>点：772℃；沸点：1600℃；密度：2.</w:t>
                  </w:r>
                  <w:r>
                    <w:rPr>
                      <w:rFonts w:hint="default" w:ascii="Times New Roman" w:hAnsi="Times New Roman" w:eastAsia="宋体" w:cs="Times New Roman"/>
                      <w:b w:val="0"/>
                      <w:bCs/>
                      <w:color w:val="auto"/>
                      <w:spacing w:val="-10"/>
                      <w:sz w:val="21"/>
                      <w:szCs w:val="21"/>
                      <w:u w:val="none" w:color="auto"/>
                    </w:rPr>
                    <w:t xml:space="preserve"> </w:t>
                  </w:r>
                  <w:r>
                    <w:rPr>
                      <w:rFonts w:hint="default" w:ascii="Times New Roman" w:hAnsi="Times New Roman" w:eastAsia="宋体" w:cs="Times New Roman"/>
                      <w:b w:val="0"/>
                      <w:bCs/>
                      <w:color w:val="auto"/>
                      <w:spacing w:val="5"/>
                      <w:sz w:val="21"/>
                      <w:szCs w:val="21"/>
                      <w:u w:val="none" w:color="auto"/>
                    </w:rPr>
                    <w:t>15g/</w:t>
                  </w:r>
                  <w:r>
                    <w:rPr>
                      <w:rFonts w:hint="default" w:ascii="Times New Roman" w:hAnsi="Times New Roman" w:eastAsia="宋体" w:cs="Times New Roman"/>
                      <w:b w:val="0"/>
                      <w:bCs/>
                      <w:color w:val="auto"/>
                      <w:sz w:val="21"/>
                      <w:szCs w:val="21"/>
                      <w:u w:val="none" w:color="auto"/>
                    </w:rPr>
                    <w:t>cm</w:t>
                  </w:r>
                  <w:r>
                    <w:rPr>
                      <w:rFonts w:hint="default" w:ascii="Times New Roman" w:hAnsi="Times New Roman" w:eastAsia="宋体" w:cs="Times New Roman"/>
                      <w:b w:val="0"/>
                      <w:bCs/>
                      <w:color w:val="auto"/>
                      <w:sz w:val="21"/>
                      <w:szCs w:val="21"/>
                      <w:u w:val="none" w:color="auto"/>
                      <w:vertAlign w:val="superscript"/>
                      <w:lang w:val="en-US" w:eastAsia="zh-CN"/>
                    </w:rPr>
                    <w:t>3</w:t>
                  </w:r>
                  <w:r>
                    <w:rPr>
                      <w:rFonts w:hint="default" w:ascii="Times New Roman" w:hAnsi="Times New Roman" w:eastAsia="宋体" w:cs="Times New Roman"/>
                      <w:b w:val="0"/>
                      <w:bCs/>
                      <w:color w:val="auto"/>
                      <w:spacing w:val="5"/>
                      <w:sz w:val="21"/>
                      <w:szCs w:val="21"/>
                      <w:u w:val="none" w:color="auto"/>
                    </w:rPr>
                    <w:t>。</w:t>
                  </w:r>
                </w:p>
              </w:tc>
            </w:tr>
            <w:tr w14:paraId="111C2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8" w:type="pct"/>
                  <w:shd w:val="clear" w:color="auto" w:fill="auto"/>
                  <w:vAlign w:val="center"/>
                </w:tcPr>
                <w:p w14:paraId="6ABCAD1A">
                  <w:pPr>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pacing w:val="-8"/>
                      <w:sz w:val="21"/>
                      <w:szCs w:val="21"/>
                      <w:u w:val="none" w:color="auto"/>
                    </w:rPr>
                    <w:t>10</w:t>
                  </w:r>
                </w:p>
              </w:tc>
              <w:tc>
                <w:tcPr>
                  <w:tcW w:w="714" w:type="pct"/>
                  <w:shd w:val="clear" w:color="auto" w:fill="auto"/>
                  <w:vAlign w:val="center"/>
                </w:tcPr>
                <w:p w14:paraId="4D08E114">
                  <w:pPr>
                    <w:pStyle w:val="170"/>
                    <w:keepNext w:val="0"/>
                    <w:keepLines w:val="0"/>
                    <w:pageBreakBefore w:val="0"/>
                    <w:widowControl w:val="0"/>
                    <w:kinsoku/>
                    <w:wordWrap/>
                    <w:overflowPunct/>
                    <w:topLinePunct w:val="0"/>
                    <w:autoSpaceDE/>
                    <w:autoSpaceDN/>
                    <w:bidi w:val="0"/>
                    <w:spacing w:line="240" w:lineRule="auto"/>
                    <w:ind w:left="0" w:leftChars="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7"/>
                      <w:sz w:val="21"/>
                      <w:szCs w:val="21"/>
                      <w:u w:val="none" w:color="auto"/>
                    </w:rPr>
                    <w:t>碱石灰</w:t>
                  </w:r>
                </w:p>
              </w:tc>
              <w:tc>
                <w:tcPr>
                  <w:tcW w:w="3816" w:type="pct"/>
                  <w:shd w:val="clear" w:color="auto" w:fill="auto"/>
                  <w:vAlign w:val="center"/>
                </w:tcPr>
                <w:p w14:paraId="097B894E">
                  <w:pPr>
                    <w:pStyle w:val="170"/>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b w:val="0"/>
                      <w:bCs/>
                      <w:color w:val="auto"/>
                      <w:kern w:val="2"/>
                      <w:sz w:val="21"/>
                      <w:szCs w:val="21"/>
                      <w:u w:val="none" w:color="auto"/>
                      <w:lang w:val="en-US" w:eastAsia="en-US" w:bidi="ar-SA"/>
                    </w:rPr>
                  </w:pPr>
                  <w:r>
                    <w:rPr>
                      <w:rFonts w:hint="default" w:ascii="Times New Roman" w:hAnsi="Times New Roman" w:eastAsia="宋体" w:cs="Times New Roman"/>
                      <w:b w:val="0"/>
                      <w:bCs/>
                      <w:color w:val="auto"/>
                      <w:spacing w:val="9"/>
                      <w:sz w:val="21"/>
                      <w:szCs w:val="21"/>
                      <w:u w:val="none" w:color="auto"/>
                    </w:rPr>
                    <w:t>又称钠石灰，是白色或米黄色粉末，疏松多孔，是氧化钙（</w:t>
                  </w:r>
                  <w:r>
                    <w:rPr>
                      <w:rFonts w:hint="default" w:ascii="Times New Roman" w:hAnsi="Times New Roman" w:eastAsia="宋体" w:cs="Times New Roman"/>
                      <w:b w:val="0"/>
                      <w:bCs/>
                      <w:color w:val="auto"/>
                      <w:sz w:val="21"/>
                      <w:szCs w:val="21"/>
                      <w:u w:val="none" w:color="auto"/>
                    </w:rPr>
                    <w:t>CaO</w:t>
                  </w:r>
                  <w:r>
                    <w:rPr>
                      <w:rFonts w:hint="default" w:ascii="Times New Roman" w:hAnsi="Times New Roman" w:eastAsia="宋体" w:cs="Times New Roman"/>
                      <w:b w:val="0"/>
                      <w:bCs/>
                      <w:color w:val="auto"/>
                      <w:spacing w:val="9"/>
                      <w:sz w:val="21"/>
                      <w:szCs w:val="21"/>
                      <w:u w:val="none" w:color="auto"/>
                    </w:rPr>
                    <w:t>，大约</w:t>
                  </w:r>
                  <w:r>
                    <w:rPr>
                      <w:rFonts w:hint="default" w:ascii="Times New Roman" w:hAnsi="Times New Roman" w:eastAsia="宋体" w:cs="Times New Roman"/>
                      <w:b w:val="0"/>
                      <w:bCs/>
                      <w:color w:val="auto"/>
                      <w:spacing w:val="-1"/>
                      <w:sz w:val="21"/>
                      <w:szCs w:val="21"/>
                      <w:u w:val="none" w:color="auto"/>
                    </w:rPr>
                    <w:t>75%）、水（H</w:t>
                  </w:r>
                  <w:r>
                    <w:rPr>
                      <w:rFonts w:hint="default" w:ascii="Times New Roman" w:hAnsi="Times New Roman" w:eastAsia="宋体" w:cs="Times New Roman"/>
                      <w:b w:val="0"/>
                      <w:bCs/>
                      <w:color w:val="auto"/>
                      <w:spacing w:val="-1"/>
                      <w:sz w:val="21"/>
                      <w:szCs w:val="21"/>
                      <w:u w:val="none" w:color="auto"/>
                      <w:vertAlign w:val="subscript"/>
                      <w:lang w:val="en-US" w:eastAsia="zh-CN"/>
                    </w:rPr>
                    <w:t>2</w:t>
                  </w:r>
                  <w:r>
                    <w:rPr>
                      <w:rFonts w:hint="default" w:ascii="Times New Roman" w:hAnsi="Times New Roman" w:eastAsia="宋体" w:cs="Times New Roman"/>
                      <w:b w:val="0"/>
                      <w:bCs/>
                      <w:color w:val="auto"/>
                      <w:spacing w:val="-1"/>
                      <w:sz w:val="21"/>
                      <w:szCs w:val="21"/>
                      <w:u w:val="none" w:color="auto"/>
                    </w:rPr>
                    <w:t>O</w:t>
                  </w:r>
                  <w:r>
                    <w:rPr>
                      <w:rFonts w:hint="default" w:ascii="Times New Roman" w:hAnsi="Times New Roman" w:eastAsia="宋体" w:cs="Times New Roman"/>
                      <w:b w:val="0"/>
                      <w:bCs/>
                      <w:color w:val="auto"/>
                      <w:spacing w:val="-21"/>
                      <w:sz w:val="21"/>
                      <w:szCs w:val="21"/>
                      <w:u w:val="none" w:color="auto"/>
                    </w:rPr>
                    <w:t xml:space="preserve"> </w:t>
                  </w:r>
                  <w:r>
                    <w:rPr>
                      <w:rFonts w:hint="default" w:ascii="Times New Roman" w:hAnsi="Times New Roman" w:eastAsia="宋体" w:cs="Times New Roman"/>
                      <w:b w:val="0"/>
                      <w:bCs/>
                      <w:color w:val="auto"/>
                      <w:spacing w:val="-1"/>
                      <w:sz w:val="21"/>
                      <w:szCs w:val="21"/>
                      <w:u w:val="none" w:color="auto"/>
                    </w:rPr>
                    <w:t>，大约</w:t>
                  </w:r>
                  <w:r>
                    <w:rPr>
                      <w:rFonts w:hint="default" w:ascii="Times New Roman" w:hAnsi="Times New Roman" w:eastAsia="宋体" w:cs="Times New Roman"/>
                      <w:b w:val="0"/>
                      <w:bCs/>
                      <w:color w:val="auto"/>
                      <w:spacing w:val="-41"/>
                      <w:sz w:val="21"/>
                      <w:szCs w:val="21"/>
                      <w:u w:val="none" w:color="auto"/>
                    </w:rPr>
                    <w:t xml:space="preserve"> </w:t>
                  </w:r>
                  <w:r>
                    <w:rPr>
                      <w:rFonts w:hint="default" w:ascii="Times New Roman" w:hAnsi="Times New Roman" w:eastAsia="宋体" w:cs="Times New Roman"/>
                      <w:b w:val="0"/>
                      <w:bCs/>
                      <w:color w:val="auto"/>
                      <w:spacing w:val="-1"/>
                      <w:sz w:val="21"/>
                      <w:szCs w:val="21"/>
                      <w:u w:val="none" w:color="auto"/>
                    </w:rPr>
                    <w:t>20%）、氢氧化钠（NaOH</w:t>
                  </w:r>
                  <w:r>
                    <w:rPr>
                      <w:rFonts w:hint="default" w:ascii="Times New Roman" w:hAnsi="Times New Roman" w:eastAsia="宋体" w:cs="Times New Roman"/>
                      <w:b w:val="0"/>
                      <w:bCs/>
                      <w:color w:val="auto"/>
                      <w:spacing w:val="-24"/>
                      <w:sz w:val="21"/>
                      <w:szCs w:val="21"/>
                      <w:u w:val="none" w:color="auto"/>
                    </w:rPr>
                    <w:t xml:space="preserve"> </w:t>
                  </w:r>
                  <w:r>
                    <w:rPr>
                      <w:rFonts w:hint="default" w:ascii="Times New Roman" w:hAnsi="Times New Roman" w:eastAsia="宋体" w:cs="Times New Roman"/>
                      <w:b w:val="0"/>
                      <w:bCs/>
                      <w:color w:val="auto"/>
                      <w:spacing w:val="-1"/>
                      <w:sz w:val="21"/>
                      <w:szCs w:val="21"/>
                      <w:u w:val="none" w:color="auto"/>
                    </w:rPr>
                    <w:t>，大约</w:t>
                  </w:r>
                  <w:r>
                    <w:rPr>
                      <w:rFonts w:hint="default" w:ascii="Times New Roman" w:hAnsi="Times New Roman" w:eastAsia="宋体" w:cs="Times New Roman"/>
                      <w:b w:val="0"/>
                      <w:bCs/>
                      <w:color w:val="auto"/>
                      <w:spacing w:val="-37"/>
                      <w:sz w:val="21"/>
                      <w:szCs w:val="21"/>
                      <w:u w:val="none" w:color="auto"/>
                    </w:rPr>
                    <w:t xml:space="preserve"> </w:t>
                  </w:r>
                  <w:r>
                    <w:rPr>
                      <w:rFonts w:hint="default" w:ascii="Times New Roman" w:hAnsi="Times New Roman" w:eastAsia="宋体" w:cs="Times New Roman"/>
                      <w:b w:val="0"/>
                      <w:bCs/>
                      <w:color w:val="auto"/>
                      <w:spacing w:val="-1"/>
                      <w:sz w:val="21"/>
                      <w:szCs w:val="21"/>
                      <w:u w:val="none" w:color="auto"/>
                    </w:rPr>
                    <w:t>3%）和氢氧化钾</w:t>
                  </w:r>
                  <w:r>
                    <w:rPr>
                      <w:rFonts w:hint="default" w:ascii="Times New Roman" w:hAnsi="Times New Roman" w:eastAsia="宋体" w:cs="Times New Roman"/>
                      <w:b w:val="0"/>
                      <w:bCs/>
                      <w:color w:val="auto"/>
                      <w:spacing w:val="7"/>
                      <w:sz w:val="21"/>
                      <w:szCs w:val="21"/>
                      <w:u w:val="none" w:color="auto"/>
                    </w:rPr>
                    <w:t>（</w:t>
                  </w:r>
                  <w:r>
                    <w:rPr>
                      <w:rFonts w:hint="default" w:ascii="Times New Roman" w:hAnsi="Times New Roman" w:eastAsia="宋体" w:cs="Times New Roman"/>
                      <w:b w:val="0"/>
                      <w:bCs/>
                      <w:color w:val="auto"/>
                      <w:sz w:val="21"/>
                      <w:szCs w:val="21"/>
                      <w:u w:val="none" w:color="auto"/>
                    </w:rPr>
                    <w:t>KOH</w:t>
                  </w:r>
                  <w:r>
                    <w:rPr>
                      <w:rFonts w:hint="default" w:ascii="Times New Roman" w:hAnsi="Times New Roman" w:eastAsia="宋体" w:cs="Times New Roman"/>
                      <w:b w:val="0"/>
                      <w:bCs/>
                      <w:color w:val="auto"/>
                      <w:spacing w:val="7"/>
                      <w:sz w:val="21"/>
                      <w:szCs w:val="21"/>
                      <w:u w:val="none" w:color="auto"/>
                    </w:rPr>
                    <w:t>，大约1%）的混合物。化学式：</w:t>
                  </w:r>
                  <w:r>
                    <w:rPr>
                      <w:rFonts w:hint="default" w:ascii="Times New Roman" w:hAnsi="Times New Roman" w:eastAsia="宋体" w:cs="Times New Roman"/>
                      <w:b w:val="0"/>
                      <w:bCs/>
                      <w:color w:val="auto"/>
                      <w:sz w:val="21"/>
                      <w:szCs w:val="21"/>
                      <w:u w:val="none" w:color="auto"/>
                    </w:rPr>
                    <w:t>HNO</w:t>
                  </w:r>
                  <w:r>
                    <w:rPr>
                      <w:rFonts w:hint="default" w:ascii="Times New Roman" w:hAnsi="Times New Roman" w:eastAsia="宋体" w:cs="Times New Roman"/>
                      <w:b w:val="0"/>
                      <w:bCs/>
                      <w:color w:val="auto"/>
                      <w:sz w:val="21"/>
                      <w:szCs w:val="21"/>
                      <w:u w:val="none" w:color="auto"/>
                      <w:vertAlign w:val="subscript"/>
                      <w:lang w:val="en-US" w:eastAsia="zh-CN"/>
                    </w:rPr>
                    <w:t>3</w:t>
                  </w:r>
                  <w:r>
                    <w:rPr>
                      <w:rFonts w:hint="default" w:ascii="Times New Roman" w:hAnsi="Times New Roman" w:eastAsia="宋体" w:cs="Times New Roman"/>
                      <w:b w:val="0"/>
                      <w:bCs/>
                      <w:color w:val="auto"/>
                      <w:spacing w:val="7"/>
                      <w:sz w:val="21"/>
                      <w:szCs w:val="21"/>
                      <w:u w:val="none" w:color="auto"/>
                    </w:rPr>
                    <w:t>；分子量：63.01；熔点：</w:t>
                  </w:r>
                  <w:r>
                    <w:rPr>
                      <w:rFonts w:hint="default" w:ascii="Times New Roman" w:hAnsi="Times New Roman" w:eastAsia="宋体" w:cs="Times New Roman"/>
                      <w:b w:val="0"/>
                      <w:bCs/>
                      <w:color w:val="auto"/>
                      <w:spacing w:val="6"/>
                      <w:sz w:val="21"/>
                      <w:szCs w:val="21"/>
                      <w:u w:val="none" w:color="auto"/>
                    </w:rPr>
                    <w:t>-42℃；沸点：83℃；密度：1.649g/</w:t>
                  </w:r>
                  <w:r>
                    <w:rPr>
                      <w:rFonts w:hint="default" w:ascii="Times New Roman" w:hAnsi="Times New Roman" w:eastAsia="宋体" w:cs="Times New Roman"/>
                      <w:b w:val="0"/>
                      <w:bCs/>
                      <w:color w:val="auto"/>
                      <w:sz w:val="21"/>
                      <w:szCs w:val="21"/>
                      <w:u w:val="none" w:color="auto"/>
                    </w:rPr>
                    <w:t>cm</w:t>
                  </w:r>
                  <w:r>
                    <w:rPr>
                      <w:rFonts w:hint="default" w:ascii="Times New Roman" w:hAnsi="Times New Roman" w:eastAsia="宋体" w:cs="Times New Roman"/>
                      <w:b w:val="0"/>
                      <w:bCs/>
                      <w:color w:val="auto"/>
                      <w:sz w:val="21"/>
                      <w:szCs w:val="21"/>
                      <w:u w:val="none" w:color="auto"/>
                      <w:vertAlign w:val="superscript"/>
                      <w:lang w:val="en-US" w:eastAsia="zh-CN"/>
                    </w:rPr>
                    <w:t>3</w:t>
                  </w:r>
                  <w:r>
                    <w:rPr>
                      <w:rFonts w:hint="default" w:ascii="Times New Roman" w:hAnsi="Times New Roman" w:eastAsia="宋体" w:cs="Times New Roman"/>
                      <w:b w:val="0"/>
                      <w:bCs/>
                      <w:color w:val="auto"/>
                      <w:spacing w:val="6"/>
                      <w:sz w:val="21"/>
                      <w:szCs w:val="21"/>
                      <w:u w:val="none" w:color="auto"/>
                    </w:rPr>
                    <w:t>。</w:t>
                  </w:r>
                </w:p>
              </w:tc>
            </w:tr>
          </w:tbl>
          <w:p w14:paraId="2716CC9B">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2" w:firstLineChars="200"/>
              <w:jc w:val="both"/>
              <w:textAlignment w:val="auto"/>
              <w:outlineLvl w:val="9"/>
              <w:rPr>
                <w:rFonts w:hint="default" w:ascii="Times New Roman" w:hAnsi="Times New Roman" w:eastAsia="宋体" w:cs="Times New Roman"/>
                <w:b/>
                <w:color w:val="auto"/>
                <w:sz w:val="24"/>
                <w:szCs w:val="24"/>
                <w:highlight w:val="none"/>
                <w:u w:val="none" w:color="auto"/>
              </w:rPr>
            </w:pPr>
            <w:r>
              <w:rPr>
                <w:rFonts w:hint="default" w:ascii="Times New Roman" w:hAnsi="Times New Roman" w:eastAsia="宋体" w:cs="Times New Roman"/>
                <w:b/>
                <w:color w:val="auto"/>
                <w:sz w:val="24"/>
                <w:szCs w:val="24"/>
                <w:highlight w:val="none"/>
                <w:u w:val="none" w:color="auto"/>
              </w:rPr>
              <w:t>6、师生规模和教学作息情况</w:t>
            </w:r>
          </w:p>
          <w:p w14:paraId="0829E959">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b w:val="0"/>
                <w:bCs/>
                <w:color w:val="auto"/>
                <w:sz w:val="24"/>
                <w:szCs w:val="24"/>
                <w:highlight w:val="none"/>
                <w:u w:val="none" w:color="auto"/>
              </w:rPr>
            </w:pPr>
            <w:r>
              <w:rPr>
                <w:rFonts w:hint="default" w:ascii="Times New Roman" w:hAnsi="Times New Roman" w:eastAsia="宋体" w:cs="Times New Roman"/>
                <w:b w:val="0"/>
                <w:bCs/>
                <w:color w:val="auto"/>
                <w:sz w:val="24"/>
                <w:szCs w:val="24"/>
                <w:highlight w:val="none"/>
                <w:u w:val="none" w:color="auto"/>
              </w:rPr>
              <w:t>本项目的建设规模为</w:t>
            </w:r>
            <w:r>
              <w:rPr>
                <w:rFonts w:hint="default" w:ascii="Times New Roman" w:hAnsi="Times New Roman" w:eastAsia="宋体" w:cs="Times New Roman"/>
                <w:b w:val="0"/>
                <w:bCs/>
                <w:color w:val="auto"/>
                <w:sz w:val="24"/>
                <w:szCs w:val="24"/>
                <w:highlight w:val="none"/>
                <w:u w:val="none" w:color="auto"/>
                <w:lang w:val="en-US" w:eastAsia="zh-CN"/>
              </w:rPr>
              <w:t>新增</w:t>
            </w:r>
            <w:r>
              <w:rPr>
                <w:rFonts w:hint="default" w:ascii="Times New Roman" w:hAnsi="Times New Roman" w:eastAsia="宋体" w:cs="Times New Roman"/>
                <w:b w:val="0"/>
                <w:bCs/>
                <w:color w:val="auto"/>
                <w:sz w:val="24"/>
                <w:szCs w:val="24"/>
                <w:highlight w:val="none"/>
                <w:u w:val="none" w:color="auto"/>
              </w:rPr>
              <w:t>5</w:t>
            </w:r>
            <w:r>
              <w:rPr>
                <w:rFonts w:hint="default" w:ascii="Times New Roman" w:hAnsi="Times New Roman" w:eastAsia="宋体" w:cs="Times New Roman"/>
                <w:b w:val="0"/>
                <w:bCs/>
                <w:color w:val="auto"/>
                <w:sz w:val="24"/>
                <w:szCs w:val="24"/>
                <w:highlight w:val="none"/>
                <w:u w:val="none" w:color="auto"/>
                <w:lang w:val="en-US" w:eastAsia="zh-CN"/>
              </w:rPr>
              <w:t>8</w:t>
            </w:r>
            <w:r>
              <w:rPr>
                <w:rFonts w:hint="default" w:ascii="Times New Roman" w:hAnsi="Times New Roman" w:eastAsia="宋体" w:cs="Times New Roman"/>
                <w:b w:val="0"/>
                <w:bCs/>
                <w:color w:val="auto"/>
                <w:sz w:val="24"/>
                <w:szCs w:val="24"/>
                <w:highlight w:val="none"/>
                <w:u w:val="none" w:color="auto"/>
              </w:rPr>
              <w:t>个教学班，每班50人，</w:t>
            </w:r>
            <w:r>
              <w:rPr>
                <w:rFonts w:hint="default" w:ascii="Times New Roman" w:hAnsi="Times New Roman" w:eastAsia="宋体" w:cs="Times New Roman"/>
                <w:b w:val="0"/>
                <w:bCs/>
                <w:color w:val="auto"/>
                <w:sz w:val="24"/>
                <w:szCs w:val="24"/>
                <w:highlight w:val="none"/>
                <w:u w:val="none" w:color="auto"/>
                <w:lang w:val="en-US" w:eastAsia="zh-CN"/>
              </w:rPr>
              <w:t>学生人数从现有在校生中分配，共计2900</w:t>
            </w:r>
            <w:r>
              <w:rPr>
                <w:rFonts w:hint="default" w:ascii="Times New Roman" w:hAnsi="Times New Roman" w:eastAsia="宋体" w:cs="Times New Roman"/>
                <w:b w:val="0"/>
                <w:bCs/>
                <w:color w:val="auto"/>
                <w:sz w:val="24"/>
                <w:szCs w:val="24"/>
                <w:highlight w:val="none"/>
                <w:u w:val="none" w:color="auto"/>
              </w:rPr>
              <w:t>人；</w:t>
            </w:r>
            <w:r>
              <w:rPr>
                <w:rFonts w:hint="default" w:ascii="Times New Roman" w:hAnsi="Times New Roman" w:eastAsia="宋体" w:cs="Times New Roman"/>
                <w:b w:val="0"/>
                <w:bCs/>
                <w:color w:val="auto"/>
                <w:sz w:val="24"/>
                <w:szCs w:val="24"/>
                <w:highlight w:val="none"/>
                <w:u w:val="none" w:color="auto"/>
                <w:lang w:val="en-US" w:eastAsia="zh-CN"/>
              </w:rPr>
              <w:t>教师从现有在编教师中调度</w:t>
            </w:r>
            <w:r>
              <w:rPr>
                <w:rFonts w:hint="default" w:ascii="Times New Roman" w:hAnsi="Times New Roman" w:eastAsia="宋体" w:cs="Times New Roman"/>
                <w:b w:val="0"/>
                <w:bCs/>
                <w:color w:val="auto"/>
                <w:sz w:val="24"/>
                <w:szCs w:val="24"/>
                <w:highlight w:val="none"/>
                <w:u w:val="none" w:color="auto"/>
              </w:rPr>
              <w:t>。根据建设单位提供资料，项目运营期学生均为寄宿制，师生在校时间按200天/年计。</w:t>
            </w:r>
          </w:p>
          <w:p w14:paraId="49912A8C">
            <w:pPr>
              <w:pStyle w:val="170"/>
              <w:keepNext w:val="0"/>
              <w:keepLines w:val="0"/>
              <w:pageBreakBefore w:val="0"/>
              <w:widowControl w:val="0"/>
              <w:kinsoku/>
              <w:wordWrap/>
              <w:overflowPunct/>
              <w:topLinePunct w:val="0"/>
              <w:autoSpaceDE/>
              <w:autoSpaceDN/>
              <w:bidi w:val="0"/>
              <w:adjustRightInd/>
              <w:snapToGrid/>
              <w:spacing w:line="360" w:lineRule="auto"/>
              <w:ind w:left="0" w:right="0" w:firstLine="454" w:firstLineChars="200"/>
              <w:textAlignment w:val="auto"/>
              <w:outlineLvl w:val="9"/>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b/>
                <w:bCs/>
                <w:color w:val="auto"/>
                <w:spacing w:val="-7"/>
                <w:sz w:val="24"/>
                <w:szCs w:val="24"/>
                <w:u w:val="none" w:color="auto"/>
              </w:rPr>
              <w:t>7</w:t>
            </w:r>
            <w:r>
              <w:rPr>
                <w:rFonts w:hint="default" w:ascii="Times New Roman" w:hAnsi="Times New Roman" w:eastAsia="宋体" w:cs="Times New Roman"/>
                <w:b/>
                <w:bCs/>
                <w:color w:val="auto"/>
                <w:spacing w:val="-31"/>
                <w:sz w:val="24"/>
                <w:szCs w:val="24"/>
                <w:u w:val="none" w:color="auto"/>
              </w:rPr>
              <w:t xml:space="preserve"> </w:t>
            </w:r>
            <w:r>
              <w:rPr>
                <w:rFonts w:hint="default" w:ascii="Times New Roman" w:hAnsi="Times New Roman" w:eastAsia="宋体" w:cs="Times New Roman"/>
                <w:b/>
                <w:bCs/>
                <w:color w:val="auto"/>
                <w:spacing w:val="-7"/>
                <w:sz w:val="24"/>
                <w:szCs w:val="24"/>
                <w:u w:val="none" w:color="auto"/>
              </w:rPr>
              <w:t>、给排水工程</w:t>
            </w:r>
          </w:p>
          <w:p w14:paraId="186BB3A7">
            <w:pPr>
              <w:pStyle w:val="170"/>
              <w:keepNext w:val="0"/>
              <w:keepLines w:val="0"/>
              <w:pageBreakBefore w:val="0"/>
              <w:widowControl w:val="0"/>
              <w:kinsoku/>
              <w:wordWrap/>
              <w:overflowPunct/>
              <w:topLinePunct w:val="0"/>
              <w:autoSpaceDE/>
              <w:autoSpaceDN/>
              <w:bidi w:val="0"/>
              <w:adjustRightInd/>
              <w:snapToGrid/>
              <w:spacing w:line="360" w:lineRule="auto"/>
              <w:ind w:left="0" w:right="0" w:firstLine="456" w:firstLineChars="200"/>
              <w:textAlignment w:val="auto"/>
              <w:outlineLvl w:val="9"/>
              <w:rPr>
                <w:rFonts w:hint="default" w:ascii="Times New Roman" w:hAnsi="Times New Roman" w:eastAsia="宋体" w:cs="Times New Roman"/>
                <w:b w:val="0"/>
                <w:bCs w:val="0"/>
                <w:color w:val="auto"/>
                <w:sz w:val="24"/>
                <w:szCs w:val="24"/>
                <w:u w:val="none" w:color="auto"/>
              </w:rPr>
            </w:pPr>
            <w:r>
              <w:rPr>
                <w:rFonts w:hint="default" w:ascii="Times New Roman" w:hAnsi="Times New Roman" w:eastAsia="宋体" w:cs="Times New Roman"/>
                <w:b w:val="0"/>
                <w:bCs w:val="0"/>
                <w:color w:val="auto"/>
                <w:spacing w:val="-6"/>
                <w:sz w:val="24"/>
                <w:szCs w:val="24"/>
                <w:u w:val="none" w:color="auto"/>
              </w:rPr>
              <w:t>（1）给水</w:t>
            </w:r>
          </w:p>
          <w:p w14:paraId="5EE7E3D8">
            <w:pPr>
              <w:pStyle w:val="170"/>
              <w:keepNext w:val="0"/>
              <w:keepLines w:val="0"/>
              <w:pageBreakBefore w:val="0"/>
              <w:widowControl w:val="0"/>
              <w:kinsoku/>
              <w:wordWrap/>
              <w:overflowPunct/>
              <w:topLinePunct w:val="0"/>
              <w:autoSpaceDE/>
              <w:autoSpaceDN/>
              <w:bidi w:val="0"/>
              <w:adjustRightInd/>
              <w:snapToGrid/>
              <w:spacing w:line="360" w:lineRule="auto"/>
              <w:ind w:left="0" w:right="0" w:firstLine="468" w:firstLineChars="200"/>
              <w:textAlignment w:val="auto"/>
              <w:outlineLvl w:val="9"/>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3"/>
                <w:sz w:val="24"/>
                <w:szCs w:val="24"/>
                <w:u w:val="none" w:color="auto"/>
              </w:rPr>
              <w:t>项目运营期用水主要为</w:t>
            </w:r>
            <w:r>
              <w:rPr>
                <w:rFonts w:hint="default" w:ascii="Times New Roman" w:hAnsi="Times New Roman" w:eastAsia="宋体" w:cs="Times New Roman"/>
                <w:color w:val="auto"/>
                <w:spacing w:val="-3"/>
                <w:sz w:val="24"/>
                <w:szCs w:val="24"/>
                <w:u w:val="none" w:color="auto"/>
                <w:lang w:val="en-US" w:eastAsia="zh-CN"/>
              </w:rPr>
              <w:t>新增学</w:t>
            </w:r>
            <w:r>
              <w:rPr>
                <w:rFonts w:hint="default" w:ascii="Times New Roman" w:hAnsi="Times New Roman" w:eastAsia="宋体" w:cs="Times New Roman"/>
                <w:color w:val="auto"/>
                <w:spacing w:val="-3"/>
                <w:sz w:val="24"/>
                <w:szCs w:val="24"/>
                <w:u w:val="none" w:color="auto"/>
              </w:rPr>
              <w:t>生日常用水、实验用水、绿化用水</w:t>
            </w:r>
            <w:r>
              <w:rPr>
                <w:rFonts w:hint="default" w:ascii="Times New Roman" w:hAnsi="Times New Roman" w:eastAsia="宋体" w:cs="Times New Roman"/>
                <w:color w:val="auto"/>
                <w:spacing w:val="-1"/>
                <w:sz w:val="24"/>
                <w:szCs w:val="24"/>
                <w:u w:val="none" w:color="auto"/>
              </w:rPr>
              <w:t>等，由市政自来水管网供应，能满足项目用水需求。</w:t>
            </w:r>
          </w:p>
          <w:p w14:paraId="433ECC83">
            <w:pPr>
              <w:pStyle w:val="170"/>
              <w:keepNext w:val="0"/>
              <w:keepLines w:val="0"/>
              <w:pageBreakBefore w:val="0"/>
              <w:widowControl w:val="0"/>
              <w:kinsoku/>
              <w:wordWrap/>
              <w:overflowPunct/>
              <w:topLinePunct w:val="0"/>
              <w:autoSpaceDE/>
              <w:autoSpaceDN/>
              <w:bidi w:val="0"/>
              <w:adjustRightInd/>
              <w:snapToGrid/>
              <w:spacing w:line="360" w:lineRule="auto"/>
              <w:ind w:left="0" w:right="0" w:firstLine="456" w:firstLineChars="200"/>
              <w:textAlignment w:val="auto"/>
              <w:outlineLvl w:val="9"/>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6"/>
                <w:sz w:val="24"/>
                <w:szCs w:val="24"/>
                <w:u w:val="none" w:color="auto"/>
              </w:rPr>
              <w:t>1、</w:t>
            </w:r>
            <w:r>
              <w:rPr>
                <w:rFonts w:hint="default" w:ascii="Times New Roman" w:hAnsi="Times New Roman" w:eastAsia="宋体" w:cs="Times New Roman"/>
                <w:color w:val="auto"/>
                <w:spacing w:val="-3"/>
                <w:sz w:val="24"/>
                <w:szCs w:val="24"/>
                <w:u w:val="none" w:color="auto"/>
                <w:lang w:val="en-US" w:eastAsia="zh-CN"/>
              </w:rPr>
              <w:t>新增学</w:t>
            </w:r>
            <w:r>
              <w:rPr>
                <w:rFonts w:hint="default" w:ascii="Times New Roman" w:hAnsi="Times New Roman" w:eastAsia="宋体" w:cs="Times New Roman"/>
                <w:color w:val="auto"/>
                <w:spacing w:val="-3"/>
                <w:sz w:val="24"/>
                <w:szCs w:val="24"/>
                <w:u w:val="none" w:color="auto"/>
              </w:rPr>
              <w:t>生日常用水</w:t>
            </w:r>
          </w:p>
          <w:p w14:paraId="0F2E500F">
            <w:pPr>
              <w:pStyle w:val="170"/>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outlineLvl w:val="9"/>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1"/>
                <w:sz w:val="24"/>
                <w:szCs w:val="24"/>
                <w:u w:val="none" w:color="auto"/>
              </w:rPr>
              <w:t>本项目建成后日常在校学生为16人，</w:t>
            </w:r>
            <w:r>
              <w:rPr>
                <w:rFonts w:hint="default" w:ascii="Times New Roman" w:hAnsi="Times New Roman" w:eastAsia="宋体" w:cs="Times New Roman"/>
                <w:color w:val="auto"/>
                <w:spacing w:val="3"/>
                <w:sz w:val="24"/>
                <w:szCs w:val="24"/>
                <w:u w:val="none" w:color="auto"/>
              </w:rPr>
              <w:t>根据建设单位提供资料，项目运营期学生全部</w:t>
            </w:r>
            <w:r>
              <w:rPr>
                <w:rFonts w:hint="default" w:ascii="Times New Roman" w:hAnsi="Times New Roman" w:eastAsia="宋体" w:cs="Times New Roman"/>
                <w:color w:val="auto"/>
                <w:spacing w:val="2"/>
                <w:sz w:val="24"/>
                <w:szCs w:val="24"/>
                <w:u w:val="none" w:color="auto"/>
              </w:rPr>
              <w:t>为寄宿制。依据《河南</w:t>
            </w:r>
            <w:r>
              <w:rPr>
                <w:rFonts w:hint="default" w:ascii="Times New Roman" w:hAnsi="Times New Roman" w:eastAsia="宋体" w:cs="Times New Roman"/>
                <w:color w:val="auto"/>
                <w:spacing w:val="-3"/>
                <w:sz w:val="24"/>
                <w:szCs w:val="24"/>
                <w:u w:val="none" w:color="auto"/>
              </w:rPr>
              <w:t>省工业与城镇生活用水定额》（DB41/T385-2020）中教育用水定额和附录</w:t>
            </w:r>
            <w:r>
              <w:rPr>
                <w:rFonts w:hint="default" w:ascii="Times New Roman" w:hAnsi="Times New Roman" w:eastAsia="宋体" w:cs="Times New Roman"/>
                <w:color w:val="auto"/>
                <w:spacing w:val="-52"/>
                <w:sz w:val="24"/>
                <w:szCs w:val="24"/>
                <w:u w:val="none" w:color="auto"/>
              </w:rPr>
              <w:t xml:space="preserve"> </w:t>
            </w:r>
            <w:r>
              <w:rPr>
                <w:rFonts w:hint="default" w:ascii="Times New Roman" w:hAnsi="Times New Roman" w:eastAsia="宋体" w:cs="Times New Roman"/>
                <w:color w:val="auto"/>
                <w:spacing w:val="-3"/>
                <w:sz w:val="24"/>
                <w:szCs w:val="24"/>
                <w:u w:val="none" w:color="auto"/>
              </w:rPr>
              <w:t>B，本</w:t>
            </w:r>
            <w:r>
              <w:rPr>
                <w:rFonts w:hint="default" w:ascii="Times New Roman" w:hAnsi="Times New Roman" w:eastAsia="宋体" w:cs="Times New Roman"/>
                <w:color w:val="auto"/>
                <w:spacing w:val="-1"/>
                <w:sz w:val="24"/>
                <w:szCs w:val="24"/>
                <w:u w:val="none" w:color="auto"/>
              </w:rPr>
              <w:t>项目师生日常生活用水量见下表。</w:t>
            </w:r>
          </w:p>
          <w:p w14:paraId="4451AE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highlight w:val="none"/>
                <w:u w:val="none" w:color="auto"/>
              </w:rPr>
            </w:pPr>
            <w:r>
              <w:rPr>
                <w:rFonts w:hint="default" w:ascii="Times New Roman" w:hAnsi="Times New Roman" w:eastAsia="宋体" w:cs="Times New Roman"/>
                <w:b/>
                <w:bCs/>
                <w:color w:val="auto"/>
                <w:sz w:val="24"/>
                <w:highlight w:val="none"/>
                <w:u w:val="none" w:color="auto"/>
              </w:rPr>
              <w:t>表 2-</w:t>
            </w:r>
            <w:r>
              <w:rPr>
                <w:rFonts w:hint="eastAsia" w:ascii="Times New Roman" w:hAnsi="Times New Roman" w:eastAsia="宋体" w:cs="Times New Roman"/>
                <w:b/>
                <w:bCs/>
                <w:color w:val="auto"/>
                <w:sz w:val="24"/>
                <w:highlight w:val="none"/>
                <w:u w:val="none" w:color="auto"/>
                <w:lang w:val="en-US" w:eastAsia="zh-CN"/>
              </w:rPr>
              <w:t>8</w:t>
            </w:r>
            <w:r>
              <w:rPr>
                <w:rFonts w:hint="default" w:ascii="Times New Roman" w:hAnsi="Times New Roman" w:eastAsia="宋体" w:cs="Times New Roman"/>
                <w:b/>
                <w:bCs/>
                <w:color w:val="auto"/>
                <w:sz w:val="24"/>
                <w:highlight w:val="none"/>
                <w:u w:val="none" w:color="auto"/>
              </w:rPr>
              <w:t xml:space="preserve">      本项目用水定额表</w:t>
            </w:r>
          </w:p>
          <w:tbl>
            <w:tblPr>
              <w:tblStyle w:val="172"/>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869"/>
              <w:gridCol w:w="1005"/>
              <w:gridCol w:w="1421"/>
              <w:gridCol w:w="1070"/>
              <w:gridCol w:w="1106"/>
              <w:gridCol w:w="1667"/>
            </w:tblGrid>
            <w:tr w14:paraId="238F14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148" w:type="pct"/>
                  <w:vAlign w:val="center"/>
                </w:tcPr>
                <w:p w14:paraId="53E67E30">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6"/>
                      <w:sz w:val="21"/>
                      <w:szCs w:val="21"/>
                      <w:u w:val="none" w:color="auto"/>
                    </w:rPr>
                    <w:t>行业类别</w:t>
                  </w:r>
                </w:p>
              </w:tc>
              <w:tc>
                <w:tcPr>
                  <w:tcW w:w="617" w:type="pct"/>
                  <w:vAlign w:val="center"/>
                </w:tcPr>
                <w:p w14:paraId="53D19D49">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5"/>
                      <w:sz w:val="21"/>
                      <w:szCs w:val="21"/>
                      <w:u w:val="none" w:color="auto"/>
                    </w:rPr>
                    <w:t>定额先进值</w:t>
                  </w:r>
                </w:p>
              </w:tc>
              <w:tc>
                <w:tcPr>
                  <w:tcW w:w="873" w:type="pct"/>
                  <w:vAlign w:val="center"/>
                </w:tcPr>
                <w:p w14:paraId="112FD26D">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6"/>
                      <w:sz w:val="21"/>
                      <w:szCs w:val="21"/>
                      <w:u w:val="none" w:color="auto"/>
                    </w:rPr>
                    <w:t>定额单位</w:t>
                  </w:r>
                </w:p>
              </w:tc>
              <w:tc>
                <w:tcPr>
                  <w:tcW w:w="657" w:type="pct"/>
                  <w:vAlign w:val="center"/>
                </w:tcPr>
                <w:p w14:paraId="7CD83E80">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6"/>
                      <w:sz w:val="21"/>
                      <w:szCs w:val="21"/>
                      <w:u w:val="none" w:color="auto"/>
                    </w:rPr>
                    <w:t>折标准人</w:t>
                  </w:r>
                </w:p>
                <w:p w14:paraId="70CFDCE4">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数</w:t>
                  </w:r>
                </w:p>
              </w:tc>
              <w:tc>
                <w:tcPr>
                  <w:tcW w:w="679" w:type="pct"/>
                  <w:vAlign w:val="center"/>
                </w:tcPr>
                <w:p w14:paraId="3279103A">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7"/>
                      <w:sz w:val="21"/>
                      <w:szCs w:val="21"/>
                      <w:u w:val="none" w:color="auto"/>
                    </w:rPr>
                    <w:t>年用水量</w:t>
                  </w:r>
                </w:p>
                <w:p w14:paraId="070BC4DE">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（t）</w:t>
                  </w:r>
                </w:p>
              </w:tc>
              <w:tc>
                <w:tcPr>
                  <w:tcW w:w="1024" w:type="pct"/>
                  <w:vAlign w:val="center"/>
                </w:tcPr>
                <w:p w14:paraId="1C4F7BFC">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7"/>
                      <w:sz w:val="21"/>
                      <w:szCs w:val="21"/>
                      <w:u w:val="none" w:color="auto"/>
                    </w:rPr>
                    <w:t>人均用水量</w:t>
                  </w:r>
                </w:p>
                <w:p w14:paraId="41C1397B">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r>
                    <w:rPr>
                      <w:rFonts w:hint="default" w:ascii="Times New Roman" w:hAnsi="Times New Roman" w:eastAsia="宋体" w:cs="Times New Roman"/>
                      <w:color w:val="auto"/>
                      <w:sz w:val="21"/>
                      <w:szCs w:val="21"/>
                      <w:u w:val="none" w:color="auto"/>
                      <w:lang w:val="en-US" w:eastAsia="zh-CN"/>
                    </w:rPr>
                    <w:t>m</w:t>
                  </w:r>
                  <w:r>
                    <w:rPr>
                      <w:rFonts w:hint="default" w:ascii="Times New Roman" w:hAnsi="Times New Roman" w:eastAsia="宋体" w:cs="Times New Roman"/>
                      <w:color w:val="auto"/>
                      <w:sz w:val="21"/>
                      <w:szCs w:val="21"/>
                      <w:u w:val="none" w:color="auto"/>
                      <w:vertAlign w:val="superscript"/>
                      <w:lang w:val="en-US" w:eastAsia="zh-CN"/>
                    </w:rPr>
                    <w:t>3</w:t>
                  </w:r>
                  <w:r>
                    <w:rPr>
                      <w:rFonts w:hint="default" w:ascii="Times New Roman" w:hAnsi="Times New Roman" w:eastAsia="宋体" w:cs="Times New Roman"/>
                      <w:color w:val="auto"/>
                      <w:sz w:val="21"/>
                      <w:szCs w:val="21"/>
                      <w:u w:val="none" w:color="auto"/>
                    </w:rPr>
                    <w:t>/d）</w:t>
                  </w:r>
                </w:p>
              </w:tc>
            </w:tr>
            <w:tr w14:paraId="2C9D1F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148" w:type="pct"/>
                  <w:vAlign w:val="center"/>
                </w:tcPr>
                <w:p w14:paraId="68EF50E6">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5"/>
                      <w:sz w:val="21"/>
                      <w:szCs w:val="21"/>
                      <w:u w:val="none" w:color="auto"/>
                    </w:rPr>
                    <w:t>中等教育（高中）</w:t>
                  </w:r>
                </w:p>
              </w:tc>
              <w:tc>
                <w:tcPr>
                  <w:tcW w:w="617" w:type="pct"/>
                  <w:vAlign w:val="center"/>
                </w:tcPr>
                <w:p w14:paraId="161E741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10.0</w:t>
                  </w:r>
                </w:p>
              </w:tc>
              <w:tc>
                <w:tcPr>
                  <w:tcW w:w="873" w:type="pct"/>
                  <w:vAlign w:val="center"/>
                </w:tcPr>
                <w:p w14:paraId="0AD1D474">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4"/>
                      <w:sz w:val="21"/>
                      <w:szCs w:val="21"/>
                      <w:u w:val="none" w:color="auto"/>
                      <w:lang w:val="en-US" w:eastAsia="zh-CN"/>
                    </w:rPr>
                    <w:t>m</w:t>
                  </w:r>
                  <w:r>
                    <w:rPr>
                      <w:rFonts w:hint="default" w:ascii="Times New Roman" w:hAnsi="Times New Roman" w:eastAsia="宋体" w:cs="Times New Roman"/>
                      <w:color w:val="auto"/>
                      <w:spacing w:val="4"/>
                      <w:sz w:val="21"/>
                      <w:szCs w:val="21"/>
                      <w:u w:val="none" w:color="auto"/>
                      <w:vertAlign w:val="superscript"/>
                      <w:lang w:val="en-US" w:eastAsia="zh-CN"/>
                    </w:rPr>
                    <w:t>3</w:t>
                  </w:r>
                  <w:r>
                    <w:rPr>
                      <w:rFonts w:hint="default" w:ascii="Times New Roman" w:hAnsi="Times New Roman" w:eastAsia="宋体" w:cs="Times New Roman"/>
                      <w:color w:val="auto"/>
                      <w:spacing w:val="4"/>
                      <w:sz w:val="21"/>
                      <w:szCs w:val="21"/>
                      <w:u w:val="none" w:color="auto"/>
                    </w:rPr>
                    <w:t>/（人▪a）</w:t>
                  </w:r>
                </w:p>
              </w:tc>
              <w:tc>
                <w:tcPr>
                  <w:tcW w:w="657" w:type="pct"/>
                  <w:vAlign w:val="center"/>
                </w:tcPr>
                <w:p w14:paraId="606E28E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pacing w:val="2"/>
                      <w:sz w:val="21"/>
                      <w:szCs w:val="21"/>
                      <w:u w:val="none" w:color="auto"/>
                      <w:lang w:val="en-US" w:eastAsia="zh-CN"/>
                    </w:rPr>
                    <w:t>16</w:t>
                  </w:r>
                </w:p>
              </w:tc>
              <w:tc>
                <w:tcPr>
                  <w:tcW w:w="679" w:type="pct"/>
                  <w:vAlign w:val="center"/>
                </w:tcPr>
                <w:p w14:paraId="74D748A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pacing w:val="2"/>
                      <w:sz w:val="21"/>
                      <w:szCs w:val="21"/>
                      <w:u w:val="none" w:color="auto"/>
                      <w:lang w:val="en-US" w:eastAsia="zh-CN"/>
                    </w:rPr>
                    <w:t>160</w:t>
                  </w:r>
                </w:p>
              </w:tc>
              <w:tc>
                <w:tcPr>
                  <w:tcW w:w="1024" w:type="pct"/>
                  <w:vAlign w:val="center"/>
                </w:tcPr>
                <w:p w14:paraId="49821A9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0.8</w:t>
                  </w:r>
                </w:p>
              </w:tc>
            </w:tr>
          </w:tbl>
          <w:p w14:paraId="0D3E6762">
            <w:pPr>
              <w:pStyle w:val="170"/>
              <w:keepNext w:val="0"/>
              <w:keepLines w:val="0"/>
              <w:pageBreakBefore w:val="0"/>
              <w:widowControl w:val="0"/>
              <w:kinsoku/>
              <w:wordWrap/>
              <w:overflowPunct/>
              <w:topLinePunct w:val="0"/>
              <w:autoSpaceDE/>
              <w:autoSpaceDN/>
              <w:bidi w:val="0"/>
              <w:spacing w:line="360" w:lineRule="auto"/>
              <w:ind w:left="0" w:firstLine="468"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3"/>
                <w:sz w:val="24"/>
                <w:szCs w:val="24"/>
                <w:u w:val="none" w:color="auto"/>
              </w:rPr>
              <w:t>由上表可知，本项目师生日常生活用水量为</w:t>
            </w:r>
            <w:r>
              <w:rPr>
                <w:rFonts w:hint="default" w:ascii="Times New Roman" w:hAnsi="Times New Roman" w:eastAsia="宋体" w:cs="Times New Roman"/>
                <w:color w:val="auto"/>
                <w:spacing w:val="-3"/>
                <w:sz w:val="24"/>
                <w:szCs w:val="24"/>
                <w:u w:val="none" w:color="auto"/>
                <w:lang w:val="en-US" w:eastAsia="zh-CN"/>
              </w:rPr>
              <w:t>160</w:t>
            </w:r>
            <w:r>
              <w:rPr>
                <w:rFonts w:hint="default" w:ascii="Times New Roman" w:hAnsi="Times New Roman" w:eastAsia="宋体" w:cs="Times New Roman"/>
                <w:color w:val="auto"/>
                <w:spacing w:val="-3"/>
                <w:sz w:val="24"/>
                <w:szCs w:val="24"/>
                <w:u w:val="none" w:color="auto"/>
              </w:rPr>
              <w:t>m</w:t>
            </w:r>
            <w:r>
              <w:rPr>
                <w:rFonts w:hint="eastAsia" w:ascii="Times New Roman" w:hAnsi="Times New Roman" w:eastAsia="宋体" w:cs="Times New Roman"/>
                <w:color w:val="auto"/>
                <w:spacing w:val="-3"/>
                <w:sz w:val="24"/>
                <w:szCs w:val="24"/>
                <w:u w:val="none" w:color="auto"/>
                <w:vertAlign w:val="superscript"/>
                <w:lang w:val="en-US" w:eastAsia="zh-CN"/>
              </w:rPr>
              <w:t>3</w:t>
            </w:r>
            <w:r>
              <w:rPr>
                <w:rFonts w:hint="default" w:ascii="Times New Roman" w:hAnsi="Times New Roman" w:eastAsia="宋体" w:cs="Times New Roman"/>
                <w:color w:val="auto"/>
                <w:spacing w:val="-3"/>
                <w:sz w:val="24"/>
                <w:szCs w:val="24"/>
                <w:u w:val="none" w:color="auto"/>
              </w:rPr>
              <w:t>/a（</w:t>
            </w:r>
            <w:r>
              <w:rPr>
                <w:rFonts w:hint="eastAsia" w:ascii="Times New Roman" w:hAnsi="Times New Roman" w:eastAsia="宋体" w:cs="Times New Roman"/>
                <w:color w:val="auto"/>
                <w:spacing w:val="-3"/>
                <w:sz w:val="24"/>
                <w:szCs w:val="24"/>
                <w:u w:val="none" w:color="auto"/>
                <w:lang w:val="en-US" w:eastAsia="zh-CN"/>
              </w:rPr>
              <w:t>0.8</w:t>
            </w:r>
            <w:r>
              <w:rPr>
                <w:rFonts w:hint="default" w:ascii="Times New Roman" w:hAnsi="Times New Roman" w:eastAsia="宋体" w:cs="Times New Roman"/>
                <w:color w:val="auto"/>
                <w:spacing w:val="-4"/>
                <w:sz w:val="24"/>
                <w:szCs w:val="24"/>
                <w:u w:val="none" w:color="auto"/>
              </w:rPr>
              <w:t>m</w:t>
            </w:r>
            <w:r>
              <w:rPr>
                <w:rFonts w:hint="eastAsia" w:ascii="Times New Roman" w:hAnsi="Times New Roman" w:eastAsia="宋体" w:cs="Times New Roman"/>
                <w:color w:val="auto"/>
                <w:spacing w:val="-4"/>
                <w:sz w:val="24"/>
                <w:szCs w:val="24"/>
                <w:u w:val="none" w:color="auto"/>
                <w:vertAlign w:val="superscript"/>
                <w:lang w:val="en-US" w:eastAsia="zh-CN"/>
              </w:rPr>
              <w:t>3</w:t>
            </w:r>
            <w:r>
              <w:rPr>
                <w:rFonts w:hint="default" w:ascii="Times New Roman" w:hAnsi="Times New Roman" w:eastAsia="宋体" w:cs="Times New Roman"/>
                <w:color w:val="auto"/>
                <w:spacing w:val="-4"/>
                <w:sz w:val="24"/>
                <w:szCs w:val="24"/>
                <w:u w:val="none" w:color="auto"/>
              </w:rPr>
              <w:t>/d）。</w:t>
            </w:r>
          </w:p>
          <w:p w14:paraId="4A4AFDC6">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highlight w:val="none"/>
                <w:u w:val="none" w:color="auto"/>
              </w:rPr>
            </w:pPr>
            <w:r>
              <w:rPr>
                <w:rFonts w:hint="eastAsia" w:cs="Times New Roman"/>
                <w:b w:val="0"/>
                <w:bCs/>
                <w:color w:val="auto"/>
                <w:sz w:val="24"/>
                <w:highlight w:val="none"/>
                <w:u w:val="none" w:color="auto"/>
                <w:lang w:val="en-US" w:eastAsia="zh-CN"/>
              </w:rPr>
              <w:t>2</w:t>
            </w:r>
            <w:r>
              <w:rPr>
                <w:rFonts w:hint="default" w:ascii="Times New Roman" w:hAnsi="Times New Roman" w:cs="Times New Roman"/>
                <w:b w:val="0"/>
                <w:bCs/>
                <w:color w:val="auto"/>
                <w:sz w:val="24"/>
                <w:highlight w:val="none"/>
                <w:u w:val="none" w:color="auto"/>
              </w:rPr>
              <w:t>、实验室用水</w:t>
            </w:r>
          </w:p>
          <w:p w14:paraId="00651C98">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highlight w:val="none"/>
                <w:u w:val="none" w:color="auto"/>
              </w:rPr>
            </w:pPr>
            <w:r>
              <w:rPr>
                <w:rFonts w:hint="default" w:ascii="Times New Roman" w:hAnsi="Times New Roman" w:cs="Times New Roman"/>
                <w:b w:val="0"/>
                <w:bCs/>
                <w:color w:val="auto"/>
                <w:sz w:val="24"/>
                <w:highlight w:val="none"/>
                <w:u w:val="none" w:color="auto"/>
              </w:rPr>
              <w:t>本项目</w:t>
            </w:r>
            <w:r>
              <w:rPr>
                <w:rFonts w:hint="eastAsia" w:cs="Times New Roman"/>
                <w:b w:val="0"/>
                <w:bCs/>
                <w:color w:val="auto"/>
                <w:sz w:val="24"/>
                <w:highlight w:val="none"/>
                <w:u w:val="none" w:color="auto"/>
                <w:lang w:val="en-US" w:eastAsia="zh-CN"/>
              </w:rPr>
              <w:t>实验室</w:t>
            </w:r>
            <w:r>
              <w:rPr>
                <w:rFonts w:hint="default" w:ascii="Times New Roman" w:hAnsi="Times New Roman" w:cs="Times New Roman"/>
                <w:b w:val="0"/>
                <w:bCs/>
                <w:color w:val="auto"/>
                <w:sz w:val="24"/>
                <w:highlight w:val="none"/>
                <w:u w:val="none" w:color="auto"/>
              </w:rPr>
              <w:t>用水主要为化学实验室、生物实验室。本项目每年教育期约40周；全年级开设化学实验课程和生物实验课程，平均每个学生每周上一次化学和生物实验课课程，学生为</w:t>
            </w:r>
            <w:r>
              <w:rPr>
                <w:rFonts w:hint="eastAsia" w:cs="Times New Roman"/>
                <w:b w:val="0"/>
                <w:bCs/>
                <w:color w:val="auto"/>
                <w:sz w:val="24"/>
                <w:highlight w:val="none"/>
                <w:u w:val="none" w:color="auto"/>
                <w:lang w:val="en-US" w:eastAsia="zh-CN"/>
              </w:rPr>
              <w:t>8000</w:t>
            </w:r>
            <w:r>
              <w:rPr>
                <w:rFonts w:hint="default" w:ascii="Times New Roman" w:hAnsi="Times New Roman" w:cs="Times New Roman"/>
                <w:b w:val="0"/>
                <w:bCs/>
                <w:color w:val="auto"/>
                <w:sz w:val="24"/>
                <w:highlight w:val="none"/>
                <w:u w:val="none" w:color="auto"/>
              </w:rPr>
              <w:t>人，人均实验用水量均按3L/次进行计算，则本项目实验室用水量为</w:t>
            </w:r>
            <w:r>
              <w:rPr>
                <w:rFonts w:hint="eastAsia" w:cs="Times New Roman"/>
                <w:b w:val="0"/>
                <w:bCs/>
                <w:color w:val="auto"/>
                <w:sz w:val="24"/>
                <w:highlight w:val="none"/>
                <w:u w:val="none" w:color="auto"/>
                <w:lang w:val="en-US" w:eastAsia="zh-CN"/>
              </w:rPr>
              <w:t>960</w:t>
            </w:r>
            <w:r>
              <w:rPr>
                <w:rFonts w:hint="default" w:ascii="Times New Roman" w:hAnsi="Times New Roman" w:cs="Times New Roman"/>
                <w:b w:val="0"/>
                <w:bCs/>
                <w:color w:val="auto"/>
                <w:sz w:val="24"/>
                <w:highlight w:val="none"/>
                <w:u w:val="none" w:color="auto"/>
              </w:rPr>
              <w:t>m</w:t>
            </w:r>
            <w:r>
              <w:rPr>
                <w:rFonts w:hint="default" w:ascii="Times New Roman" w:hAnsi="Times New Roman" w:cs="Times New Roman"/>
                <w:b w:val="0"/>
                <w:bCs/>
                <w:color w:val="auto"/>
                <w:sz w:val="24"/>
                <w:highlight w:val="none"/>
                <w:u w:val="none" w:color="auto"/>
                <w:vertAlign w:val="superscript"/>
              </w:rPr>
              <w:t>3</w:t>
            </w:r>
            <w:r>
              <w:rPr>
                <w:rFonts w:hint="default" w:ascii="Times New Roman" w:hAnsi="Times New Roman" w:cs="Times New Roman"/>
                <w:b w:val="0"/>
                <w:bCs/>
                <w:color w:val="auto"/>
                <w:sz w:val="24"/>
                <w:highlight w:val="none"/>
                <w:u w:val="none" w:color="auto"/>
              </w:rPr>
              <w:t>/a（</w:t>
            </w:r>
            <w:r>
              <w:rPr>
                <w:rFonts w:hint="eastAsia" w:cs="Times New Roman"/>
                <w:b w:val="0"/>
                <w:bCs/>
                <w:color w:val="auto"/>
                <w:sz w:val="24"/>
                <w:highlight w:val="none"/>
                <w:u w:val="none" w:color="auto"/>
                <w:lang w:val="en-US" w:eastAsia="zh-CN"/>
              </w:rPr>
              <w:t>4.8</w:t>
            </w:r>
            <w:r>
              <w:rPr>
                <w:rFonts w:hint="default" w:ascii="Times New Roman" w:hAnsi="Times New Roman" w:cs="Times New Roman"/>
                <w:b w:val="0"/>
                <w:bCs/>
                <w:color w:val="auto"/>
                <w:sz w:val="24"/>
                <w:highlight w:val="none"/>
                <w:u w:val="none" w:color="auto"/>
              </w:rPr>
              <w:t>m</w:t>
            </w:r>
            <w:r>
              <w:rPr>
                <w:rFonts w:hint="default" w:ascii="Times New Roman" w:hAnsi="Times New Roman" w:cs="Times New Roman"/>
                <w:b w:val="0"/>
                <w:bCs/>
                <w:color w:val="auto"/>
                <w:sz w:val="24"/>
                <w:highlight w:val="none"/>
                <w:u w:val="none" w:color="auto"/>
                <w:vertAlign w:val="superscript"/>
              </w:rPr>
              <w:t>3</w:t>
            </w:r>
            <w:r>
              <w:rPr>
                <w:rFonts w:hint="default" w:ascii="Times New Roman" w:hAnsi="Times New Roman" w:cs="Times New Roman"/>
                <w:b w:val="0"/>
                <w:bCs/>
                <w:color w:val="auto"/>
                <w:sz w:val="24"/>
                <w:highlight w:val="none"/>
                <w:u w:val="none" w:color="auto"/>
              </w:rPr>
              <w:t>/d）。</w:t>
            </w:r>
          </w:p>
          <w:p w14:paraId="23E8A9B2">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highlight w:val="none"/>
                <w:u w:val="none" w:color="auto"/>
              </w:rPr>
            </w:pPr>
            <w:r>
              <w:rPr>
                <w:rFonts w:hint="eastAsia" w:cs="Times New Roman"/>
                <w:b w:val="0"/>
                <w:bCs/>
                <w:color w:val="auto"/>
                <w:sz w:val="24"/>
                <w:highlight w:val="none"/>
                <w:u w:val="none" w:color="auto"/>
                <w:lang w:val="en-US" w:eastAsia="zh-CN"/>
              </w:rPr>
              <w:t>3</w:t>
            </w:r>
            <w:r>
              <w:rPr>
                <w:rFonts w:hint="default" w:ascii="Times New Roman" w:hAnsi="Times New Roman" w:cs="Times New Roman"/>
                <w:b w:val="0"/>
                <w:bCs/>
                <w:color w:val="auto"/>
                <w:sz w:val="24"/>
                <w:highlight w:val="none"/>
                <w:u w:val="none" w:color="auto"/>
              </w:rPr>
              <w:t>、绿化浇灌用水和道路场地喷洒用水</w:t>
            </w:r>
          </w:p>
          <w:p w14:paraId="07304AC9">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highlight w:val="none"/>
                <w:u w:val="none" w:color="auto"/>
              </w:rPr>
            </w:pPr>
            <w:r>
              <w:rPr>
                <w:rFonts w:hint="eastAsia" w:cs="Times New Roman"/>
                <w:b w:val="0"/>
                <w:bCs/>
                <w:color w:val="auto"/>
                <w:sz w:val="24"/>
                <w:highlight w:val="none"/>
                <w:u w:val="none" w:color="auto"/>
                <w:lang w:val="en-US" w:eastAsia="zh-CN"/>
              </w:rPr>
              <w:t>根据</w:t>
            </w:r>
            <w:r>
              <w:rPr>
                <w:rFonts w:hint="default" w:ascii="Times New Roman" w:hAnsi="Times New Roman" w:cs="Times New Roman"/>
                <w:b w:val="0"/>
                <w:bCs/>
                <w:color w:val="auto"/>
                <w:sz w:val="24"/>
                <w:highlight w:val="none"/>
                <w:u w:val="none" w:color="auto"/>
                <w:lang w:val="en-US" w:eastAsia="zh-CN"/>
              </w:rPr>
              <w:t>《建筑给水排水设计标准》</w:t>
            </w:r>
            <w:r>
              <w:rPr>
                <w:rFonts w:hint="eastAsia" w:cs="Times New Roman"/>
                <w:b w:val="0"/>
                <w:bCs/>
                <w:color w:val="auto"/>
                <w:sz w:val="24"/>
                <w:highlight w:val="none"/>
                <w:u w:val="none" w:color="auto"/>
                <w:lang w:val="en-US" w:eastAsia="zh-CN"/>
              </w:rPr>
              <w:t>（</w:t>
            </w:r>
            <w:r>
              <w:rPr>
                <w:rFonts w:hint="default" w:ascii="Times New Roman" w:hAnsi="Times New Roman" w:cs="Times New Roman"/>
                <w:b w:val="0"/>
                <w:bCs/>
                <w:color w:val="auto"/>
                <w:sz w:val="24"/>
                <w:highlight w:val="none"/>
                <w:u w:val="none" w:color="auto"/>
                <w:lang w:val="en-US" w:eastAsia="zh-CN"/>
              </w:rPr>
              <w:t>GB50015-2019</w:t>
            </w:r>
            <w:r>
              <w:rPr>
                <w:rFonts w:hint="eastAsia" w:cs="Times New Roman"/>
                <w:b w:val="0"/>
                <w:bCs/>
                <w:color w:val="auto"/>
                <w:sz w:val="24"/>
                <w:highlight w:val="none"/>
                <w:u w:val="none" w:color="auto"/>
                <w:lang w:val="en-US" w:eastAsia="zh-CN"/>
              </w:rPr>
              <w:t>）</w:t>
            </w:r>
            <w:r>
              <w:rPr>
                <w:rFonts w:hint="default" w:ascii="Times New Roman" w:hAnsi="Times New Roman" w:cs="Times New Roman"/>
                <w:b w:val="0"/>
                <w:bCs/>
                <w:color w:val="auto"/>
                <w:sz w:val="24"/>
                <w:highlight w:val="none"/>
                <w:u w:val="none" w:color="auto"/>
              </w:rPr>
              <w:t>，项目绿化浇灌用水</w:t>
            </w:r>
            <w:r>
              <w:rPr>
                <w:rFonts w:hint="eastAsia" w:cs="Times New Roman"/>
                <w:b w:val="0"/>
                <w:bCs/>
                <w:color w:val="auto"/>
                <w:sz w:val="24"/>
                <w:highlight w:val="none"/>
                <w:u w:val="none" w:color="auto"/>
                <w:lang w:val="en-US" w:eastAsia="zh-CN"/>
              </w:rPr>
              <w:t>以及</w:t>
            </w:r>
            <w:r>
              <w:rPr>
                <w:rFonts w:hint="default" w:ascii="Times New Roman" w:hAnsi="Times New Roman" w:cs="Times New Roman"/>
                <w:b w:val="0"/>
                <w:bCs/>
                <w:color w:val="auto"/>
                <w:sz w:val="24"/>
                <w:highlight w:val="none"/>
                <w:u w:val="none" w:color="auto"/>
              </w:rPr>
              <w:t>道路及场地浇洒用水按</w:t>
            </w:r>
            <w:r>
              <w:rPr>
                <w:rFonts w:hint="eastAsia" w:cs="Times New Roman"/>
                <w:b w:val="0"/>
                <w:bCs/>
                <w:color w:val="auto"/>
                <w:sz w:val="24"/>
                <w:highlight w:val="none"/>
                <w:u w:val="none" w:color="auto"/>
                <w:lang w:val="en-US" w:eastAsia="zh-CN"/>
              </w:rPr>
              <w:t>1.5L</w:t>
            </w:r>
            <w:r>
              <w:rPr>
                <w:rFonts w:hint="default" w:ascii="Times New Roman" w:hAnsi="Times New Roman" w:cs="Times New Roman"/>
                <w:b w:val="0"/>
                <w:bCs/>
                <w:color w:val="auto"/>
                <w:sz w:val="24"/>
                <w:highlight w:val="none"/>
                <w:u w:val="none" w:color="auto"/>
              </w:rPr>
              <w:t>/（m</w:t>
            </w:r>
            <w:r>
              <w:rPr>
                <w:rFonts w:hint="default" w:ascii="Times New Roman" w:hAnsi="Times New Roman" w:cs="Times New Roman"/>
                <w:b w:val="0"/>
                <w:bCs/>
                <w:color w:val="auto"/>
                <w:sz w:val="24"/>
                <w:highlight w:val="none"/>
                <w:u w:val="none" w:color="auto"/>
                <w:vertAlign w:val="superscript"/>
              </w:rPr>
              <w:t>2</w:t>
            </w:r>
            <w:r>
              <w:rPr>
                <w:rFonts w:hint="eastAsia" w:cs="Times New Roman"/>
                <w:b w:val="0"/>
                <w:bCs/>
                <w:color w:val="auto"/>
                <w:sz w:val="24"/>
                <w:highlight w:val="none"/>
                <w:u w:val="none" w:color="auto"/>
                <w:lang w:val="en-US" w:eastAsia="zh-CN"/>
              </w:rPr>
              <w:t>·d</w:t>
            </w:r>
            <w:r>
              <w:rPr>
                <w:rFonts w:hint="default" w:ascii="Times New Roman" w:hAnsi="Times New Roman" w:cs="Times New Roman"/>
                <w:b w:val="0"/>
                <w:bCs/>
                <w:color w:val="auto"/>
                <w:sz w:val="24"/>
                <w:highlight w:val="none"/>
                <w:u w:val="none" w:color="auto"/>
              </w:rPr>
              <w:t>），</w:t>
            </w:r>
            <w:r>
              <w:rPr>
                <w:rFonts w:hint="eastAsia" w:cs="Times New Roman"/>
                <w:b w:val="0"/>
                <w:bCs/>
                <w:color w:val="auto"/>
                <w:sz w:val="24"/>
                <w:highlight w:val="none"/>
                <w:u w:val="none" w:color="auto"/>
                <w:lang w:val="en-US" w:eastAsia="zh-CN"/>
              </w:rPr>
              <w:t>本次新增</w:t>
            </w:r>
            <w:r>
              <w:rPr>
                <w:rFonts w:hint="default" w:ascii="Times New Roman" w:hAnsi="Times New Roman" w:cs="Times New Roman"/>
                <w:b w:val="0"/>
                <w:bCs/>
                <w:color w:val="auto"/>
                <w:sz w:val="24"/>
                <w:highlight w:val="none"/>
                <w:u w:val="none" w:color="auto"/>
              </w:rPr>
              <w:t>绿化</w:t>
            </w:r>
            <w:r>
              <w:rPr>
                <w:rFonts w:hint="eastAsia" w:cs="Times New Roman"/>
                <w:b w:val="0"/>
                <w:bCs/>
                <w:color w:val="auto"/>
                <w:sz w:val="24"/>
                <w:highlight w:val="none"/>
                <w:u w:val="none" w:color="auto"/>
                <w:lang w:eastAsia="zh-CN"/>
              </w:rPr>
              <w:t>、</w:t>
            </w:r>
            <w:r>
              <w:rPr>
                <w:rFonts w:hint="eastAsia" w:cs="Times New Roman"/>
                <w:b w:val="0"/>
                <w:bCs/>
                <w:color w:val="auto"/>
                <w:sz w:val="24"/>
                <w:highlight w:val="none"/>
                <w:u w:val="none" w:color="auto"/>
                <w:lang w:val="en-US" w:eastAsia="zh-CN"/>
              </w:rPr>
              <w:t>道路</w:t>
            </w:r>
            <w:r>
              <w:rPr>
                <w:rFonts w:hint="default" w:ascii="Times New Roman" w:hAnsi="Times New Roman" w:cs="Times New Roman"/>
                <w:b w:val="0"/>
                <w:bCs/>
                <w:color w:val="auto"/>
                <w:sz w:val="24"/>
                <w:highlight w:val="none"/>
                <w:u w:val="none" w:color="auto"/>
              </w:rPr>
              <w:t>面积为</w:t>
            </w:r>
            <w:r>
              <w:rPr>
                <w:rFonts w:hint="eastAsia" w:cs="Times New Roman"/>
                <w:b w:val="0"/>
                <w:bCs/>
                <w:color w:val="auto"/>
                <w:sz w:val="24"/>
                <w:highlight w:val="none"/>
                <w:u w:val="none" w:color="auto"/>
                <w:lang w:val="en-US" w:eastAsia="zh-CN"/>
              </w:rPr>
              <w:t>2926.22</w:t>
            </w:r>
            <w:r>
              <w:rPr>
                <w:rFonts w:hint="default" w:ascii="Times New Roman" w:hAnsi="Times New Roman" w:cs="Times New Roman"/>
                <w:b w:val="0"/>
                <w:bCs/>
                <w:color w:val="auto"/>
                <w:sz w:val="24"/>
                <w:highlight w:val="none"/>
                <w:u w:val="none" w:color="auto"/>
              </w:rPr>
              <w:t>m</w:t>
            </w:r>
            <w:r>
              <w:rPr>
                <w:rFonts w:hint="default" w:ascii="Times New Roman" w:hAnsi="Times New Roman" w:cs="Times New Roman"/>
                <w:b w:val="0"/>
                <w:bCs/>
                <w:color w:val="auto"/>
                <w:sz w:val="24"/>
                <w:highlight w:val="none"/>
                <w:u w:val="none" w:color="auto"/>
                <w:vertAlign w:val="superscript"/>
              </w:rPr>
              <w:t>2</w:t>
            </w:r>
            <w:r>
              <w:rPr>
                <w:rFonts w:hint="default" w:ascii="Times New Roman" w:hAnsi="Times New Roman" w:cs="Times New Roman"/>
                <w:b w:val="0"/>
                <w:bCs/>
                <w:color w:val="auto"/>
                <w:sz w:val="24"/>
                <w:highlight w:val="none"/>
                <w:u w:val="none" w:color="auto"/>
              </w:rPr>
              <w:t>，用水量为</w:t>
            </w:r>
            <w:r>
              <w:rPr>
                <w:rFonts w:hint="eastAsia" w:cs="Times New Roman"/>
                <w:b w:val="0"/>
                <w:bCs/>
                <w:color w:val="auto"/>
                <w:sz w:val="24"/>
                <w:highlight w:val="none"/>
                <w:u w:val="none" w:color="auto"/>
                <w:lang w:val="en-US" w:eastAsia="zh-CN"/>
              </w:rPr>
              <w:t>4.39</w:t>
            </w:r>
            <w:r>
              <w:rPr>
                <w:rFonts w:hint="default" w:ascii="Times New Roman" w:hAnsi="Times New Roman" w:cs="Times New Roman"/>
                <w:b w:val="0"/>
                <w:bCs/>
                <w:color w:val="auto"/>
                <w:sz w:val="24"/>
                <w:highlight w:val="none"/>
                <w:u w:val="none" w:color="auto"/>
              </w:rPr>
              <w:t>m</w:t>
            </w:r>
            <w:r>
              <w:rPr>
                <w:rFonts w:hint="default" w:ascii="Times New Roman" w:hAnsi="Times New Roman" w:cs="Times New Roman"/>
                <w:b w:val="0"/>
                <w:bCs/>
                <w:color w:val="auto"/>
                <w:sz w:val="24"/>
                <w:highlight w:val="none"/>
                <w:u w:val="none" w:color="auto"/>
                <w:vertAlign w:val="superscript"/>
              </w:rPr>
              <w:t>3</w:t>
            </w:r>
            <w:r>
              <w:rPr>
                <w:rFonts w:hint="default" w:ascii="Times New Roman" w:hAnsi="Times New Roman" w:cs="Times New Roman"/>
                <w:b w:val="0"/>
                <w:bCs/>
                <w:color w:val="auto"/>
                <w:sz w:val="24"/>
                <w:highlight w:val="none"/>
                <w:u w:val="none" w:color="auto"/>
              </w:rPr>
              <w:t>/</w:t>
            </w:r>
            <w:r>
              <w:rPr>
                <w:rFonts w:hint="eastAsia" w:cs="Times New Roman"/>
                <w:b w:val="0"/>
                <w:bCs/>
                <w:color w:val="auto"/>
                <w:sz w:val="24"/>
                <w:highlight w:val="none"/>
                <w:u w:val="none" w:color="auto"/>
                <w:lang w:val="en-US" w:eastAsia="zh-CN"/>
              </w:rPr>
              <w:t>d</w:t>
            </w:r>
            <w:r>
              <w:rPr>
                <w:rFonts w:hint="default" w:ascii="Times New Roman" w:hAnsi="Times New Roman" w:cs="Times New Roman"/>
                <w:b w:val="0"/>
                <w:bCs/>
                <w:color w:val="auto"/>
                <w:sz w:val="24"/>
                <w:highlight w:val="none"/>
                <w:u w:val="none" w:color="auto"/>
              </w:rPr>
              <w:t>。</w:t>
            </w:r>
          </w:p>
          <w:p w14:paraId="0C8F79F7">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highlight w:val="none"/>
                <w:u w:val="none" w:color="auto"/>
              </w:rPr>
            </w:pPr>
            <w:r>
              <w:rPr>
                <w:rFonts w:hint="default" w:ascii="Times New Roman" w:hAnsi="Times New Roman" w:cs="Times New Roman"/>
                <w:b w:val="0"/>
                <w:bCs/>
                <w:color w:val="auto"/>
                <w:sz w:val="24"/>
                <w:highlight w:val="none"/>
                <w:u w:val="none" w:color="auto"/>
              </w:rPr>
              <w:t>（2）排水</w:t>
            </w:r>
          </w:p>
          <w:p w14:paraId="69D09AF4">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highlight w:val="none"/>
                <w:u w:val="none" w:color="auto"/>
              </w:rPr>
            </w:pPr>
            <w:r>
              <w:rPr>
                <w:rFonts w:hint="default" w:ascii="Times New Roman" w:hAnsi="Times New Roman" w:cs="Times New Roman"/>
                <w:b w:val="0"/>
                <w:bCs/>
                <w:color w:val="auto"/>
                <w:sz w:val="24"/>
                <w:highlight w:val="none"/>
                <w:u w:val="none" w:color="auto"/>
              </w:rPr>
              <w:t>项目排水体制实行雨污分流，</w:t>
            </w:r>
            <w:r>
              <w:rPr>
                <w:rFonts w:hint="default" w:ascii="Times New Roman" w:hAnsi="Times New Roman" w:cs="Times New Roman"/>
                <w:bCs/>
                <w:color w:val="auto"/>
                <w:kern w:val="0"/>
                <w:sz w:val="24"/>
                <w:u w:val="none" w:color="auto"/>
              </w:rPr>
              <w:t>项目区雨水经市政雨水管网向</w:t>
            </w:r>
            <w:r>
              <w:rPr>
                <w:rFonts w:hint="eastAsia" w:cs="Times New Roman"/>
                <w:bCs/>
                <w:color w:val="auto"/>
                <w:kern w:val="0"/>
                <w:sz w:val="24"/>
                <w:u w:val="none" w:color="auto"/>
                <w:lang w:val="en-US" w:eastAsia="zh-CN"/>
              </w:rPr>
              <w:t>东</w:t>
            </w:r>
            <w:r>
              <w:rPr>
                <w:rFonts w:hint="default" w:ascii="Times New Roman" w:hAnsi="Times New Roman" w:cs="Times New Roman"/>
                <w:bCs/>
                <w:color w:val="auto"/>
                <w:kern w:val="0"/>
                <w:sz w:val="24"/>
                <w:u w:val="none" w:color="auto"/>
              </w:rPr>
              <w:t>排入</w:t>
            </w:r>
            <w:r>
              <w:rPr>
                <w:rFonts w:hint="eastAsia" w:cs="Times New Roman"/>
                <w:bCs/>
                <w:color w:val="auto"/>
                <w:kern w:val="0"/>
                <w:sz w:val="24"/>
                <w:u w:val="none" w:color="auto"/>
                <w:lang w:val="en-US" w:eastAsia="zh-CN"/>
              </w:rPr>
              <w:t>三里河，向南流入淇河</w:t>
            </w:r>
            <w:r>
              <w:rPr>
                <w:rFonts w:hint="default" w:ascii="Times New Roman" w:hAnsi="Times New Roman" w:cs="Times New Roman"/>
                <w:bCs/>
                <w:color w:val="auto"/>
                <w:kern w:val="0"/>
                <w:sz w:val="24"/>
                <w:u w:val="none" w:color="auto"/>
              </w:rPr>
              <w:t>，汇入赵河</w:t>
            </w:r>
            <w:r>
              <w:rPr>
                <w:rFonts w:hint="default" w:ascii="Times New Roman" w:hAnsi="Times New Roman" w:cs="Times New Roman"/>
                <w:b w:val="0"/>
                <w:bCs/>
                <w:color w:val="auto"/>
                <w:sz w:val="24"/>
                <w:highlight w:val="none"/>
                <w:u w:val="none" w:color="auto"/>
              </w:rPr>
              <w:t>。排水主要为</w:t>
            </w:r>
            <w:r>
              <w:rPr>
                <w:rFonts w:hint="eastAsia" w:cs="Times New Roman"/>
                <w:b w:val="0"/>
                <w:bCs/>
                <w:color w:val="auto"/>
                <w:sz w:val="24"/>
                <w:highlight w:val="none"/>
                <w:u w:val="none" w:color="auto"/>
                <w:lang w:val="en-US" w:eastAsia="zh-CN"/>
              </w:rPr>
              <w:t>学生</w:t>
            </w:r>
            <w:r>
              <w:rPr>
                <w:rFonts w:hint="default" w:ascii="Times New Roman" w:hAnsi="Times New Roman" w:cs="Times New Roman"/>
                <w:b w:val="0"/>
                <w:bCs/>
                <w:color w:val="auto"/>
                <w:sz w:val="24"/>
                <w:highlight w:val="none"/>
                <w:u w:val="none" w:color="auto"/>
              </w:rPr>
              <w:t>日常生活废水、实验室废水。</w:t>
            </w:r>
          </w:p>
          <w:p w14:paraId="258AE46E">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highlight w:val="none"/>
                <w:u w:val="none" w:color="auto"/>
              </w:rPr>
            </w:pPr>
            <w:r>
              <w:rPr>
                <w:rFonts w:hint="default" w:ascii="Times New Roman" w:hAnsi="Times New Roman" w:cs="Times New Roman"/>
                <w:b w:val="0"/>
                <w:bCs/>
                <w:color w:val="auto"/>
                <w:sz w:val="24"/>
                <w:highlight w:val="none"/>
                <w:u w:val="none" w:color="auto"/>
              </w:rPr>
              <w:t>1、</w:t>
            </w:r>
            <w:r>
              <w:rPr>
                <w:rFonts w:hint="eastAsia" w:cs="Times New Roman"/>
                <w:b w:val="0"/>
                <w:bCs/>
                <w:color w:val="auto"/>
                <w:sz w:val="24"/>
                <w:highlight w:val="none"/>
                <w:u w:val="none" w:color="auto"/>
                <w:lang w:val="en-US" w:eastAsia="zh-CN"/>
              </w:rPr>
              <w:t>新增学生</w:t>
            </w:r>
            <w:r>
              <w:rPr>
                <w:rFonts w:hint="default" w:ascii="Times New Roman" w:hAnsi="Times New Roman" w:cs="Times New Roman"/>
                <w:b w:val="0"/>
                <w:bCs/>
                <w:color w:val="auto"/>
                <w:sz w:val="24"/>
                <w:highlight w:val="none"/>
                <w:u w:val="none" w:color="auto"/>
              </w:rPr>
              <w:t>日常生活废水</w:t>
            </w:r>
          </w:p>
          <w:p w14:paraId="66FDD120">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highlight w:val="none"/>
                <w:u w:val="none" w:color="auto"/>
              </w:rPr>
            </w:pPr>
            <w:r>
              <w:rPr>
                <w:rFonts w:hint="default" w:ascii="Times New Roman" w:hAnsi="Times New Roman" w:cs="Times New Roman"/>
                <w:b w:val="0"/>
                <w:bCs/>
                <w:color w:val="auto"/>
                <w:sz w:val="24"/>
                <w:highlight w:val="none"/>
                <w:u w:val="none" w:color="auto"/>
              </w:rPr>
              <w:t>项目</w:t>
            </w:r>
            <w:r>
              <w:rPr>
                <w:rFonts w:hint="eastAsia" w:cs="Times New Roman"/>
                <w:b w:val="0"/>
                <w:bCs/>
                <w:color w:val="auto"/>
                <w:sz w:val="24"/>
                <w:highlight w:val="none"/>
                <w:u w:val="none" w:color="auto"/>
                <w:lang w:val="en-US" w:eastAsia="zh-CN"/>
              </w:rPr>
              <w:t>学生</w:t>
            </w:r>
            <w:r>
              <w:rPr>
                <w:rFonts w:hint="default" w:ascii="Times New Roman" w:hAnsi="Times New Roman" w:cs="Times New Roman"/>
                <w:b w:val="0"/>
                <w:bCs/>
                <w:color w:val="auto"/>
                <w:sz w:val="24"/>
                <w:highlight w:val="none"/>
                <w:u w:val="none" w:color="auto"/>
              </w:rPr>
              <w:t>日常生活用水量为</w:t>
            </w:r>
            <w:r>
              <w:rPr>
                <w:rFonts w:hint="default" w:ascii="Times New Roman" w:hAnsi="Times New Roman" w:eastAsia="宋体" w:cs="Times New Roman"/>
                <w:color w:val="auto"/>
                <w:spacing w:val="-3"/>
                <w:sz w:val="24"/>
                <w:szCs w:val="24"/>
                <w:highlight w:val="none"/>
                <w:u w:val="none" w:color="auto"/>
                <w:lang w:val="en-US" w:eastAsia="zh-CN"/>
              </w:rPr>
              <w:t>160</w:t>
            </w:r>
            <w:r>
              <w:rPr>
                <w:rFonts w:hint="default" w:ascii="Times New Roman" w:hAnsi="Times New Roman" w:eastAsia="宋体" w:cs="Times New Roman"/>
                <w:color w:val="auto"/>
                <w:spacing w:val="-3"/>
                <w:sz w:val="24"/>
                <w:szCs w:val="24"/>
                <w:highlight w:val="none"/>
                <w:u w:val="none" w:color="auto"/>
              </w:rPr>
              <w:t>m</w:t>
            </w:r>
            <w:r>
              <w:rPr>
                <w:rFonts w:hint="eastAsia" w:ascii="Times New Roman" w:hAnsi="Times New Roman" w:eastAsia="宋体" w:cs="Times New Roman"/>
                <w:color w:val="auto"/>
                <w:spacing w:val="-3"/>
                <w:sz w:val="24"/>
                <w:szCs w:val="24"/>
                <w:highlight w:val="none"/>
                <w:u w:val="none" w:color="auto"/>
                <w:vertAlign w:val="superscript"/>
                <w:lang w:val="en-US" w:eastAsia="zh-CN"/>
              </w:rPr>
              <w:t>3</w:t>
            </w:r>
            <w:r>
              <w:rPr>
                <w:rFonts w:hint="default" w:ascii="Times New Roman" w:hAnsi="Times New Roman" w:eastAsia="宋体" w:cs="Times New Roman"/>
                <w:color w:val="auto"/>
                <w:spacing w:val="-3"/>
                <w:sz w:val="24"/>
                <w:szCs w:val="24"/>
                <w:highlight w:val="none"/>
                <w:u w:val="none" w:color="auto"/>
              </w:rPr>
              <w:t>/a（</w:t>
            </w:r>
            <w:r>
              <w:rPr>
                <w:rFonts w:hint="eastAsia" w:ascii="Times New Roman" w:hAnsi="Times New Roman" w:eastAsia="宋体" w:cs="Times New Roman"/>
                <w:color w:val="auto"/>
                <w:spacing w:val="-3"/>
                <w:sz w:val="24"/>
                <w:szCs w:val="24"/>
                <w:highlight w:val="none"/>
                <w:u w:val="none" w:color="auto"/>
                <w:lang w:val="en-US" w:eastAsia="zh-CN"/>
              </w:rPr>
              <w:t>0.8</w:t>
            </w:r>
            <w:r>
              <w:rPr>
                <w:rFonts w:hint="default" w:ascii="Times New Roman" w:hAnsi="Times New Roman" w:eastAsia="宋体" w:cs="Times New Roman"/>
                <w:color w:val="auto"/>
                <w:spacing w:val="-4"/>
                <w:sz w:val="24"/>
                <w:szCs w:val="24"/>
                <w:highlight w:val="none"/>
                <w:u w:val="none" w:color="auto"/>
              </w:rPr>
              <w:t>m</w:t>
            </w:r>
            <w:r>
              <w:rPr>
                <w:rFonts w:hint="eastAsia" w:ascii="Times New Roman" w:hAnsi="Times New Roman" w:eastAsia="宋体" w:cs="Times New Roman"/>
                <w:color w:val="auto"/>
                <w:spacing w:val="-4"/>
                <w:sz w:val="24"/>
                <w:szCs w:val="24"/>
                <w:highlight w:val="none"/>
                <w:u w:val="none" w:color="auto"/>
                <w:vertAlign w:val="superscript"/>
                <w:lang w:val="en-US" w:eastAsia="zh-CN"/>
              </w:rPr>
              <w:t>3</w:t>
            </w:r>
            <w:r>
              <w:rPr>
                <w:rFonts w:hint="default" w:ascii="Times New Roman" w:hAnsi="Times New Roman" w:eastAsia="宋体" w:cs="Times New Roman"/>
                <w:color w:val="auto"/>
                <w:spacing w:val="-4"/>
                <w:sz w:val="24"/>
                <w:szCs w:val="24"/>
                <w:highlight w:val="none"/>
                <w:u w:val="none" w:color="auto"/>
              </w:rPr>
              <w:t>/d）</w:t>
            </w:r>
            <w:r>
              <w:rPr>
                <w:rFonts w:hint="default" w:ascii="Times New Roman" w:hAnsi="Times New Roman" w:cs="Times New Roman"/>
                <w:b w:val="0"/>
                <w:bCs/>
                <w:color w:val="auto"/>
                <w:sz w:val="24"/>
                <w:highlight w:val="none"/>
                <w:u w:val="none" w:color="auto"/>
              </w:rPr>
              <w:t>，排放系数按0.8计，则生活污水年产生量为</w:t>
            </w:r>
            <w:r>
              <w:rPr>
                <w:rFonts w:hint="eastAsia" w:cs="Times New Roman"/>
                <w:b w:val="0"/>
                <w:bCs/>
                <w:color w:val="auto"/>
                <w:sz w:val="24"/>
                <w:highlight w:val="none"/>
                <w:u w:val="none" w:color="auto"/>
                <w:lang w:val="en-US" w:eastAsia="zh-CN"/>
              </w:rPr>
              <w:t>128</w:t>
            </w:r>
            <w:r>
              <w:rPr>
                <w:rFonts w:hint="default" w:ascii="Times New Roman" w:hAnsi="Times New Roman" w:cs="Times New Roman"/>
                <w:b w:val="0"/>
                <w:bCs/>
                <w:color w:val="auto"/>
                <w:sz w:val="24"/>
                <w:highlight w:val="none"/>
                <w:u w:val="none" w:color="auto"/>
              </w:rPr>
              <w:t>m</w:t>
            </w:r>
            <w:r>
              <w:rPr>
                <w:rFonts w:hint="default" w:ascii="Times New Roman" w:hAnsi="Times New Roman" w:cs="Times New Roman"/>
                <w:b w:val="0"/>
                <w:bCs/>
                <w:color w:val="auto"/>
                <w:sz w:val="24"/>
                <w:highlight w:val="none"/>
                <w:u w:val="none" w:color="auto"/>
                <w:vertAlign w:val="superscript"/>
              </w:rPr>
              <w:t>3</w:t>
            </w:r>
            <w:r>
              <w:rPr>
                <w:rFonts w:hint="default" w:ascii="Times New Roman" w:hAnsi="Times New Roman" w:cs="Times New Roman"/>
                <w:b w:val="0"/>
                <w:bCs/>
                <w:color w:val="auto"/>
                <w:sz w:val="24"/>
                <w:highlight w:val="none"/>
                <w:u w:val="none" w:color="auto"/>
              </w:rPr>
              <w:t>/a（</w:t>
            </w:r>
            <w:r>
              <w:rPr>
                <w:rFonts w:hint="eastAsia" w:cs="Times New Roman"/>
                <w:b w:val="0"/>
                <w:bCs/>
                <w:color w:val="auto"/>
                <w:sz w:val="24"/>
                <w:highlight w:val="none"/>
                <w:u w:val="none" w:color="auto"/>
                <w:lang w:val="en-US" w:eastAsia="zh-CN"/>
              </w:rPr>
              <w:t>0.64</w:t>
            </w:r>
            <w:r>
              <w:rPr>
                <w:rFonts w:hint="default" w:ascii="Times New Roman" w:hAnsi="Times New Roman" w:cs="Times New Roman"/>
                <w:b w:val="0"/>
                <w:bCs/>
                <w:color w:val="auto"/>
                <w:sz w:val="24"/>
                <w:highlight w:val="none"/>
                <w:u w:val="none" w:color="auto"/>
              </w:rPr>
              <w:t>m</w:t>
            </w:r>
            <w:r>
              <w:rPr>
                <w:rFonts w:hint="default" w:ascii="Times New Roman" w:hAnsi="Times New Roman" w:cs="Times New Roman"/>
                <w:b w:val="0"/>
                <w:bCs/>
                <w:color w:val="auto"/>
                <w:sz w:val="24"/>
                <w:highlight w:val="none"/>
                <w:u w:val="none" w:color="auto"/>
                <w:vertAlign w:val="superscript"/>
              </w:rPr>
              <w:t>3</w:t>
            </w:r>
            <w:r>
              <w:rPr>
                <w:rFonts w:hint="default" w:ascii="Times New Roman" w:hAnsi="Times New Roman" w:cs="Times New Roman"/>
                <w:b w:val="0"/>
                <w:bCs/>
                <w:color w:val="auto"/>
                <w:sz w:val="24"/>
                <w:highlight w:val="none"/>
                <w:u w:val="none" w:color="auto"/>
              </w:rPr>
              <w:t>/d）</w:t>
            </w:r>
            <w:r>
              <w:rPr>
                <w:rFonts w:hint="eastAsia" w:cs="Times New Roman"/>
                <w:b w:val="0"/>
                <w:bCs/>
                <w:color w:val="auto"/>
                <w:sz w:val="24"/>
                <w:highlight w:val="none"/>
                <w:u w:val="none" w:color="auto"/>
                <w:lang w:eastAsia="zh-CN"/>
              </w:rPr>
              <w:t>，</w:t>
            </w:r>
            <w:r>
              <w:rPr>
                <w:rFonts w:hint="eastAsia" w:ascii="Times New Roman" w:hAnsi="Times New Roman" w:eastAsia="宋体" w:cs="Times New Roman"/>
                <w:color w:val="auto"/>
                <w:sz w:val="24"/>
                <w:szCs w:val="24"/>
                <w:highlight w:val="none"/>
                <w:u w:val="none" w:color="auto"/>
                <w:lang w:val="en-US" w:eastAsia="zh-CN"/>
              </w:rPr>
              <w:t>进入现有地埋式化粪池（1座，地埋式，现有容积650m</w:t>
            </w:r>
            <w:r>
              <w:rPr>
                <w:rFonts w:hint="eastAsia" w:ascii="Times New Roman" w:hAnsi="Times New Roman" w:eastAsia="宋体" w:cs="Times New Roman"/>
                <w:color w:val="auto"/>
                <w:sz w:val="24"/>
                <w:szCs w:val="24"/>
                <w:highlight w:val="none"/>
                <w:u w:val="none" w:color="auto"/>
                <w:vertAlign w:val="superscript"/>
                <w:lang w:val="en-US" w:eastAsia="zh-CN"/>
              </w:rPr>
              <w:t>3</w:t>
            </w:r>
            <w:r>
              <w:rPr>
                <w:rFonts w:hint="eastAsia" w:ascii="Times New Roman" w:hAnsi="Times New Roman" w:eastAsia="宋体" w:cs="Times New Roman"/>
                <w:color w:val="auto"/>
                <w:sz w:val="24"/>
                <w:szCs w:val="24"/>
                <w:highlight w:val="none"/>
                <w:u w:val="none" w:color="auto"/>
                <w:lang w:val="en-US" w:eastAsia="zh-CN"/>
              </w:rPr>
              <w:t>）处理</w:t>
            </w:r>
            <w:r>
              <w:rPr>
                <w:rFonts w:hint="eastAsia" w:eastAsia="宋体" w:cs="Times New Roman"/>
                <w:color w:val="auto"/>
                <w:sz w:val="24"/>
                <w:szCs w:val="24"/>
                <w:highlight w:val="none"/>
                <w:u w:val="none" w:color="auto"/>
                <w:lang w:val="en-US" w:eastAsia="zh-CN"/>
              </w:rPr>
              <w:t>，</w:t>
            </w:r>
            <w:r>
              <w:rPr>
                <w:rFonts w:hint="default" w:ascii="Times New Roman" w:hAnsi="Times New Roman" w:eastAsia="宋体" w:cs="Times New Roman"/>
                <w:b w:val="0"/>
                <w:bCs/>
                <w:color w:val="auto"/>
                <w:sz w:val="24"/>
                <w:szCs w:val="24"/>
                <w:highlight w:val="none"/>
                <w:u w:val="none" w:color="auto"/>
                <w:lang w:val="en-US" w:eastAsia="zh-CN"/>
              </w:rPr>
              <w:t>污水中</w:t>
            </w:r>
            <w:r>
              <w:rPr>
                <w:rFonts w:hint="default" w:ascii="Times New Roman" w:hAnsi="Times New Roman" w:eastAsia="宋体" w:cs="Times New Roman"/>
                <w:color w:val="auto"/>
                <w:sz w:val="24"/>
                <w:szCs w:val="24"/>
                <w:highlight w:val="none"/>
                <w:u w:val="none" w:color="auto"/>
              </w:rPr>
              <w:t>主要污染物浓度：COD300mg/L、BOD</w:t>
            </w:r>
            <w:r>
              <w:rPr>
                <w:rFonts w:hint="default" w:ascii="Times New Roman" w:hAnsi="Times New Roman" w:eastAsia="宋体" w:cs="Times New Roman"/>
                <w:color w:val="auto"/>
                <w:position w:val="-1"/>
                <w:sz w:val="24"/>
                <w:szCs w:val="24"/>
                <w:highlight w:val="none"/>
                <w:u w:val="none" w:color="auto"/>
                <w:vertAlign w:val="subscript"/>
              </w:rPr>
              <w:t>5</w:t>
            </w:r>
            <w:r>
              <w:rPr>
                <w:rFonts w:hint="default" w:ascii="Times New Roman" w:hAnsi="Times New Roman" w:eastAsia="宋体" w:cs="Times New Roman"/>
                <w:color w:val="auto"/>
                <w:sz w:val="24"/>
                <w:szCs w:val="24"/>
                <w:highlight w:val="none"/>
                <w:u w:val="none" w:color="auto"/>
              </w:rPr>
              <w:t>180mg/L、SS250mg/L、</w:t>
            </w:r>
            <w:r>
              <w:rPr>
                <w:rFonts w:hint="default" w:ascii="Times New Roman" w:hAnsi="Times New Roman" w:eastAsia="宋体" w:cs="Times New Roman"/>
                <w:color w:val="auto"/>
                <w:spacing w:val="-2"/>
                <w:sz w:val="24"/>
                <w:szCs w:val="24"/>
                <w:highlight w:val="none"/>
                <w:u w:val="none" w:color="auto"/>
              </w:rPr>
              <w:t>NH</w:t>
            </w:r>
            <w:r>
              <w:rPr>
                <w:rFonts w:hint="default" w:ascii="Times New Roman" w:hAnsi="Times New Roman" w:eastAsia="宋体" w:cs="Times New Roman"/>
                <w:color w:val="auto"/>
                <w:spacing w:val="-2"/>
                <w:sz w:val="24"/>
                <w:szCs w:val="24"/>
                <w:highlight w:val="none"/>
                <w:u w:val="none" w:color="auto"/>
                <w:vertAlign w:val="subscript"/>
              </w:rPr>
              <w:t>3</w:t>
            </w:r>
            <w:r>
              <w:rPr>
                <w:rFonts w:hint="default" w:ascii="Times New Roman" w:hAnsi="Times New Roman" w:eastAsia="宋体" w:cs="Times New Roman"/>
                <w:color w:val="auto"/>
                <w:spacing w:val="-2"/>
                <w:sz w:val="24"/>
                <w:szCs w:val="24"/>
                <w:highlight w:val="none"/>
                <w:u w:val="none" w:color="auto"/>
              </w:rPr>
              <w:t>-N25mg/L</w:t>
            </w:r>
            <w:r>
              <w:rPr>
                <w:rFonts w:hint="default" w:ascii="Times New Roman" w:hAnsi="Times New Roman" w:cs="Times New Roman"/>
                <w:b w:val="0"/>
                <w:bCs/>
                <w:color w:val="auto"/>
                <w:sz w:val="24"/>
                <w:highlight w:val="none"/>
                <w:u w:val="none" w:color="auto"/>
              </w:rPr>
              <w:t>。</w:t>
            </w:r>
          </w:p>
          <w:p w14:paraId="25005BD9">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highlight w:val="none"/>
                <w:u w:val="none" w:color="auto"/>
              </w:rPr>
            </w:pPr>
            <w:r>
              <w:rPr>
                <w:rFonts w:hint="eastAsia" w:cs="Times New Roman"/>
                <w:b w:val="0"/>
                <w:bCs/>
                <w:color w:val="auto"/>
                <w:sz w:val="24"/>
                <w:highlight w:val="none"/>
                <w:u w:val="none" w:color="auto"/>
                <w:lang w:val="en-US" w:eastAsia="zh-CN"/>
              </w:rPr>
              <w:t>2</w:t>
            </w:r>
            <w:r>
              <w:rPr>
                <w:rFonts w:hint="default" w:ascii="Times New Roman" w:hAnsi="Times New Roman" w:cs="Times New Roman"/>
                <w:b w:val="0"/>
                <w:bCs/>
                <w:color w:val="auto"/>
                <w:sz w:val="24"/>
                <w:highlight w:val="none"/>
                <w:u w:val="none" w:color="auto"/>
              </w:rPr>
              <w:t>、实验室废水</w:t>
            </w:r>
          </w:p>
          <w:p w14:paraId="5165D18E">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highlight w:val="none"/>
                <w:u w:val="none" w:color="auto"/>
              </w:rPr>
            </w:pPr>
            <w:r>
              <w:rPr>
                <w:rFonts w:hint="default" w:ascii="Times New Roman" w:hAnsi="Times New Roman" w:cs="Times New Roman"/>
                <w:b w:val="0"/>
                <w:bCs/>
                <w:color w:val="auto"/>
                <w:sz w:val="24"/>
                <w:highlight w:val="none"/>
                <w:u w:val="none" w:color="auto"/>
              </w:rPr>
              <w:t>本项目实验室用水量为</w:t>
            </w:r>
            <w:r>
              <w:rPr>
                <w:rFonts w:hint="eastAsia" w:cs="Times New Roman"/>
                <w:b w:val="0"/>
                <w:bCs/>
                <w:color w:val="auto"/>
                <w:sz w:val="24"/>
                <w:highlight w:val="none"/>
                <w:u w:val="none" w:color="auto"/>
                <w:lang w:val="en-US" w:eastAsia="zh-CN"/>
              </w:rPr>
              <w:t>960</w:t>
            </w:r>
            <w:r>
              <w:rPr>
                <w:rFonts w:hint="default" w:ascii="Times New Roman" w:hAnsi="Times New Roman" w:cs="Times New Roman"/>
                <w:b w:val="0"/>
                <w:bCs/>
                <w:color w:val="auto"/>
                <w:sz w:val="24"/>
                <w:highlight w:val="none"/>
                <w:u w:val="none" w:color="auto"/>
              </w:rPr>
              <w:t>m</w:t>
            </w:r>
            <w:r>
              <w:rPr>
                <w:rFonts w:hint="default" w:ascii="Times New Roman" w:hAnsi="Times New Roman" w:cs="Times New Roman"/>
                <w:b w:val="0"/>
                <w:bCs/>
                <w:color w:val="auto"/>
                <w:sz w:val="24"/>
                <w:highlight w:val="none"/>
                <w:u w:val="none" w:color="auto"/>
                <w:vertAlign w:val="superscript"/>
              </w:rPr>
              <w:t>3</w:t>
            </w:r>
            <w:r>
              <w:rPr>
                <w:rFonts w:hint="default" w:ascii="Times New Roman" w:hAnsi="Times New Roman" w:cs="Times New Roman"/>
                <w:b w:val="0"/>
                <w:bCs/>
                <w:color w:val="auto"/>
                <w:sz w:val="24"/>
                <w:highlight w:val="none"/>
                <w:u w:val="none" w:color="auto"/>
              </w:rPr>
              <w:t>/a（</w:t>
            </w:r>
            <w:r>
              <w:rPr>
                <w:rFonts w:hint="eastAsia" w:cs="Times New Roman"/>
                <w:b w:val="0"/>
                <w:bCs/>
                <w:color w:val="auto"/>
                <w:sz w:val="24"/>
                <w:highlight w:val="none"/>
                <w:u w:val="none" w:color="auto"/>
                <w:lang w:val="en-US" w:eastAsia="zh-CN"/>
              </w:rPr>
              <w:t>4.8</w:t>
            </w:r>
            <w:r>
              <w:rPr>
                <w:rFonts w:hint="default" w:ascii="Times New Roman" w:hAnsi="Times New Roman" w:cs="Times New Roman"/>
                <w:b w:val="0"/>
                <w:bCs/>
                <w:color w:val="auto"/>
                <w:sz w:val="24"/>
                <w:highlight w:val="none"/>
                <w:u w:val="none" w:color="auto"/>
              </w:rPr>
              <w:t>m</w:t>
            </w:r>
            <w:r>
              <w:rPr>
                <w:rFonts w:hint="default" w:ascii="Times New Roman" w:hAnsi="Times New Roman" w:cs="Times New Roman"/>
                <w:b w:val="0"/>
                <w:bCs/>
                <w:color w:val="auto"/>
                <w:sz w:val="24"/>
                <w:highlight w:val="none"/>
                <w:u w:val="none" w:color="auto"/>
                <w:vertAlign w:val="superscript"/>
              </w:rPr>
              <w:t>3</w:t>
            </w:r>
            <w:r>
              <w:rPr>
                <w:rFonts w:hint="default" w:ascii="Times New Roman" w:hAnsi="Times New Roman" w:cs="Times New Roman"/>
                <w:b w:val="0"/>
                <w:bCs/>
                <w:color w:val="auto"/>
                <w:sz w:val="24"/>
                <w:highlight w:val="none"/>
                <w:u w:val="none" w:color="auto"/>
              </w:rPr>
              <w:t>/d），排污系数按0.8计，实验室废水产生量为</w:t>
            </w:r>
            <w:r>
              <w:rPr>
                <w:rFonts w:hint="eastAsia" w:cs="Times New Roman"/>
                <w:b w:val="0"/>
                <w:bCs/>
                <w:color w:val="auto"/>
                <w:sz w:val="24"/>
                <w:highlight w:val="none"/>
                <w:u w:val="none" w:color="auto"/>
                <w:lang w:val="en-US" w:eastAsia="zh-CN"/>
              </w:rPr>
              <w:t>768</w:t>
            </w:r>
            <w:r>
              <w:rPr>
                <w:rFonts w:hint="default" w:ascii="Times New Roman" w:hAnsi="Times New Roman" w:cs="Times New Roman"/>
                <w:b w:val="0"/>
                <w:bCs/>
                <w:color w:val="auto"/>
                <w:sz w:val="24"/>
                <w:highlight w:val="none"/>
                <w:u w:val="none" w:color="auto"/>
              </w:rPr>
              <w:t>m</w:t>
            </w:r>
            <w:r>
              <w:rPr>
                <w:rFonts w:hint="default" w:ascii="Times New Roman" w:hAnsi="Times New Roman" w:cs="Times New Roman"/>
                <w:b w:val="0"/>
                <w:bCs/>
                <w:color w:val="auto"/>
                <w:sz w:val="24"/>
                <w:highlight w:val="none"/>
                <w:u w:val="none" w:color="auto"/>
                <w:vertAlign w:val="superscript"/>
              </w:rPr>
              <w:t>3</w:t>
            </w:r>
            <w:r>
              <w:rPr>
                <w:rFonts w:hint="default" w:ascii="Times New Roman" w:hAnsi="Times New Roman" w:cs="Times New Roman"/>
                <w:b w:val="0"/>
                <w:bCs/>
                <w:color w:val="auto"/>
                <w:sz w:val="24"/>
                <w:highlight w:val="none"/>
                <w:u w:val="none" w:color="auto"/>
              </w:rPr>
              <w:t>/a（</w:t>
            </w:r>
            <w:r>
              <w:rPr>
                <w:rFonts w:hint="eastAsia" w:cs="Times New Roman"/>
                <w:b w:val="0"/>
                <w:bCs/>
                <w:color w:val="auto"/>
                <w:sz w:val="24"/>
                <w:highlight w:val="none"/>
                <w:u w:val="none" w:color="auto"/>
                <w:lang w:val="en-US" w:eastAsia="zh-CN"/>
              </w:rPr>
              <w:t>3.84</w:t>
            </w:r>
            <w:r>
              <w:rPr>
                <w:rFonts w:hint="default" w:ascii="Times New Roman" w:hAnsi="Times New Roman" w:cs="Times New Roman"/>
                <w:b w:val="0"/>
                <w:bCs/>
                <w:color w:val="auto"/>
                <w:sz w:val="24"/>
                <w:highlight w:val="none"/>
                <w:u w:val="none" w:color="auto"/>
              </w:rPr>
              <w:t>m</w:t>
            </w:r>
            <w:r>
              <w:rPr>
                <w:rFonts w:hint="default" w:ascii="Times New Roman" w:hAnsi="Times New Roman" w:cs="Times New Roman"/>
                <w:b w:val="0"/>
                <w:bCs/>
                <w:color w:val="auto"/>
                <w:sz w:val="24"/>
                <w:highlight w:val="none"/>
                <w:u w:val="none" w:color="auto"/>
                <w:vertAlign w:val="superscript"/>
              </w:rPr>
              <w:t>3</w:t>
            </w:r>
            <w:r>
              <w:rPr>
                <w:rFonts w:hint="default" w:ascii="Times New Roman" w:hAnsi="Times New Roman" w:cs="Times New Roman"/>
                <w:b w:val="0"/>
                <w:bCs/>
                <w:color w:val="auto"/>
                <w:sz w:val="24"/>
                <w:highlight w:val="none"/>
                <w:u w:val="none" w:color="auto"/>
              </w:rPr>
              <w:t>/d）。实验室废水</w:t>
            </w:r>
            <w:r>
              <w:rPr>
                <w:rFonts w:hint="eastAsia" w:ascii="Times New Roman" w:hAnsi="Times New Roman" w:eastAsia="宋体" w:cs="Times New Roman"/>
                <w:color w:val="auto"/>
                <w:sz w:val="24"/>
                <w:szCs w:val="24"/>
                <w:highlight w:val="none"/>
                <w:u w:val="none" w:color="auto"/>
                <w:lang w:val="en-US" w:eastAsia="zh-CN"/>
              </w:rPr>
              <w:t>经中和池（新建，1座，地埋式，容积5m</w:t>
            </w:r>
            <w:r>
              <w:rPr>
                <w:rFonts w:hint="eastAsia" w:ascii="Times New Roman" w:hAnsi="Times New Roman" w:eastAsia="宋体" w:cs="Times New Roman"/>
                <w:color w:val="auto"/>
                <w:sz w:val="24"/>
                <w:szCs w:val="24"/>
                <w:highlight w:val="none"/>
                <w:u w:val="none" w:color="auto"/>
                <w:vertAlign w:val="superscript"/>
                <w:lang w:val="en-US" w:eastAsia="zh-CN"/>
              </w:rPr>
              <w:t>3</w:t>
            </w:r>
            <w:r>
              <w:rPr>
                <w:rFonts w:hint="eastAsia" w:ascii="Times New Roman" w:hAnsi="Times New Roman" w:eastAsia="宋体" w:cs="Times New Roman"/>
                <w:color w:val="auto"/>
                <w:sz w:val="24"/>
                <w:szCs w:val="24"/>
                <w:highlight w:val="none"/>
                <w:u w:val="none" w:color="auto"/>
                <w:lang w:val="en-US" w:eastAsia="zh-CN"/>
              </w:rPr>
              <w:t>）处理后进入现有地埋式化粪池（1座，地埋式，现有容积650m</w:t>
            </w:r>
            <w:r>
              <w:rPr>
                <w:rFonts w:hint="eastAsia" w:ascii="Times New Roman" w:hAnsi="Times New Roman" w:eastAsia="宋体" w:cs="Times New Roman"/>
                <w:color w:val="auto"/>
                <w:sz w:val="24"/>
                <w:szCs w:val="24"/>
                <w:highlight w:val="none"/>
                <w:u w:val="none" w:color="auto"/>
                <w:vertAlign w:val="superscript"/>
                <w:lang w:val="en-US" w:eastAsia="zh-CN"/>
              </w:rPr>
              <w:t>3</w:t>
            </w:r>
            <w:r>
              <w:rPr>
                <w:rFonts w:hint="eastAsia" w:ascii="Times New Roman" w:hAnsi="Times New Roman" w:eastAsia="宋体" w:cs="Times New Roman"/>
                <w:color w:val="auto"/>
                <w:sz w:val="24"/>
                <w:szCs w:val="24"/>
                <w:highlight w:val="none"/>
                <w:u w:val="none" w:color="auto"/>
                <w:lang w:val="en-US" w:eastAsia="zh-CN"/>
              </w:rPr>
              <w:t>）处理</w:t>
            </w:r>
            <w:r>
              <w:rPr>
                <w:rFonts w:hint="default" w:ascii="Times New Roman" w:hAnsi="Times New Roman" w:cs="Times New Roman"/>
                <w:b w:val="0"/>
                <w:bCs/>
                <w:color w:val="auto"/>
                <w:sz w:val="24"/>
                <w:highlight w:val="none"/>
                <w:u w:val="none" w:color="auto"/>
              </w:rPr>
              <w:t>。</w:t>
            </w:r>
          </w:p>
          <w:p w14:paraId="4A75A299">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highlight w:val="none"/>
                <w:u w:val="none" w:color="auto"/>
              </w:rPr>
            </w:pPr>
            <w:r>
              <w:rPr>
                <w:rFonts w:hint="default" w:ascii="Times New Roman" w:hAnsi="Times New Roman" w:cs="Times New Roman"/>
                <w:b w:val="0"/>
                <w:bCs/>
                <w:color w:val="auto"/>
                <w:sz w:val="24"/>
                <w:highlight w:val="none"/>
                <w:u w:val="none" w:color="auto"/>
              </w:rPr>
              <w:t>本项目用水量和产污情况见表</w:t>
            </w:r>
            <w:r>
              <w:rPr>
                <w:rFonts w:hint="eastAsia" w:cs="Times New Roman"/>
                <w:b w:val="0"/>
                <w:bCs/>
                <w:color w:val="auto"/>
                <w:sz w:val="24"/>
                <w:highlight w:val="none"/>
                <w:u w:val="none" w:color="auto"/>
                <w:lang w:val="en-US" w:eastAsia="zh-CN"/>
              </w:rPr>
              <w:t>下表</w:t>
            </w:r>
            <w:r>
              <w:rPr>
                <w:rFonts w:hint="default" w:ascii="Times New Roman" w:hAnsi="Times New Roman" w:cs="Times New Roman"/>
                <w:b w:val="0"/>
                <w:bCs/>
                <w:color w:val="auto"/>
                <w:sz w:val="24"/>
                <w:highlight w:val="none"/>
                <w:u w:val="none" w:color="auto"/>
              </w:rPr>
              <w:t>。</w:t>
            </w:r>
          </w:p>
          <w:p w14:paraId="1DC91A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highlight w:val="none"/>
                <w:u w:val="none" w:color="auto"/>
              </w:rPr>
            </w:pPr>
            <w:r>
              <w:rPr>
                <w:rFonts w:hint="default" w:ascii="Times New Roman" w:hAnsi="Times New Roman" w:eastAsia="宋体" w:cs="Times New Roman"/>
                <w:b/>
                <w:bCs/>
                <w:color w:val="auto"/>
                <w:sz w:val="24"/>
                <w:highlight w:val="none"/>
                <w:u w:val="none" w:color="auto"/>
              </w:rPr>
              <w:t>表2-9      项目用水量和产污情况一览表</w:t>
            </w:r>
          </w:p>
          <w:tbl>
            <w:tblPr>
              <w:tblStyle w:val="17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693"/>
              <w:gridCol w:w="3088"/>
              <w:gridCol w:w="1209"/>
              <w:gridCol w:w="688"/>
              <w:gridCol w:w="1455"/>
            </w:tblGrid>
            <w:tr w14:paraId="4A926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39" w:type="pct"/>
                  <w:gridSpan w:val="2"/>
                  <w:vAlign w:val="center"/>
                </w:tcPr>
                <w:p w14:paraId="4BD99927">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4"/>
                      <w:sz w:val="21"/>
                      <w:szCs w:val="21"/>
                      <w:u w:val="none" w:color="auto"/>
                    </w:rPr>
                    <w:t>类型</w:t>
                  </w:r>
                </w:p>
              </w:tc>
              <w:tc>
                <w:tcPr>
                  <w:tcW w:w="743" w:type="pct"/>
                  <w:vAlign w:val="center"/>
                </w:tcPr>
                <w:p w14:paraId="01F54BD7">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5"/>
                      <w:sz w:val="21"/>
                      <w:szCs w:val="21"/>
                      <w:u w:val="none" w:color="auto"/>
                    </w:rPr>
                    <w:t>总用水量</w:t>
                  </w:r>
                </w:p>
                <w:p w14:paraId="2F816800">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1"/>
                      <w:sz w:val="21"/>
                      <w:szCs w:val="21"/>
                      <w:u w:val="none" w:color="auto"/>
                    </w:rPr>
                    <w:t>（m</w:t>
                  </w:r>
                  <w:r>
                    <w:rPr>
                      <w:rFonts w:hint="default" w:ascii="Times New Roman" w:hAnsi="Times New Roman" w:eastAsia="宋体" w:cs="Times New Roman"/>
                      <w:color w:val="auto"/>
                      <w:spacing w:val="1"/>
                      <w:sz w:val="21"/>
                      <w:szCs w:val="21"/>
                      <w:u w:val="none" w:color="auto"/>
                      <w:vertAlign w:val="superscript"/>
                      <w:lang w:val="en-US" w:eastAsia="zh-CN"/>
                    </w:rPr>
                    <w:t>3</w:t>
                  </w:r>
                  <w:r>
                    <w:rPr>
                      <w:rFonts w:hint="default" w:ascii="Times New Roman" w:hAnsi="Times New Roman" w:eastAsia="宋体" w:cs="Times New Roman"/>
                      <w:color w:val="auto"/>
                      <w:spacing w:val="1"/>
                      <w:sz w:val="21"/>
                      <w:szCs w:val="21"/>
                      <w:u w:val="none" w:color="auto"/>
                    </w:rPr>
                    <w:t>/</w:t>
                  </w:r>
                  <w:r>
                    <w:rPr>
                      <w:rFonts w:hint="default" w:ascii="Times New Roman" w:hAnsi="Times New Roman" w:eastAsia="宋体" w:cs="Times New Roman"/>
                      <w:color w:val="auto"/>
                      <w:spacing w:val="1"/>
                      <w:sz w:val="21"/>
                      <w:szCs w:val="21"/>
                      <w:u w:val="none" w:color="auto"/>
                      <w:lang w:val="en-US" w:eastAsia="zh-CN"/>
                    </w:rPr>
                    <w:t>d</w:t>
                  </w:r>
                  <w:r>
                    <w:rPr>
                      <w:rFonts w:hint="default" w:ascii="Times New Roman" w:hAnsi="Times New Roman" w:eastAsia="宋体" w:cs="Times New Roman"/>
                      <w:color w:val="auto"/>
                      <w:spacing w:val="1"/>
                      <w:sz w:val="21"/>
                      <w:szCs w:val="21"/>
                      <w:u w:val="none" w:color="auto"/>
                    </w:rPr>
                    <w:t>）</w:t>
                  </w:r>
                </w:p>
              </w:tc>
              <w:tc>
                <w:tcPr>
                  <w:tcW w:w="423" w:type="pct"/>
                  <w:vAlign w:val="center"/>
                </w:tcPr>
                <w:p w14:paraId="55BC3899">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4"/>
                      <w:sz w:val="21"/>
                      <w:szCs w:val="21"/>
                      <w:u w:val="none" w:color="auto"/>
                    </w:rPr>
                    <w:t>产污</w:t>
                  </w:r>
                </w:p>
                <w:p w14:paraId="033CC826">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系数</w:t>
                  </w:r>
                </w:p>
              </w:tc>
              <w:tc>
                <w:tcPr>
                  <w:tcW w:w="894" w:type="pct"/>
                  <w:vAlign w:val="center"/>
                </w:tcPr>
                <w:p w14:paraId="7C2CC943">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7"/>
                      <w:sz w:val="21"/>
                      <w:szCs w:val="21"/>
                      <w:u w:val="none" w:color="auto"/>
                    </w:rPr>
                    <w:t>废水产生</w:t>
                  </w:r>
                  <w:r>
                    <w:rPr>
                      <w:rFonts w:hint="default" w:ascii="Times New Roman" w:hAnsi="Times New Roman" w:eastAsia="宋体" w:cs="Times New Roman"/>
                      <w:color w:val="auto"/>
                      <w:spacing w:val="2"/>
                      <w:sz w:val="21"/>
                      <w:szCs w:val="21"/>
                      <w:u w:val="none" w:color="auto"/>
                    </w:rPr>
                    <w:t>量（m</w:t>
                  </w:r>
                  <w:r>
                    <w:rPr>
                      <w:rFonts w:hint="default" w:ascii="Times New Roman" w:hAnsi="Times New Roman" w:eastAsia="宋体" w:cs="Times New Roman"/>
                      <w:color w:val="auto"/>
                      <w:spacing w:val="2"/>
                      <w:sz w:val="21"/>
                      <w:szCs w:val="21"/>
                      <w:u w:val="none" w:color="auto"/>
                      <w:vertAlign w:val="superscript"/>
                      <w:lang w:val="en-US" w:eastAsia="zh-CN"/>
                    </w:rPr>
                    <w:t>3</w:t>
                  </w:r>
                  <w:r>
                    <w:rPr>
                      <w:rFonts w:hint="default" w:ascii="Times New Roman" w:hAnsi="Times New Roman" w:eastAsia="宋体" w:cs="Times New Roman"/>
                      <w:color w:val="auto"/>
                      <w:spacing w:val="2"/>
                      <w:sz w:val="21"/>
                      <w:szCs w:val="21"/>
                      <w:u w:val="none" w:color="auto"/>
                    </w:rPr>
                    <w:t>/</w:t>
                  </w:r>
                  <w:r>
                    <w:rPr>
                      <w:rFonts w:hint="default" w:ascii="Times New Roman" w:hAnsi="Times New Roman" w:eastAsia="宋体" w:cs="Times New Roman"/>
                      <w:color w:val="auto"/>
                      <w:spacing w:val="2"/>
                      <w:sz w:val="21"/>
                      <w:szCs w:val="21"/>
                      <w:u w:val="none" w:color="auto"/>
                      <w:lang w:val="en-US" w:eastAsia="zh-CN"/>
                    </w:rPr>
                    <w:t>d</w:t>
                  </w:r>
                  <w:r>
                    <w:rPr>
                      <w:rFonts w:hint="default" w:ascii="Times New Roman" w:hAnsi="Times New Roman" w:eastAsia="宋体" w:cs="Times New Roman"/>
                      <w:color w:val="auto"/>
                      <w:spacing w:val="2"/>
                      <w:sz w:val="21"/>
                      <w:szCs w:val="21"/>
                      <w:u w:val="none" w:color="auto"/>
                    </w:rPr>
                    <w:t>）</w:t>
                  </w:r>
                </w:p>
              </w:tc>
            </w:tr>
            <w:tr w14:paraId="2CE71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041" w:type="pct"/>
                  <w:vAlign w:val="center"/>
                </w:tcPr>
                <w:p w14:paraId="1A18226B">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8"/>
                      <w:sz w:val="21"/>
                      <w:szCs w:val="21"/>
                      <w:u w:val="none" w:color="auto"/>
                    </w:rPr>
                  </w:pPr>
                  <w:r>
                    <w:rPr>
                      <w:rFonts w:hint="default" w:ascii="Times New Roman" w:hAnsi="Times New Roman" w:eastAsia="宋体" w:cs="Times New Roman"/>
                      <w:color w:val="auto"/>
                      <w:spacing w:val="6"/>
                      <w:sz w:val="21"/>
                      <w:szCs w:val="21"/>
                      <w:u w:val="none" w:color="auto"/>
                      <w:lang w:val="en-US" w:eastAsia="zh-CN"/>
                    </w:rPr>
                    <w:t>学生</w:t>
                  </w:r>
                  <w:r>
                    <w:rPr>
                      <w:rFonts w:hint="default" w:ascii="Times New Roman" w:hAnsi="Times New Roman" w:eastAsia="宋体" w:cs="Times New Roman"/>
                      <w:color w:val="auto"/>
                      <w:spacing w:val="6"/>
                      <w:sz w:val="21"/>
                      <w:szCs w:val="21"/>
                      <w:u w:val="none" w:color="auto"/>
                    </w:rPr>
                    <w:t>日常生活用水</w:t>
                  </w:r>
                </w:p>
              </w:tc>
              <w:tc>
                <w:tcPr>
                  <w:tcW w:w="1898" w:type="pct"/>
                  <w:vAlign w:val="center"/>
                </w:tcPr>
                <w:p w14:paraId="0BB8B22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pacing w:val="8"/>
                      <w:sz w:val="21"/>
                      <w:szCs w:val="21"/>
                      <w:u w:val="none" w:color="auto"/>
                    </w:rPr>
                    <w:t>高中</w:t>
                  </w:r>
                </w:p>
              </w:tc>
              <w:tc>
                <w:tcPr>
                  <w:tcW w:w="743" w:type="pct"/>
                  <w:vAlign w:val="center"/>
                </w:tcPr>
                <w:p w14:paraId="2B19255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lang w:val="en-US" w:eastAsia="zh-CN"/>
                    </w:rPr>
                    <w:t>0.8</w:t>
                  </w:r>
                </w:p>
              </w:tc>
              <w:tc>
                <w:tcPr>
                  <w:tcW w:w="423" w:type="pct"/>
                  <w:vAlign w:val="center"/>
                </w:tcPr>
                <w:p w14:paraId="3E78BD7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1"/>
                      <w:sz w:val="21"/>
                      <w:szCs w:val="21"/>
                      <w:u w:val="none" w:color="auto"/>
                    </w:rPr>
                    <w:t>80%</w:t>
                  </w:r>
                </w:p>
              </w:tc>
              <w:tc>
                <w:tcPr>
                  <w:tcW w:w="894" w:type="pct"/>
                  <w:vAlign w:val="center"/>
                </w:tcPr>
                <w:p w14:paraId="6C20E89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val="0"/>
                      <w:bCs/>
                      <w:color w:val="auto"/>
                      <w:sz w:val="21"/>
                      <w:szCs w:val="21"/>
                      <w:highlight w:val="none"/>
                      <w:u w:val="none" w:color="auto"/>
                      <w:lang w:val="en-US" w:eastAsia="zh-CN"/>
                    </w:rPr>
                    <w:t>0.64</w:t>
                  </w:r>
                </w:p>
              </w:tc>
            </w:tr>
            <w:tr w14:paraId="2D07F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39" w:type="pct"/>
                  <w:gridSpan w:val="2"/>
                  <w:vAlign w:val="center"/>
                </w:tcPr>
                <w:p w14:paraId="55559D83">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6"/>
                      <w:sz w:val="21"/>
                      <w:szCs w:val="21"/>
                      <w:u w:val="none" w:color="auto"/>
                    </w:rPr>
                    <w:t>实验用水</w:t>
                  </w:r>
                </w:p>
              </w:tc>
              <w:tc>
                <w:tcPr>
                  <w:tcW w:w="743" w:type="pct"/>
                  <w:vAlign w:val="center"/>
                </w:tcPr>
                <w:p w14:paraId="153F575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val="0"/>
                      <w:bCs/>
                      <w:color w:val="auto"/>
                      <w:sz w:val="21"/>
                      <w:szCs w:val="21"/>
                      <w:highlight w:val="none"/>
                      <w:u w:val="none" w:color="auto"/>
                      <w:lang w:val="en-US" w:eastAsia="zh-CN"/>
                    </w:rPr>
                    <w:t>4.8</w:t>
                  </w:r>
                </w:p>
              </w:tc>
              <w:tc>
                <w:tcPr>
                  <w:tcW w:w="423" w:type="pct"/>
                  <w:vAlign w:val="center"/>
                </w:tcPr>
                <w:p w14:paraId="311BE05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1"/>
                      <w:sz w:val="21"/>
                      <w:szCs w:val="21"/>
                      <w:u w:val="none" w:color="auto"/>
                    </w:rPr>
                    <w:t>80%</w:t>
                  </w:r>
                </w:p>
              </w:tc>
              <w:tc>
                <w:tcPr>
                  <w:tcW w:w="894" w:type="pct"/>
                  <w:vAlign w:val="center"/>
                </w:tcPr>
                <w:p w14:paraId="6066B80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val="0"/>
                      <w:bCs/>
                      <w:color w:val="auto"/>
                      <w:sz w:val="21"/>
                      <w:szCs w:val="21"/>
                      <w:highlight w:val="none"/>
                      <w:u w:val="none" w:color="auto"/>
                      <w:lang w:val="en-US" w:eastAsia="zh-CN"/>
                    </w:rPr>
                    <w:t>3.84</w:t>
                  </w:r>
                </w:p>
              </w:tc>
            </w:tr>
            <w:tr w14:paraId="36DAD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39" w:type="pct"/>
                  <w:gridSpan w:val="2"/>
                  <w:vAlign w:val="center"/>
                </w:tcPr>
                <w:p w14:paraId="11C255ED">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pacing w:val="6"/>
                      <w:sz w:val="21"/>
                      <w:szCs w:val="21"/>
                      <w:u w:val="none" w:color="auto"/>
                    </w:rPr>
                    <w:t>绿化用水</w:t>
                  </w:r>
                  <w:r>
                    <w:rPr>
                      <w:rFonts w:hint="default" w:ascii="Times New Roman" w:hAnsi="Times New Roman" w:eastAsia="宋体" w:cs="Times New Roman"/>
                      <w:color w:val="auto"/>
                      <w:spacing w:val="6"/>
                      <w:sz w:val="21"/>
                      <w:szCs w:val="21"/>
                      <w:u w:val="none" w:color="auto"/>
                      <w:lang w:val="en-US" w:eastAsia="zh-CN"/>
                    </w:rPr>
                    <w:t>以及</w:t>
                  </w:r>
                  <w:r>
                    <w:rPr>
                      <w:rFonts w:hint="default" w:ascii="Times New Roman" w:hAnsi="Times New Roman" w:eastAsia="宋体" w:cs="Times New Roman"/>
                      <w:color w:val="auto"/>
                      <w:spacing w:val="8"/>
                      <w:sz w:val="21"/>
                      <w:szCs w:val="21"/>
                      <w:u w:val="none" w:color="auto"/>
                    </w:rPr>
                    <w:t>道路及场地用水</w:t>
                  </w:r>
                </w:p>
              </w:tc>
              <w:tc>
                <w:tcPr>
                  <w:tcW w:w="743" w:type="pct"/>
                  <w:vAlign w:val="center"/>
                </w:tcPr>
                <w:p w14:paraId="11B2A2B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4.39</w:t>
                  </w:r>
                </w:p>
              </w:tc>
              <w:tc>
                <w:tcPr>
                  <w:tcW w:w="423" w:type="pct"/>
                  <w:vAlign w:val="center"/>
                </w:tcPr>
                <w:p w14:paraId="65EAB94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w:t>
                  </w:r>
                </w:p>
              </w:tc>
              <w:tc>
                <w:tcPr>
                  <w:tcW w:w="894" w:type="pct"/>
                  <w:vAlign w:val="center"/>
                </w:tcPr>
                <w:p w14:paraId="6192D90F">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6"/>
                      <w:sz w:val="21"/>
                      <w:szCs w:val="21"/>
                      <w:u w:val="none" w:color="auto"/>
                    </w:rPr>
                    <w:t>0（自然蒸发，</w:t>
                  </w:r>
                </w:p>
                <w:p w14:paraId="7609DA4E">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4"/>
                      <w:sz w:val="21"/>
                      <w:szCs w:val="21"/>
                      <w:u w:val="none" w:color="auto"/>
                    </w:rPr>
                    <w:t>不外排）</w:t>
                  </w:r>
                </w:p>
              </w:tc>
            </w:tr>
            <w:tr w14:paraId="3B99F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39" w:type="pct"/>
                  <w:gridSpan w:val="2"/>
                  <w:vAlign w:val="center"/>
                </w:tcPr>
                <w:p w14:paraId="0125E8E5">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4"/>
                      <w:sz w:val="21"/>
                      <w:szCs w:val="21"/>
                      <w:u w:val="none" w:color="auto"/>
                    </w:rPr>
                    <w:t>合计</w:t>
                  </w:r>
                </w:p>
              </w:tc>
              <w:tc>
                <w:tcPr>
                  <w:tcW w:w="743" w:type="pct"/>
                  <w:vAlign w:val="center"/>
                </w:tcPr>
                <w:p w14:paraId="67B2968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1"/>
                      <w:sz w:val="21"/>
                      <w:szCs w:val="21"/>
                      <w:u w:val="none" w:color="auto"/>
                    </w:rPr>
                    <w:t>138142.3</w:t>
                  </w:r>
                </w:p>
              </w:tc>
              <w:tc>
                <w:tcPr>
                  <w:tcW w:w="423" w:type="pct"/>
                  <w:vAlign w:val="center"/>
                </w:tcPr>
                <w:p w14:paraId="100AA0D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w:t>
                  </w:r>
                </w:p>
              </w:tc>
              <w:tc>
                <w:tcPr>
                  <w:tcW w:w="894" w:type="pct"/>
                  <w:vAlign w:val="center"/>
                </w:tcPr>
                <w:p w14:paraId="7DA019C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73907</w:t>
                  </w:r>
                </w:p>
              </w:tc>
            </w:tr>
          </w:tbl>
          <w:p w14:paraId="5D90CAB3">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highlight w:val="none"/>
                <w:u w:val="none" w:color="auto"/>
              </w:rPr>
            </w:pPr>
            <w:r>
              <w:rPr>
                <w:rFonts w:hint="default" w:ascii="Times New Roman" w:hAnsi="Times New Roman" w:cs="Times New Roman"/>
                <w:b w:val="0"/>
                <w:bCs/>
                <w:color w:val="auto"/>
                <w:sz w:val="24"/>
                <w:highlight w:val="none"/>
                <w:u w:val="none" w:color="auto"/>
              </w:rPr>
              <w:t>（3）水平衡</w:t>
            </w:r>
          </w:p>
          <w:p w14:paraId="1217B252">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highlight w:val="none"/>
                <w:u w:val="none" w:color="auto"/>
                <w:vertAlign w:val="baseline"/>
              </w:rPr>
            </w:pPr>
            <w:r>
              <w:rPr>
                <w:rFonts w:hint="default" w:ascii="Times New Roman" w:hAnsi="Times New Roman" w:cs="Times New Roman"/>
                <w:b w:val="0"/>
                <w:bCs/>
                <w:color w:val="auto"/>
                <w:sz w:val="24"/>
                <w:highlight w:val="none"/>
                <w:u w:val="none" w:color="auto"/>
              </w:rPr>
              <w:t>本项目水平衡图如下：</w:t>
            </w:r>
          </w:p>
          <w:tbl>
            <w:tblPr>
              <w:tblStyle w:val="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36"/>
            </w:tblGrid>
            <w:tr w14:paraId="3ADF9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4DF9AC0D">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textAlignment w:val="auto"/>
                    <w:rPr>
                      <w:rFonts w:hint="eastAsia" w:ascii="Times New Roman" w:hAnsi="Times New Roman" w:eastAsia="宋体" w:cs="Times New Roman"/>
                      <w:b w:val="0"/>
                      <w:bCs/>
                      <w:color w:val="auto"/>
                      <w:sz w:val="24"/>
                      <w:highlight w:val="none"/>
                      <w:u w:val="none" w:color="auto"/>
                      <w:vertAlign w:val="baseline"/>
                      <w:lang w:eastAsia="zh-CN"/>
                    </w:rPr>
                  </w:pPr>
                  <w:r>
                    <w:rPr>
                      <w:rFonts w:hint="eastAsia" w:ascii="Times New Roman" w:hAnsi="Times New Roman" w:eastAsia="宋体" w:cs="Times New Roman"/>
                      <w:b w:val="0"/>
                      <w:bCs/>
                      <w:color w:val="auto"/>
                      <w:sz w:val="24"/>
                      <w:highlight w:val="none"/>
                      <w:u w:val="none" w:color="auto"/>
                      <w:vertAlign w:val="baseline"/>
                      <w:lang w:eastAsia="zh-CN"/>
                    </w:rPr>
                    <w:drawing>
                      <wp:inline distT="0" distB="0" distL="114300" distR="114300">
                        <wp:extent cx="4709795" cy="2475230"/>
                        <wp:effectExtent l="0" t="0" r="14605" b="1270"/>
                        <wp:docPr id="50" name="图片 50" descr="bb2c6d7c117c83e7e4b7e8033d69e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bb2c6d7c117c83e7e4b7e8033d69e3b"/>
                                <pic:cNvPicPr>
                                  <a:picLocks noChangeAspect="1"/>
                                </pic:cNvPicPr>
                              </pic:nvPicPr>
                              <pic:blipFill>
                                <a:blip r:embed="rId12"/>
                                <a:stretch>
                                  <a:fillRect/>
                                </a:stretch>
                              </pic:blipFill>
                              <pic:spPr>
                                <a:xfrm>
                                  <a:off x="0" y="0"/>
                                  <a:ext cx="4709795" cy="2475230"/>
                                </a:xfrm>
                                <a:prstGeom prst="rect">
                                  <a:avLst/>
                                </a:prstGeom>
                              </pic:spPr>
                            </pic:pic>
                          </a:graphicData>
                        </a:graphic>
                      </wp:inline>
                    </w:drawing>
                  </w:r>
                </w:p>
              </w:tc>
            </w:tr>
            <w:tr w14:paraId="329D4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04BD7393">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auto"/>
                      <w:sz w:val="24"/>
                      <w:highlight w:val="none"/>
                      <w:u w:val="none" w:color="auto"/>
                      <w:vertAlign w:val="baseline"/>
                    </w:rPr>
                  </w:pPr>
                  <w:r>
                    <w:rPr>
                      <w:b/>
                      <w:bCs/>
                      <w:color w:val="auto"/>
                      <w:sz w:val="24"/>
                      <w:szCs w:val="24"/>
                      <w:u w:val="none" w:color="auto"/>
                    </w:rPr>
                    <w:t>图</w:t>
                  </w:r>
                  <w:r>
                    <w:rPr>
                      <w:rFonts w:hint="eastAsia"/>
                      <w:b/>
                      <w:bCs/>
                      <w:color w:val="auto"/>
                      <w:sz w:val="24"/>
                      <w:szCs w:val="24"/>
                      <w:u w:val="none" w:color="auto"/>
                      <w:lang w:val="en-US" w:eastAsia="zh-CN"/>
                    </w:rPr>
                    <w:t>2-1</w:t>
                  </w:r>
                  <w:r>
                    <w:rPr>
                      <w:b/>
                      <w:bCs/>
                      <w:color w:val="auto"/>
                      <w:sz w:val="24"/>
                      <w:szCs w:val="24"/>
                      <w:u w:val="none" w:color="auto"/>
                    </w:rPr>
                    <w:t xml:space="preserve">  </w:t>
                  </w:r>
                  <w:r>
                    <w:rPr>
                      <w:rFonts w:hint="eastAsia"/>
                      <w:b/>
                      <w:bCs/>
                      <w:color w:val="auto"/>
                      <w:sz w:val="24"/>
                      <w:szCs w:val="24"/>
                      <w:u w:val="none" w:color="auto"/>
                    </w:rPr>
                    <w:t>项目</w:t>
                  </w:r>
                  <w:r>
                    <w:rPr>
                      <w:rFonts w:hint="eastAsia"/>
                      <w:b/>
                      <w:bCs/>
                      <w:color w:val="auto"/>
                      <w:sz w:val="24"/>
                      <w:szCs w:val="24"/>
                      <w:u w:val="none" w:color="auto"/>
                      <w:lang w:val="en-US" w:eastAsia="zh-CN"/>
                    </w:rPr>
                    <w:t>扩建完后</w:t>
                  </w:r>
                  <w:r>
                    <w:rPr>
                      <w:b/>
                      <w:bCs/>
                      <w:color w:val="auto"/>
                      <w:sz w:val="24"/>
                      <w:szCs w:val="24"/>
                      <w:u w:val="none" w:color="auto"/>
                    </w:rPr>
                    <w:t>水平衡图</w:t>
                  </w:r>
                  <w:r>
                    <w:rPr>
                      <w:rFonts w:hint="eastAsia"/>
                      <w:b/>
                      <w:bCs/>
                      <w:color w:val="auto"/>
                      <w:sz w:val="24"/>
                      <w:szCs w:val="24"/>
                      <w:u w:val="none" w:color="auto"/>
                    </w:rPr>
                    <w:t xml:space="preserve">    </w:t>
                  </w:r>
                  <w:r>
                    <w:rPr>
                      <w:b/>
                      <w:bCs/>
                      <w:color w:val="auto"/>
                      <w:sz w:val="24"/>
                      <w:szCs w:val="24"/>
                      <w:u w:val="none" w:color="auto"/>
                    </w:rPr>
                    <w:t>单位</w:t>
                  </w:r>
                  <w:r>
                    <w:rPr>
                      <w:rFonts w:hint="eastAsia"/>
                      <w:b/>
                      <w:bCs/>
                      <w:color w:val="auto"/>
                      <w:sz w:val="24"/>
                      <w:szCs w:val="24"/>
                      <w:u w:val="none" w:color="auto"/>
                    </w:rPr>
                    <w:t>：</w:t>
                  </w:r>
                  <w:r>
                    <w:rPr>
                      <w:b/>
                      <w:bCs/>
                      <w:color w:val="auto"/>
                      <w:sz w:val="24"/>
                      <w:szCs w:val="24"/>
                      <w:u w:val="none" w:color="auto"/>
                    </w:rPr>
                    <w:t>m</w:t>
                  </w:r>
                  <w:r>
                    <w:rPr>
                      <w:b/>
                      <w:bCs/>
                      <w:color w:val="auto"/>
                      <w:sz w:val="24"/>
                      <w:szCs w:val="24"/>
                      <w:u w:val="none" w:color="auto"/>
                      <w:vertAlign w:val="superscript"/>
                    </w:rPr>
                    <w:t>3</w:t>
                  </w:r>
                  <w:r>
                    <w:rPr>
                      <w:b/>
                      <w:bCs/>
                      <w:color w:val="auto"/>
                      <w:sz w:val="24"/>
                      <w:szCs w:val="24"/>
                      <w:u w:val="none" w:color="auto"/>
                    </w:rPr>
                    <w:t>/</w:t>
                  </w:r>
                  <w:r>
                    <w:rPr>
                      <w:rFonts w:hint="eastAsia"/>
                      <w:b/>
                      <w:bCs/>
                      <w:color w:val="auto"/>
                      <w:sz w:val="24"/>
                      <w:szCs w:val="24"/>
                      <w:u w:val="none" w:color="auto"/>
                    </w:rPr>
                    <w:t>d</w:t>
                  </w:r>
                </w:p>
              </w:tc>
            </w:tr>
          </w:tbl>
          <w:p w14:paraId="7B8A0CD2">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highlight w:val="none"/>
                <w:u w:val="none" w:color="auto"/>
              </w:rPr>
            </w:pPr>
            <w:r>
              <w:rPr>
                <w:rFonts w:hint="default" w:ascii="Times New Roman" w:hAnsi="Times New Roman" w:cs="Times New Roman"/>
                <w:b w:val="0"/>
                <w:bCs/>
                <w:color w:val="auto"/>
                <w:sz w:val="24"/>
                <w:highlight w:val="none"/>
                <w:u w:val="none" w:color="auto"/>
              </w:rPr>
              <w:t>8、其他公用设施</w:t>
            </w:r>
          </w:p>
          <w:p w14:paraId="4AB131AD">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highlight w:val="none"/>
                <w:u w:val="none" w:color="auto"/>
              </w:rPr>
            </w:pPr>
            <w:r>
              <w:rPr>
                <w:rFonts w:hint="default" w:ascii="Times New Roman" w:hAnsi="Times New Roman" w:cs="Times New Roman"/>
                <w:b w:val="0"/>
                <w:bCs/>
                <w:color w:val="auto"/>
                <w:sz w:val="24"/>
                <w:highlight w:val="none"/>
                <w:u w:val="none" w:color="auto"/>
              </w:rPr>
              <w:t>供电：学校设有变电所，主要为校区照明及教学设备用电。项目供电由区域电网提供</w:t>
            </w:r>
            <w:r>
              <w:rPr>
                <w:rFonts w:hint="eastAsia" w:cs="Times New Roman"/>
                <w:b w:val="0"/>
                <w:bCs/>
                <w:color w:val="auto"/>
                <w:sz w:val="24"/>
                <w:highlight w:val="none"/>
                <w:u w:val="none" w:color="auto"/>
                <w:lang w:eastAsia="zh-CN"/>
              </w:rPr>
              <w:t>（</w:t>
            </w:r>
            <w:r>
              <w:rPr>
                <w:rFonts w:hint="eastAsia" w:cs="Times New Roman"/>
                <w:b w:val="0"/>
                <w:bCs/>
                <w:color w:val="auto"/>
                <w:sz w:val="24"/>
                <w:highlight w:val="none"/>
                <w:u w:val="none" w:color="auto"/>
                <w:lang w:val="en-US" w:eastAsia="zh-CN"/>
              </w:rPr>
              <w:t>停电时用发电机备用发电）</w:t>
            </w:r>
            <w:r>
              <w:rPr>
                <w:rFonts w:hint="default" w:ascii="Times New Roman" w:hAnsi="Times New Roman" w:cs="Times New Roman"/>
                <w:b w:val="0"/>
                <w:bCs/>
                <w:color w:val="auto"/>
                <w:sz w:val="24"/>
                <w:highlight w:val="none"/>
                <w:u w:val="none" w:color="auto"/>
              </w:rPr>
              <w:t>。</w:t>
            </w:r>
          </w:p>
          <w:p w14:paraId="311F5EC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Cs/>
                <w:color w:val="auto"/>
                <w:sz w:val="24"/>
                <w:u w:val="none" w:color="auto"/>
              </w:rPr>
            </w:pPr>
            <w:r>
              <w:rPr>
                <w:rFonts w:hint="eastAsia" w:cs="Times New Roman"/>
                <w:b w:val="0"/>
                <w:bCs/>
                <w:color w:val="auto"/>
                <w:sz w:val="24"/>
                <w:highlight w:val="none"/>
                <w:u w:val="none" w:color="auto"/>
                <w:lang w:val="en-US" w:eastAsia="zh-CN"/>
              </w:rPr>
              <w:t>供水：</w:t>
            </w:r>
            <w:r>
              <w:rPr>
                <w:bCs/>
                <w:color w:val="auto"/>
                <w:sz w:val="24"/>
                <w:u w:val="none" w:color="auto"/>
              </w:rPr>
              <w:t>项目用水由</w:t>
            </w:r>
            <w:r>
              <w:rPr>
                <w:rFonts w:hint="eastAsia"/>
                <w:bCs/>
                <w:color w:val="auto"/>
                <w:sz w:val="24"/>
                <w:u w:val="none" w:color="auto"/>
                <w:lang w:val="en-US" w:eastAsia="zh-CN"/>
              </w:rPr>
              <w:t>市政供水管网</w:t>
            </w:r>
            <w:r>
              <w:rPr>
                <w:bCs/>
                <w:color w:val="auto"/>
                <w:sz w:val="24"/>
                <w:u w:val="none" w:color="auto"/>
              </w:rPr>
              <w:t>供给，能够满足实际用水。</w:t>
            </w:r>
          </w:p>
          <w:p w14:paraId="4DAF6F63">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highlight w:val="none"/>
                <w:u w:val="none" w:color="auto"/>
              </w:rPr>
            </w:pPr>
            <w:r>
              <w:rPr>
                <w:rFonts w:hint="default" w:ascii="Times New Roman" w:hAnsi="Times New Roman" w:cs="Times New Roman"/>
                <w:b w:val="0"/>
                <w:bCs/>
                <w:color w:val="auto"/>
                <w:sz w:val="24"/>
                <w:highlight w:val="none"/>
                <w:u w:val="none" w:color="auto"/>
              </w:rPr>
              <w:t>供热：餐厅采用</w:t>
            </w:r>
            <w:r>
              <w:rPr>
                <w:rFonts w:hint="eastAsia" w:cs="Times New Roman"/>
                <w:b w:val="0"/>
                <w:bCs/>
                <w:color w:val="auto"/>
                <w:sz w:val="24"/>
                <w:highlight w:val="none"/>
                <w:u w:val="none" w:color="auto"/>
                <w:lang w:val="en-US" w:eastAsia="zh-CN"/>
              </w:rPr>
              <w:t>电能</w:t>
            </w:r>
            <w:r>
              <w:rPr>
                <w:rFonts w:hint="default" w:ascii="Times New Roman" w:hAnsi="Times New Roman" w:cs="Times New Roman"/>
                <w:b w:val="0"/>
                <w:bCs/>
                <w:color w:val="auto"/>
                <w:sz w:val="24"/>
                <w:highlight w:val="none"/>
                <w:u w:val="none" w:color="auto"/>
              </w:rPr>
              <w:t>，学校不设置锅炉等供热设备。</w:t>
            </w:r>
          </w:p>
          <w:p w14:paraId="3D58BB16">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highlight w:val="none"/>
                <w:u w:val="none" w:color="auto"/>
              </w:rPr>
            </w:pPr>
            <w:r>
              <w:rPr>
                <w:rFonts w:hint="default" w:ascii="Times New Roman" w:hAnsi="Times New Roman" w:cs="Times New Roman"/>
                <w:b w:val="0"/>
                <w:bCs/>
                <w:color w:val="auto"/>
                <w:sz w:val="24"/>
                <w:highlight w:val="none"/>
                <w:u w:val="none" w:color="auto"/>
              </w:rPr>
              <w:t>采暖、制冷：本项目主要采用</w:t>
            </w:r>
            <w:r>
              <w:rPr>
                <w:rFonts w:hint="default" w:ascii="Times New Roman" w:hAnsi="Times New Roman" w:cs="Times New Roman"/>
                <w:b w:val="0"/>
                <w:bCs/>
                <w:color w:val="auto"/>
                <w:sz w:val="24"/>
                <w:highlight w:val="none"/>
                <w:u w:val="none" w:color="auto"/>
                <w:lang w:val="en-US" w:eastAsia="zh-CN"/>
              </w:rPr>
              <w:t>采用分体式空调</w:t>
            </w:r>
            <w:r>
              <w:rPr>
                <w:rFonts w:hint="default" w:ascii="Times New Roman" w:hAnsi="Times New Roman" w:cs="Times New Roman"/>
                <w:b w:val="0"/>
                <w:bCs/>
                <w:color w:val="auto"/>
                <w:sz w:val="24"/>
                <w:highlight w:val="none"/>
                <w:u w:val="none" w:color="auto"/>
              </w:rPr>
              <w:t>作为冷热源。</w:t>
            </w:r>
          </w:p>
          <w:p w14:paraId="7B9337B7">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highlight w:val="none"/>
                <w:u w:val="none" w:color="auto"/>
              </w:rPr>
            </w:pPr>
            <w:r>
              <w:rPr>
                <w:rFonts w:hint="default" w:ascii="Times New Roman" w:hAnsi="Times New Roman" w:cs="Times New Roman"/>
                <w:b w:val="0"/>
                <w:bCs/>
                <w:color w:val="auto"/>
                <w:sz w:val="24"/>
                <w:highlight w:val="none"/>
                <w:u w:val="none" w:color="auto"/>
              </w:rPr>
              <w:t>消防系统：项目的消防按照《建筑设计消防防范》进行设计，</w:t>
            </w:r>
            <w:r>
              <w:rPr>
                <w:rFonts w:hint="default" w:ascii="Times New Roman" w:hAnsi="Times New Roman" w:cs="Times New Roman"/>
                <w:b w:val="0"/>
                <w:bCs/>
                <w:color w:val="auto"/>
                <w:sz w:val="24"/>
                <w:highlight w:val="none"/>
                <w:u w:val="none" w:color="auto"/>
                <w:lang w:val="en-US" w:eastAsia="zh-CN"/>
              </w:rPr>
              <w:t>地下一层设置生活水泵房、消防水泵房及消防水池</w:t>
            </w:r>
            <w:r>
              <w:rPr>
                <w:rFonts w:hint="default" w:ascii="Times New Roman" w:hAnsi="Times New Roman" w:cs="Times New Roman"/>
                <w:b w:val="0"/>
                <w:bCs/>
                <w:color w:val="auto"/>
                <w:sz w:val="24"/>
                <w:highlight w:val="none"/>
                <w:u w:val="none" w:color="auto"/>
              </w:rPr>
              <w:t>，并设置有消防栓、灭火器、水枪、水带及自动喷淋灭火系统等消防设施；室外设置有室外地上式消防栓和水泵接合器等消防构筑物。</w:t>
            </w:r>
          </w:p>
          <w:p w14:paraId="62D75650">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highlight w:val="none"/>
                <w:u w:val="none" w:color="auto"/>
              </w:rPr>
            </w:pPr>
            <w:r>
              <w:rPr>
                <w:rFonts w:hint="default" w:ascii="Times New Roman" w:hAnsi="Times New Roman" w:cs="Times New Roman"/>
                <w:b w:val="0"/>
                <w:bCs/>
                <w:color w:val="auto"/>
                <w:sz w:val="24"/>
                <w:highlight w:val="none"/>
                <w:u w:val="none" w:color="auto"/>
              </w:rPr>
              <w:t>9 、校区平面布置</w:t>
            </w:r>
          </w:p>
          <w:p w14:paraId="7C64B875">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highlight w:val="none"/>
                <w:u w:val="none" w:color="auto"/>
              </w:rPr>
            </w:pPr>
            <w:r>
              <w:rPr>
                <w:rFonts w:hint="default" w:ascii="Times New Roman" w:hAnsi="Times New Roman" w:cs="Times New Roman"/>
                <w:b w:val="0"/>
                <w:bCs/>
                <w:color w:val="auto"/>
                <w:sz w:val="24"/>
                <w:highlight w:val="none"/>
                <w:u w:val="none" w:color="auto"/>
              </w:rPr>
              <w:t>（1）总体布局</w:t>
            </w:r>
          </w:p>
          <w:p w14:paraId="44204FC5">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highlight w:val="none"/>
                <w:u w:val="none" w:color="auto"/>
              </w:rPr>
            </w:pPr>
            <w:r>
              <w:rPr>
                <w:rFonts w:hint="default" w:ascii="Times New Roman" w:hAnsi="Times New Roman" w:cs="Times New Roman"/>
                <w:b w:val="0"/>
                <w:bCs/>
                <w:color w:val="auto"/>
                <w:sz w:val="24"/>
                <w:highlight w:val="none"/>
                <w:u w:val="none" w:color="auto"/>
              </w:rPr>
              <w:t>本项目教学、生活、运动各功能区相互分开又紧密相连。本项目主要功能分为三大部分，分别为教学区、运动区、生活区。教学区相对安静的区域远离运动场，顺应场地布置在</w:t>
            </w:r>
            <w:r>
              <w:rPr>
                <w:rFonts w:hint="eastAsia" w:cs="Times New Roman"/>
                <w:b w:val="0"/>
                <w:bCs/>
                <w:color w:val="auto"/>
                <w:sz w:val="24"/>
                <w:highlight w:val="none"/>
                <w:u w:val="none" w:color="auto"/>
                <w:lang w:val="en-US" w:eastAsia="zh-CN"/>
              </w:rPr>
              <w:t>运动区南</w:t>
            </w:r>
            <w:r>
              <w:rPr>
                <w:rFonts w:hint="default" w:ascii="Times New Roman" w:hAnsi="Times New Roman" w:cs="Times New Roman"/>
                <w:b w:val="0"/>
                <w:bCs/>
                <w:color w:val="auto"/>
                <w:sz w:val="24"/>
                <w:highlight w:val="none"/>
                <w:u w:val="none" w:color="auto"/>
              </w:rPr>
              <w:t>侧区域，教学单体内部通过风雨廊相互联系；生活区位于教学区的南侧区域，紧邻校园次入口，餐厅功能紧邻教学区。</w:t>
            </w:r>
          </w:p>
          <w:p w14:paraId="75E966F2">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highlight w:val="none"/>
                <w:u w:val="none" w:color="auto"/>
              </w:rPr>
            </w:pPr>
            <w:r>
              <w:rPr>
                <w:rFonts w:hint="default" w:ascii="Times New Roman" w:hAnsi="Times New Roman" w:cs="Times New Roman"/>
                <w:b w:val="0"/>
                <w:bCs/>
                <w:color w:val="auto"/>
                <w:sz w:val="24"/>
                <w:highlight w:val="none"/>
                <w:u w:val="none" w:color="auto"/>
              </w:rPr>
              <w:t>（2）交通组织</w:t>
            </w:r>
          </w:p>
          <w:p w14:paraId="31CFC965">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u w:val="none" w:color="auto"/>
              </w:rPr>
            </w:pPr>
            <w:r>
              <w:rPr>
                <w:rFonts w:hint="default" w:ascii="Times New Roman" w:hAnsi="Times New Roman" w:cs="Times New Roman"/>
                <w:b w:val="0"/>
                <w:bCs/>
                <w:color w:val="auto"/>
                <w:sz w:val="24"/>
                <w:highlight w:val="none"/>
                <w:u w:val="none" w:color="auto"/>
              </w:rPr>
              <w:t>设计以“流线清晰明确、快捷高效、互不干扰”为原则，最大化避免流线之间 的相互干扰，减少车行流线、后勤流线对学生上课、生活的影响；同时在校园主次入口区域合理设计放大空间，等候区、缓冲区，满足学生家长的接送等待，减弱对城市道路的压迫与影响。本项目校园平面布置分区明确，结构合理，交通、管线顺畅短捷，人流和物流分开，建筑布局凸显空间感和层次感，营造出优美的教学、办公环境。</w:t>
            </w:r>
          </w:p>
        </w:tc>
      </w:tr>
      <w:tr w14:paraId="562A41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6" w:type="pct"/>
            <w:noWrap w:val="0"/>
            <w:vAlign w:val="center"/>
          </w:tcPr>
          <w:p w14:paraId="42F8CE21">
            <w:pPr>
              <w:pStyle w:val="32"/>
              <w:adjustRightInd w:val="0"/>
              <w:snapToGrid w:val="0"/>
              <w:spacing w:before="0" w:beforeAutospacing="0" w:after="0" w:afterAutospacing="0"/>
              <w:jc w:val="center"/>
              <w:rPr>
                <w:rFonts w:hint="default" w:ascii="Times New Roman" w:hAnsi="Times New Roman" w:cs="Times New Roman"/>
                <w:color w:val="auto"/>
                <w:szCs w:val="24"/>
                <w:highlight w:val="none"/>
                <w:u w:val="none" w:color="auto"/>
              </w:rPr>
            </w:pPr>
            <w:r>
              <w:rPr>
                <w:rFonts w:hint="default" w:ascii="Times New Roman" w:hAnsi="Times New Roman" w:cs="Times New Roman"/>
                <w:color w:val="auto"/>
                <w:szCs w:val="24"/>
                <w:highlight w:val="none"/>
                <w:u w:val="none" w:color="auto"/>
              </w:rPr>
              <w:t>工艺流程和产排污环节</w:t>
            </w:r>
          </w:p>
        </w:tc>
        <w:tc>
          <w:tcPr>
            <w:tcW w:w="4613" w:type="pct"/>
            <w:noWrap w:val="0"/>
            <w:vAlign w:val="top"/>
          </w:tcPr>
          <w:p w14:paraId="017E9E52">
            <w:pPr>
              <w:pStyle w:val="170"/>
              <w:keepNext w:val="0"/>
              <w:keepLines w:val="0"/>
              <w:pageBreakBefore w:val="0"/>
              <w:widowControl w:val="0"/>
              <w:kinsoku/>
              <w:wordWrap/>
              <w:overflowPunct/>
              <w:topLinePunct w:val="0"/>
              <w:autoSpaceDE/>
              <w:autoSpaceDN/>
              <w:bidi w:val="0"/>
              <w:adjustRightInd/>
              <w:snapToGrid/>
              <w:spacing w:line="360" w:lineRule="auto"/>
              <w:ind w:left="0" w:firstLine="466" w:firstLineChars="200"/>
              <w:textAlignment w:val="auto"/>
              <w:outlineLvl w:val="9"/>
              <w:rPr>
                <w:rFonts w:hint="default" w:ascii="Times New Roman" w:hAnsi="Times New Roman" w:cs="Times New Roman"/>
                <w:color w:val="auto"/>
                <w:sz w:val="24"/>
                <w:szCs w:val="24"/>
                <w:u w:val="none" w:color="auto"/>
              </w:rPr>
            </w:pPr>
            <w:r>
              <w:rPr>
                <w:rFonts w:hint="default" w:ascii="Times New Roman" w:hAnsi="Times New Roman" w:cs="Times New Roman"/>
                <w:b/>
                <w:bCs/>
                <w:color w:val="auto"/>
                <w:spacing w:val="-4"/>
                <w:sz w:val="24"/>
                <w:szCs w:val="24"/>
                <w:u w:val="none" w:color="auto"/>
              </w:rPr>
              <w:t>二、运营期工艺流程</w:t>
            </w:r>
          </w:p>
          <w:p w14:paraId="7BFB0AC5">
            <w:pPr>
              <w:keepNext w:val="0"/>
              <w:keepLines w:val="0"/>
              <w:pageBreakBefore w:val="0"/>
              <w:widowControl w:val="0"/>
              <w:kinsoku/>
              <w:wordWrap/>
              <w:overflowPunct/>
              <w:topLinePunct w:val="0"/>
              <w:autoSpaceDE/>
              <w:autoSpaceDN/>
              <w:bidi w:val="0"/>
              <w:adjustRightInd/>
              <w:snapToGrid/>
              <w:spacing w:line="360" w:lineRule="auto"/>
              <w:ind w:left="0" w:firstLine="500" w:firstLineChars="200"/>
              <w:textAlignment w:val="auto"/>
              <w:outlineLvl w:val="9"/>
              <w:rPr>
                <w:rFonts w:hint="default" w:ascii="Times New Roman" w:hAnsi="Times New Roman" w:cs="Times New Roman"/>
                <w:color w:val="auto"/>
                <w:sz w:val="24"/>
                <w:highlight w:val="none"/>
                <w:u w:val="none" w:color="auto"/>
                <w:vertAlign w:val="baseline"/>
              </w:rPr>
            </w:pPr>
            <w:r>
              <w:rPr>
                <w:rFonts w:hint="default" w:ascii="Times New Roman" w:hAnsi="Times New Roman" w:cs="Times New Roman"/>
                <w:color w:val="auto"/>
                <w:spacing w:val="5"/>
                <w:sz w:val="24"/>
                <w:szCs w:val="24"/>
                <w:u w:val="none" w:color="auto"/>
              </w:rPr>
              <w:t>项目运营过程主要产污来自于师生日常教学活动，主要产</w:t>
            </w:r>
            <w:r>
              <w:rPr>
                <w:rFonts w:hint="default" w:ascii="Times New Roman" w:hAnsi="Times New Roman" w:cs="Times New Roman"/>
                <w:color w:val="auto"/>
                <w:spacing w:val="4"/>
                <w:sz w:val="24"/>
                <w:szCs w:val="24"/>
                <w:u w:val="none" w:color="auto"/>
              </w:rPr>
              <w:t>污环节如下图所</w:t>
            </w:r>
            <w:r>
              <w:rPr>
                <w:rFonts w:hint="default" w:ascii="Times New Roman" w:hAnsi="Times New Roman" w:cs="Times New Roman"/>
                <w:color w:val="auto"/>
                <w:spacing w:val="-6"/>
                <w:sz w:val="24"/>
                <w:szCs w:val="24"/>
                <w:u w:val="none" w:color="auto"/>
              </w:rPr>
              <w:t>示：</w:t>
            </w: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56"/>
            </w:tblGrid>
            <w:tr w14:paraId="5E2B2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66" w:type="dxa"/>
                </w:tcPr>
                <w:p w14:paraId="00D7C2B8">
                  <w:pPr>
                    <w:spacing w:line="360" w:lineRule="auto"/>
                    <w:rPr>
                      <w:rFonts w:hint="default" w:ascii="Times New Roman" w:hAnsi="Times New Roman" w:cs="Times New Roman"/>
                      <w:color w:val="auto"/>
                      <w:sz w:val="24"/>
                      <w:highlight w:val="none"/>
                      <w:u w:val="none" w:color="auto"/>
                      <w:vertAlign w:val="baseline"/>
                    </w:rPr>
                  </w:pPr>
                  <w:r>
                    <w:rPr>
                      <w:color w:val="auto"/>
                      <w:u w:val="none" w:color="auto"/>
                    </w:rPr>
                    <w:drawing>
                      <wp:inline distT="0" distB="0" distL="114300" distR="114300">
                        <wp:extent cx="4900295" cy="2720340"/>
                        <wp:effectExtent l="0" t="0" r="14605" b="381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13"/>
                                <a:stretch>
                                  <a:fillRect/>
                                </a:stretch>
                              </pic:blipFill>
                              <pic:spPr>
                                <a:xfrm>
                                  <a:off x="0" y="0"/>
                                  <a:ext cx="4900295" cy="2720340"/>
                                </a:xfrm>
                                <a:prstGeom prst="rect">
                                  <a:avLst/>
                                </a:prstGeom>
                                <a:noFill/>
                                <a:ln>
                                  <a:noFill/>
                                </a:ln>
                              </pic:spPr>
                            </pic:pic>
                          </a:graphicData>
                        </a:graphic>
                      </wp:inline>
                    </w:drawing>
                  </w:r>
                </w:p>
              </w:tc>
            </w:tr>
            <w:tr w14:paraId="5EE9B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66" w:type="dxa"/>
                </w:tcPr>
                <w:p w14:paraId="1085D3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highlight w:val="none"/>
                      <w:u w:val="none" w:color="auto"/>
                      <w:vertAlign w:val="baseline"/>
                    </w:rPr>
                  </w:pPr>
                  <w:r>
                    <w:rPr>
                      <w:rFonts w:hint="default" w:ascii="Times New Roman" w:hAnsi="Times New Roman" w:eastAsia="宋体" w:cs="Times New Roman"/>
                      <w:b/>
                      <w:bCs/>
                      <w:color w:val="auto"/>
                      <w:sz w:val="24"/>
                      <w:highlight w:val="none"/>
                      <w:u w:val="none" w:color="auto"/>
                    </w:rPr>
                    <w:t>图2-</w:t>
                  </w:r>
                  <w:r>
                    <w:rPr>
                      <w:rFonts w:hint="default" w:ascii="Times New Roman" w:hAnsi="Times New Roman" w:eastAsia="宋体" w:cs="Times New Roman"/>
                      <w:b/>
                      <w:bCs/>
                      <w:color w:val="auto"/>
                      <w:sz w:val="24"/>
                      <w:highlight w:val="none"/>
                      <w:u w:val="none" w:color="auto"/>
                      <w:lang w:val="en-US" w:eastAsia="zh-CN"/>
                    </w:rPr>
                    <w:t xml:space="preserve">2    </w:t>
                  </w:r>
                  <w:r>
                    <w:rPr>
                      <w:rFonts w:hint="default" w:ascii="Times New Roman" w:hAnsi="Times New Roman" w:eastAsia="宋体" w:cs="Times New Roman"/>
                      <w:b/>
                      <w:bCs/>
                      <w:color w:val="auto"/>
                      <w:sz w:val="24"/>
                      <w:highlight w:val="none"/>
                      <w:u w:val="none" w:color="auto"/>
                    </w:rPr>
                    <w:t>项目营运期产污环节图</w:t>
                  </w:r>
                </w:p>
              </w:tc>
            </w:tr>
          </w:tbl>
          <w:p w14:paraId="39785540">
            <w:pPr>
              <w:pStyle w:val="170"/>
              <w:keepNext w:val="0"/>
              <w:keepLines w:val="0"/>
              <w:pageBreakBefore w:val="0"/>
              <w:widowControl w:val="0"/>
              <w:kinsoku/>
              <w:wordWrap/>
              <w:overflowPunct/>
              <w:topLinePunct w:val="0"/>
              <w:autoSpaceDE/>
              <w:autoSpaceDN/>
              <w:bidi w:val="0"/>
              <w:adjustRightInd/>
              <w:snapToGrid/>
              <w:spacing w:line="360" w:lineRule="auto"/>
              <w:ind w:left="0" w:right="0" w:firstLine="466" w:firstLineChars="200"/>
              <w:textAlignment w:val="auto"/>
              <w:outlineLvl w:val="9"/>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b/>
                <w:bCs/>
                <w:color w:val="auto"/>
                <w:spacing w:val="-4"/>
                <w:sz w:val="24"/>
                <w:szCs w:val="24"/>
                <w:u w:val="none" w:color="auto"/>
              </w:rPr>
              <w:t>二、运营期污染工序</w:t>
            </w:r>
          </w:p>
          <w:p w14:paraId="25313DDD">
            <w:pPr>
              <w:pStyle w:val="170"/>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outlineLvl w:val="9"/>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1"/>
                <w:sz w:val="24"/>
                <w:szCs w:val="24"/>
                <w:u w:val="none" w:color="auto"/>
              </w:rPr>
              <w:t>1、废气：主要为学校</w:t>
            </w:r>
            <w:r>
              <w:rPr>
                <w:rFonts w:hint="default" w:ascii="Times New Roman" w:hAnsi="Times New Roman" w:eastAsia="宋体" w:cs="Times New Roman"/>
                <w:color w:val="auto"/>
                <w:spacing w:val="-1"/>
                <w:sz w:val="24"/>
                <w:szCs w:val="24"/>
                <w:u w:val="none" w:color="auto"/>
                <w:lang w:val="en-US" w:eastAsia="zh-CN"/>
              </w:rPr>
              <w:t>餐厅</w:t>
            </w:r>
            <w:r>
              <w:rPr>
                <w:rFonts w:hint="default" w:ascii="Times New Roman" w:hAnsi="Times New Roman" w:eastAsia="宋体" w:cs="Times New Roman"/>
                <w:color w:val="auto"/>
                <w:spacing w:val="-1"/>
                <w:sz w:val="24"/>
                <w:szCs w:val="24"/>
                <w:u w:val="none" w:color="auto"/>
              </w:rPr>
              <w:t>的油烟废气</w:t>
            </w:r>
            <w:r>
              <w:rPr>
                <w:rFonts w:hint="default" w:ascii="Times New Roman" w:hAnsi="Times New Roman" w:eastAsia="宋体" w:cs="Times New Roman"/>
                <w:color w:val="auto"/>
                <w:spacing w:val="-52"/>
                <w:sz w:val="24"/>
                <w:szCs w:val="24"/>
                <w:u w:val="none" w:color="auto"/>
              </w:rPr>
              <w:t xml:space="preserve"> </w:t>
            </w:r>
            <w:r>
              <w:rPr>
                <w:rFonts w:hint="default" w:ascii="Times New Roman" w:hAnsi="Times New Roman" w:eastAsia="宋体" w:cs="Times New Roman"/>
                <w:color w:val="auto"/>
                <w:spacing w:val="-1"/>
                <w:sz w:val="24"/>
                <w:szCs w:val="24"/>
                <w:u w:val="none" w:color="auto"/>
              </w:rPr>
              <w:t>、实验室产生的实验废气</w:t>
            </w:r>
            <w:r>
              <w:rPr>
                <w:rFonts w:hint="default" w:ascii="Times New Roman" w:hAnsi="Times New Roman" w:eastAsia="宋体" w:cs="Times New Roman"/>
                <w:color w:val="auto"/>
                <w:spacing w:val="-2"/>
                <w:sz w:val="24"/>
                <w:szCs w:val="24"/>
                <w:u w:val="none" w:color="auto"/>
              </w:rPr>
              <w:t>。</w:t>
            </w:r>
          </w:p>
          <w:p w14:paraId="45C5A02F">
            <w:pPr>
              <w:pStyle w:val="170"/>
              <w:keepNext w:val="0"/>
              <w:keepLines w:val="0"/>
              <w:pageBreakBefore w:val="0"/>
              <w:widowControl w:val="0"/>
              <w:kinsoku/>
              <w:wordWrap/>
              <w:overflowPunct/>
              <w:topLinePunct w:val="0"/>
              <w:autoSpaceDE/>
              <w:autoSpaceDN/>
              <w:bidi w:val="0"/>
              <w:adjustRightInd/>
              <w:snapToGrid/>
              <w:spacing w:line="360" w:lineRule="auto"/>
              <w:ind w:left="0" w:right="0" w:firstLine="468" w:firstLineChars="200"/>
              <w:textAlignment w:val="auto"/>
              <w:outlineLvl w:val="9"/>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3"/>
                <w:sz w:val="24"/>
                <w:szCs w:val="24"/>
                <w:u w:val="none" w:color="auto"/>
              </w:rPr>
              <w:t>2、废水：主要为师生日常生活废水、</w:t>
            </w:r>
            <w:r>
              <w:rPr>
                <w:rFonts w:hint="default" w:ascii="Times New Roman" w:hAnsi="Times New Roman" w:eastAsia="宋体" w:cs="Times New Roman"/>
                <w:color w:val="auto"/>
                <w:spacing w:val="-1"/>
                <w:sz w:val="24"/>
                <w:szCs w:val="24"/>
                <w:u w:val="none" w:color="auto"/>
                <w:lang w:val="en-US" w:eastAsia="zh-CN"/>
              </w:rPr>
              <w:t>餐厅</w:t>
            </w:r>
            <w:r>
              <w:rPr>
                <w:rFonts w:hint="default" w:ascii="Times New Roman" w:hAnsi="Times New Roman" w:eastAsia="宋体" w:cs="Times New Roman"/>
                <w:color w:val="auto"/>
                <w:spacing w:val="-3"/>
                <w:sz w:val="24"/>
                <w:szCs w:val="24"/>
                <w:u w:val="none" w:color="auto"/>
              </w:rPr>
              <w:t>废水</w:t>
            </w:r>
            <w:r>
              <w:rPr>
                <w:rFonts w:hint="default" w:ascii="Times New Roman" w:hAnsi="Times New Roman" w:eastAsia="宋体" w:cs="Times New Roman"/>
                <w:color w:val="auto"/>
                <w:spacing w:val="-57"/>
                <w:sz w:val="24"/>
                <w:szCs w:val="24"/>
                <w:u w:val="none" w:color="auto"/>
              </w:rPr>
              <w:t xml:space="preserve"> </w:t>
            </w:r>
            <w:r>
              <w:rPr>
                <w:rFonts w:hint="default" w:ascii="Times New Roman" w:hAnsi="Times New Roman" w:eastAsia="宋体" w:cs="Times New Roman"/>
                <w:color w:val="auto"/>
                <w:spacing w:val="-3"/>
                <w:sz w:val="24"/>
                <w:szCs w:val="24"/>
                <w:u w:val="none" w:color="auto"/>
              </w:rPr>
              <w:t>、实验室废水</w:t>
            </w:r>
            <w:r>
              <w:rPr>
                <w:rFonts w:hint="default" w:ascii="Times New Roman" w:hAnsi="Times New Roman" w:eastAsia="宋体" w:cs="Times New Roman"/>
                <w:color w:val="auto"/>
                <w:spacing w:val="-54"/>
                <w:sz w:val="24"/>
                <w:szCs w:val="24"/>
                <w:u w:val="none" w:color="auto"/>
              </w:rPr>
              <w:t xml:space="preserve"> </w:t>
            </w:r>
            <w:r>
              <w:rPr>
                <w:rFonts w:hint="default" w:ascii="Times New Roman" w:hAnsi="Times New Roman" w:eastAsia="宋体" w:cs="Times New Roman"/>
                <w:color w:val="auto"/>
                <w:spacing w:val="-2"/>
                <w:sz w:val="24"/>
                <w:szCs w:val="24"/>
                <w:u w:val="none" w:color="auto"/>
              </w:rPr>
              <w:t>。</w:t>
            </w:r>
          </w:p>
          <w:p w14:paraId="6F6224E5">
            <w:pPr>
              <w:pStyle w:val="170"/>
              <w:keepNext w:val="0"/>
              <w:keepLines w:val="0"/>
              <w:pageBreakBefore w:val="0"/>
              <w:widowControl w:val="0"/>
              <w:kinsoku/>
              <w:wordWrap/>
              <w:overflowPunct/>
              <w:topLinePunct w:val="0"/>
              <w:autoSpaceDE/>
              <w:autoSpaceDN/>
              <w:bidi w:val="0"/>
              <w:adjustRightInd/>
              <w:snapToGrid/>
              <w:spacing w:line="360" w:lineRule="auto"/>
              <w:ind w:left="0" w:right="0" w:firstLine="460" w:firstLineChars="200"/>
              <w:textAlignment w:val="auto"/>
              <w:outlineLvl w:val="9"/>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pacing w:val="-5"/>
                <w:sz w:val="24"/>
                <w:szCs w:val="24"/>
                <w:u w:val="none" w:color="auto"/>
              </w:rPr>
              <w:t>3、固体废物：主要来自教职工及学生日常生活垃圾、餐饮垃圾、</w:t>
            </w:r>
            <w:r>
              <w:rPr>
                <w:rFonts w:hint="default" w:ascii="Times New Roman" w:hAnsi="Times New Roman" w:eastAsia="宋体" w:cs="Times New Roman"/>
                <w:color w:val="auto"/>
                <w:spacing w:val="-3"/>
                <w:sz w:val="24"/>
                <w:szCs w:val="24"/>
                <w:u w:val="none" w:color="auto"/>
              </w:rPr>
              <w:t>实验室危废、</w:t>
            </w:r>
            <w:r>
              <w:rPr>
                <w:rFonts w:hint="default" w:ascii="Times New Roman" w:hAnsi="Times New Roman" w:eastAsia="宋体" w:cs="Times New Roman"/>
                <w:color w:val="auto"/>
                <w:spacing w:val="-4"/>
                <w:sz w:val="24"/>
                <w:szCs w:val="24"/>
                <w:u w:val="none" w:color="auto"/>
              </w:rPr>
              <w:t>废活性炭</w:t>
            </w:r>
            <w:r>
              <w:rPr>
                <w:rFonts w:hint="default" w:ascii="Times New Roman" w:hAnsi="Times New Roman" w:eastAsia="宋体" w:cs="Times New Roman"/>
                <w:color w:val="auto"/>
                <w:spacing w:val="-45"/>
                <w:sz w:val="24"/>
                <w:szCs w:val="24"/>
                <w:u w:val="none" w:color="auto"/>
                <w:lang w:val="en-US" w:eastAsia="zh-CN"/>
              </w:rPr>
              <w:t>等</w:t>
            </w:r>
          </w:p>
          <w:p w14:paraId="042669C9">
            <w:pPr>
              <w:pStyle w:val="170"/>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textAlignment w:val="auto"/>
              <w:outlineLvl w:val="9"/>
              <w:rPr>
                <w:rFonts w:hint="default" w:ascii="Times New Roman" w:hAnsi="Times New Roman" w:eastAsia="宋体" w:cs="Times New Roman"/>
                <w:color w:val="auto"/>
                <w:spacing w:val="-1"/>
                <w:sz w:val="24"/>
                <w:szCs w:val="24"/>
                <w:u w:val="none" w:color="auto"/>
              </w:rPr>
            </w:pPr>
            <w:r>
              <w:rPr>
                <w:rFonts w:hint="default" w:ascii="Times New Roman" w:hAnsi="Times New Roman" w:eastAsia="宋体" w:cs="Times New Roman"/>
                <w:color w:val="auto"/>
                <w:spacing w:val="-4"/>
                <w:sz w:val="24"/>
                <w:szCs w:val="24"/>
                <w:u w:val="none" w:color="auto"/>
              </w:rPr>
              <w:t>4、噪声：项目噪声主要为</w:t>
            </w:r>
            <w:r>
              <w:rPr>
                <w:rFonts w:hint="default" w:ascii="Times New Roman" w:hAnsi="Times New Roman" w:eastAsia="宋体" w:cs="Times New Roman"/>
                <w:color w:val="auto"/>
                <w:spacing w:val="-4"/>
                <w:sz w:val="24"/>
                <w:szCs w:val="24"/>
                <w:u w:val="none" w:color="auto"/>
                <w:lang w:val="en-US" w:eastAsia="zh-CN"/>
              </w:rPr>
              <w:t>二级活性炭配套风机等</w:t>
            </w:r>
            <w:r>
              <w:rPr>
                <w:rFonts w:hint="default" w:ascii="Times New Roman" w:hAnsi="Times New Roman" w:eastAsia="宋体" w:cs="Times New Roman"/>
                <w:color w:val="auto"/>
                <w:spacing w:val="-4"/>
                <w:sz w:val="24"/>
                <w:szCs w:val="24"/>
                <w:u w:val="none" w:color="auto"/>
              </w:rPr>
              <w:t>设备运行过程产生的噪声</w:t>
            </w:r>
            <w:r>
              <w:rPr>
                <w:rFonts w:hint="default" w:ascii="Times New Roman" w:hAnsi="Times New Roman" w:eastAsia="宋体" w:cs="Times New Roman"/>
                <w:color w:val="auto"/>
                <w:spacing w:val="-1"/>
                <w:sz w:val="24"/>
                <w:szCs w:val="24"/>
                <w:u w:val="none" w:color="auto"/>
              </w:rPr>
              <w:t>。</w:t>
            </w:r>
          </w:p>
          <w:p w14:paraId="7DA6E619">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eastAsia="宋体" w:cs="Times New Roman"/>
                <w:b/>
                <w:bCs/>
                <w:color w:val="auto"/>
                <w:sz w:val="24"/>
                <w:szCs w:val="24"/>
                <w:highlight w:val="none"/>
                <w:u w:val="none" w:color="auto"/>
              </w:rPr>
            </w:pPr>
            <w:r>
              <w:rPr>
                <w:rFonts w:hint="default" w:ascii="Times New Roman" w:hAnsi="Times New Roman" w:eastAsia="宋体" w:cs="Times New Roman"/>
                <w:b/>
                <w:bCs/>
                <w:color w:val="auto"/>
                <w:sz w:val="24"/>
                <w:szCs w:val="24"/>
                <w:highlight w:val="none"/>
                <w:u w:val="none" w:color="auto"/>
              </w:rPr>
              <w:t>二、产污环节分析</w:t>
            </w:r>
          </w:p>
          <w:p w14:paraId="741358E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根据工艺流程分析和并结合有关生产设计资料，本项目主要产污环节统计一览表见下表。</w:t>
            </w:r>
          </w:p>
          <w:p w14:paraId="15D5EF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highlight w:val="none"/>
                <w:u w:val="none" w:color="auto"/>
              </w:rPr>
            </w:pPr>
            <w:r>
              <w:rPr>
                <w:rFonts w:hint="default" w:ascii="Times New Roman" w:hAnsi="Times New Roman" w:eastAsia="宋体" w:cs="Times New Roman"/>
                <w:b/>
                <w:bCs/>
                <w:color w:val="auto"/>
                <w:sz w:val="24"/>
                <w:highlight w:val="none"/>
                <w:u w:val="none" w:color="auto"/>
              </w:rPr>
              <w:t>表2-</w:t>
            </w:r>
            <w:r>
              <w:rPr>
                <w:rFonts w:hint="eastAsia" w:ascii="Times New Roman" w:hAnsi="Times New Roman" w:eastAsia="宋体" w:cs="Times New Roman"/>
                <w:b/>
                <w:bCs/>
                <w:color w:val="auto"/>
                <w:sz w:val="24"/>
                <w:highlight w:val="none"/>
                <w:u w:val="none" w:color="auto"/>
                <w:lang w:val="en-US" w:eastAsia="zh-CN"/>
              </w:rPr>
              <w:t>10</w:t>
            </w:r>
            <w:r>
              <w:rPr>
                <w:rFonts w:hint="default" w:ascii="Times New Roman" w:hAnsi="Times New Roman" w:eastAsia="宋体" w:cs="Times New Roman"/>
                <w:b/>
                <w:bCs/>
                <w:color w:val="auto"/>
                <w:sz w:val="24"/>
                <w:highlight w:val="none"/>
                <w:u w:val="none" w:color="auto"/>
                <w:lang w:val="en-US" w:eastAsia="zh-CN"/>
              </w:rPr>
              <w:t xml:space="preserve">    </w:t>
            </w:r>
            <w:r>
              <w:rPr>
                <w:rFonts w:hint="default" w:ascii="Times New Roman" w:hAnsi="Times New Roman" w:eastAsia="宋体" w:cs="Times New Roman"/>
                <w:b/>
                <w:bCs/>
                <w:color w:val="auto"/>
                <w:sz w:val="24"/>
                <w:highlight w:val="none"/>
                <w:u w:val="none" w:color="auto"/>
              </w:rPr>
              <w:t>本项目产污环节一览表</w:t>
            </w:r>
          </w:p>
          <w:tbl>
            <w:tblPr>
              <w:tblStyle w:val="3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6"/>
              <w:gridCol w:w="1761"/>
              <w:gridCol w:w="1782"/>
              <w:gridCol w:w="3565"/>
            </w:tblGrid>
            <w:tr w14:paraId="63CF3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noWrap w:val="0"/>
                  <w:vAlign w:val="center"/>
                </w:tcPr>
                <w:p w14:paraId="5B8B2BD3">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项目</w:t>
                  </w:r>
                </w:p>
              </w:tc>
              <w:tc>
                <w:tcPr>
                  <w:tcW w:w="2177" w:type="pct"/>
                  <w:gridSpan w:val="2"/>
                  <w:noWrap w:val="0"/>
                  <w:vAlign w:val="center"/>
                </w:tcPr>
                <w:p w14:paraId="04C11063">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产污环节</w:t>
                  </w:r>
                </w:p>
              </w:tc>
              <w:tc>
                <w:tcPr>
                  <w:tcW w:w="2191" w:type="pct"/>
                  <w:noWrap w:val="0"/>
                  <w:vAlign w:val="center"/>
                </w:tcPr>
                <w:p w14:paraId="7FC96598">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污染因子</w:t>
                  </w:r>
                </w:p>
              </w:tc>
            </w:tr>
            <w:tr w14:paraId="18A7B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restart"/>
                  <w:noWrap w:val="0"/>
                  <w:vAlign w:val="center"/>
                </w:tcPr>
                <w:p w14:paraId="5106523A">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废水</w:t>
                  </w:r>
                </w:p>
              </w:tc>
              <w:tc>
                <w:tcPr>
                  <w:tcW w:w="2177" w:type="pct"/>
                  <w:gridSpan w:val="2"/>
                  <w:noWrap w:val="0"/>
                  <w:vAlign w:val="center"/>
                </w:tcPr>
                <w:p w14:paraId="249BDC2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sz w:val="21"/>
                      <w:szCs w:val="21"/>
                      <w:u w:val="none" w:color="auto"/>
                      <w:lang w:val="en-US" w:eastAsia="zh-CN"/>
                    </w:rPr>
                    <w:t>师生日常生活污水</w:t>
                  </w:r>
                </w:p>
              </w:tc>
              <w:tc>
                <w:tcPr>
                  <w:tcW w:w="2191" w:type="pct"/>
                  <w:noWrap w:val="0"/>
                  <w:vAlign w:val="center"/>
                </w:tcPr>
                <w:p w14:paraId="3B5A2E21">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u w:val="none" w:color="auto"/>
                    </w:rPr>
                    <w:t>COD、BOD</w:t>
                  </w:r>
                  <w:r>
                    <w:rPr>
                      <w:rFonts w:hint="default" w:ascii="Times New Roman" w:hAnsi="Times New Roman" w:eastAsia="宋体" w:cs="Times New Roman"/>
                      <w:color w:val="auto"/>
                      <w:sz w:val="21"/>
                      <w:szCs w:val="21"/>
                      <w:u w:val="none" w:color="auto"/>
                      <w:vertAlign w:val="subscript"/>
                    </w:rPr>
                    <w:t>5</w:t>
                  </w:r>
                  <w:r>
                    <w:rPr>
                      <w:rFonts w:hint="default" w:ascii="Times New Roman" w:hAnsi="Times New Roman" w:eastAsia="宋体" w:cs="Times New Roman"/>
                      <w:color w:val="auto"/>
                      <w:sz w:val="21"/>
                      <w:szCs w:val="21"/>
                      <w:u w:val="none" w:color="auto"/>
                    </w:rPr>
                    <w:t>、NH</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rPr>
                    <w:t>-N、SS、pH</w:t>
                  </w:r>
                </w:p>
              </w:tc>
            </w:tr>
            <w:tr w14:paraId="083F7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6EFACC95">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p>
              </w:tc>
              <w:tc>
                <w:tcPr>
                  <w:tcW w:w="2177" w:type="pct"/>
                  <w:gridSpan w:val="2"/>
                  <w:noWrap w:val="0"/>
                  <w:vAlign w:val="center"/>
                </w:tcPr>
                <w:p w14:paraId="7F8E354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sz w:val="21"/>
                      <w:szCs w:val="21"/>
                      <w:u w:val="none" w:color="auto"/>
                      <w:lang w:val="en-US" w:eastAsia="zh-CN"/>
                    </w:rPr>
                    <w:t>餐厅废水</w:t>
                  </w:r>
                </w:p>
              </w:tc>
              <w:tc>
                <w:tcPr>
                  <w:tcW w:w="2191" w:type="pct"/>
                  <w:noWrap w:val="0"/>
                  <w:vAlign w:val="center"/>
                </w:tcPr>
                <w:p w14:paraId="4702A3CB">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u w:val="none" w:color="auto"/>
                    </w:rPr>
                    <w:t>COD、BOD</w:t>
                  </w:r>
                  <w:r>
                    <w:rPr>
                      <w:rFonts w:hint="default" w:ascii="Times New Roman" w:hAnsi="Times New Roman" w:eastAsia="宋体" w:cs="Times New Roman"/>
                      <w:color w:val="auto"/>
                      <w:sz w:val="21"/>
                      <w:szCs w:val="21"/>
                      <w:u w:val="none" w:color="auto"/>
                      <w:vertAlign w:val="subscript"/>
                    </w:rPr>
                    <w:t>5</w:t>
                  </w:r>
                  <w:r>
                    <w:rPr>
                      <w:rFonts w:hint="default" w:ascii="Times New Roman" w:hAnsi="Times New Roman" w:eastAsia="宋体" w:cs="Times New Roman"/>
                      <w:color w:val="auto"/>
                      <w:sz w:val="21"/>
                      <w:szCs w:val="21"/>
                      <w:u w:val="none" w:color="auto"/>
                    </w:rPr>
                    <w:t>、NH</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rPr>
                    <w:t>-N、SS、pH</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动植物油</w:t>
                  </w:r>
                </w:p>
              </w:tc>
            </w:tr>
            <w:tr w14:paraId="33EF9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2716C91E">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p>
              </w:tc>
              <w:tc>
                <w:tcPr>
                  <w:tcW w:w="2177" w:type="pct"/>
                  <w:gridSpan w:val="2"/>
                  <w:noWrap w:val="0"/>
                  <w:vAlign w:val="center"/>
                </w:tcPr>
                <w:p w14:paraId="10453B7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u w:val="none" w:color="auto"/>
                      <w:lang w:val="en-US" w:eastAsia="zh-CN"/>
                    </w:rPr>
                    <w:t>实验室废水</w:t>
                  </w:r>
                </w:p>
              </w:tc>
              <w:tc>
                <w:tcPr>
                  <w:tcW w:w="2191" w:type="pct"/>
                  <w:noWrap w:val="0"/>
                  <w:vAlign w:val="center"/>
                </w:tcPr>
                <w:p w14:paraId="7444D44A">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u w:val="none" w:color="auto"/>
                    </w:rPr>
                    <w:t>COD、BOD</w:t>
                  </w:r>
                  <w:r>
                    <w:rPr>
                      <w:rFonts w:hint="default" w:ascii="Times New Roman" w:hAnsi="Times New Roman" w:eastAsia="宋体" w:cs="Times New Roman"/>
                      <w:color w:val="auto"/>
                      <w:sz w:val="21"/>
                      <w:szCs w:val="21"/>
                      <w:u w:val="none" w:color="auto"/>
                      <w:vertAlign w:val="subscript"/>
                    </w:rPr>
                    <w:t>5</w:t>
                  </w:r>
                  <w:r>
                    <w:rPr>
                      <w:rFonts w:hint="default" w:ascii="Times New Roman" w:hAnsi="Times New Roman" w:eastAsia="宋体" w:cs="Times New Roman"/>
                      <w:color w:val="auto"/>
                      <w:sz w:val="21"/>
                      <w:szCs w:val="21"/>
                      <w:u w:val="none" w:color="auto"/>
                    </w:rPr>
                    <w:t>、NH</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rPr>
                    <w:t>-N、SS、pH</w:t>
                  </w:r>
                </w:p>
              </w:tc>
            </w:tr>
            <w:tr w14:paraId="7C475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restart"/>
                  <w:noWrap w:val="0"/>
                  <w:vAlign w:val="center"/>
                </w:tcPr>
                <w:p w14:paraId="67EBB3D1">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废气</w:t>
                  </w:r>
                </w:p>
              </w:tc>
              <w:tc>
                <w:tcPr>
                  <w:tcW w:w="1082" w:type="pct"/>
                  <w:vMerge w:val="restart"/>
                  <w:noWrap w:val="0"/>
                  <w:vAlign w:val="center"/>
                </w:tcPr>
                <w:p w14:paraId="22E7EB20">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有组织</w:t>
                  </w:r>
                </w:p>
              </w:tc>
              <w:tc>
                <w:tcPr>
                  <w:tcW w:w="1094" w:type="pct"/>
                  <w:noWrap w:val="0"/>
                  <w:vAlign w:val="center"/>
                </w:tcPr>
                <w:p w14:paraId="6D8CD030">
                  <w:pPr>
                    <w:pStyle w:val="149"/>
                    <w:keepNext w:val="0"/>
                    <w:keepLines w:val="0"/>
                    <w:pageBreakBefore w:val="0"/>
                    <w:wordWrap/>
                    <w:overflowPunct/>
                    <w:topLinePunct w:val="0"/>
                    <w:bidi w:val="0"/>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u w:val="none" w:color="auto"/>
                    </w:rPr>
                    <w:t>实验室废气</w:t>
                  </w:r>
                </w:p>
              </w:tc>
              <w:tc>
                <w:tcPr>
                  <w:tcW w:w="2191" w:type="pct"/>
                  <w:noWrap w:val="0"/>
                  <w:vAlign w:val="center"/>
                </w:tcPr>
                <w:p w14:paraId="4A3B0E52">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氯化氢、硫酸雾等</w:t>
                  </w:r>
                </w:p>
              </w:tc>
            </w:tr>
            <w:tr w14:paraId="6079F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01F2162F">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082" w:type="pct"/>
                  <w:vMerge w:val="continue"/>
                  <w:noWrap w:val="0"/>
                  <w:vAlign w:val="center"/>
                </w:tcPr>
                <w:p w14:paraId="0B88519C">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094" w:type="pct"/>
                  <w:vMerge w:val="restart"/>
                  <w:noWrap w:val="0"/>
                  <w:vAlign w:val="center"/>
                </w:tcPr>
                <w:p w14:paraId="1F59AB6E">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bidi="ar"/>
                    </w:rPr>
                    <w:t>餐厅</w:t>
                  </w:r>
                  <w:r>
                    <w:rPr>
                      <w:rFonts w:hint="default" w:ascii="Times New Roman" w:hAnsi="Times New Roman" w:eastAsia="宋体" w:cs="Times New Roman"/>
                      <w:color w:val="auto"/>
                      <w:sz w:val="21"/>
                      <w:szCs w:val="21"/>
                      <w:highlight w:val="none"/>
                      <w:u w:val="none" w:color="auto"/>
                      <w:lang w:val="en-US" w:eastAsia="zh-CN" w:bidi="ar"/>
                    </w:rPr>
                    <w:t>废气</w:t>
                  </w:r>
                </w:p>
              </w:tc>
              <w:tc>
                <w:tcPr>
                  <w:tcW w:w="2191" w:type="pct"/>
                  <w:noWrap w:val="0"/>
                  <w:vAlign w:val="center"/>
                </w:tcPr>
                <w:p w14:paraId="03553454">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油烟</w:t>
                  </w:r>
                </w:p>
              </w:tc>
            </w:tr>
            <w:tr w14:paraId="6ED5D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018F9096">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082" w:type="pct"/>
                  <w:vMerge w:val="continue"/>
                  <w:noWrap w:val="0"/>
                  <w:vAlign w:val="center"/>
                </w:tcPr>
                <w:p w14:paraId="0D637F9D">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094" w:type="pct"/>
                  <w:vMerge w:val="continue"/>
                  <w:noWrap w:val="0"/>
                  <w:vAlign w:val="center"/>
                </w:tcPr>
                <w:p w14:paraId="4E69C990">
                  <w:pPr>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2191" w:type="pct"/>
                  <w:noWrap w:val="0"/>
                  <w:vAlign w:val="center"/>
                </w:tcPr>
                <w:p w14:paraId="0AD047C5">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非甲烷总烃</w:t>
                  </w:r>
                </w:p>
              </w:tc>
            </w:tr>
            <w:tr w14:paraId="1BE93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2CD5F5A1">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082" w:type="pct"/>
                  <w:vMerge w:val="restart"/>
                  <w:noWrap w:val="0"/>
                  <w:vAlign w:val="center"/>
                </w:tcPr>
                <w:p w14:paraId="47DB045E">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无组织</w:t>
                  </w:r>
                </w:p>
              </w:tc>
              <w:tc>
                <w:tcPr>
                  <w:tcW w:w="1094" w:type="pct"/>
                  <w:vMerge w:val="restart"/>
                  <w:noWrap w:val="0"/>
                  <w:vAlign w:val="center"/>
                </w:tcPr>
                <w:p w14:paraId="38CBEF02">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bidi="ar"/>
                    </w:rPr>
                    <w:t>餐厅</w:t>
                  </w:r>
                  <w:r>
                    <w:rPr>
                      <w:rFonts w:hint="default" w:ascii="Times New Roman" w:hAnsi="Times New Roman" w:eastAsia="宋体" w:cs="Times New Roman"/>
                      <w:color w:val="auto"/>
                      <w:sz w:val="21"/>
                      <w:szCs w:val="21"/>
                      <w:highlight w:val="none"/>
                      <w:u w:val="none" w:color="auto"/>
                      <w:lang w:val="en-US" w:eastAsia="zh-CN" w:bidi="ar"/>
                    </w:rPr>
                    <w:t>废气</w:t>
                  </w:r>
                </w:p>
              </w:tc>
              <w:tc>
                <w:tcPr>
                  <w:tcW w:w="2191" w:type="pct"/>
                  <w:noWrap w:val="0"/>
                  <w:vAlign w:val="center"/>
                </w:tcPr>
                <w:p w14:paraId="476642E8">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油烟</w:t>
                  </w:r>
                </w:p>
              </w:tc>
            </w:tr>
            <w:tr w14:paraId="3FDC5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46A58FAD">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082" w:type="pct"/>
                  <w:vMerge w:val="continue"/>
                  <w:noWrap w:val="0"/>
                  <w:vAlign w:val="center"/>
                </w:tcPr>
                <w:p w14:paraId="73EA1552">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094" w:type="pct"/>
                  <w:vMerge w:val="continue"/>
                  <w:noWrap w:val="0"/>
                  <w:vAlign w:val="center"/>
                </w:tcPr>
                <w:p w14:paraId="47429D97">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p>
              </w:tc>
              <w:tc>
                <w:tcPr>
                  <w:tcW w:w="2191" w:type="pct"/>
                  <w:noWrap w:val="0"/>
                  <w:vAlign w:val="center"/>
                </w:tcPr>
                <w:p w14:paraId="1D4C18D7">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非甲烷总烃</w:t>
                  </w:r>
                </w:p>
              </w:tc>
            </w:tr>
            <w:tr w14:paraId="19594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3EE563A5">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082" w:type="pct"/>
                  <w:vMerge w:val="continue"/>
                  <w:noWrap w:val="0"/>
                  <w:vAlign w:val="center"/>
                </w:tcPr>
                <w:p w14:paraId="3A20B79C">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p>
              </w:tc>
              <w:tc>
                <w:tcPr>
                  <w:tcW w:w="1094" w:type="pct"/>
                  <w:noWrap w:val="0"/>
                  <w:vAlign w:val="center"/>
                </w:tcPr>
                <w:p w14:paraId="17E58840">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bidi="ar"/>
                    </w:rPr>
                    <w:t>实验室</w:t>
                  </w:r>
                  <w:r>
                    <w:rPr>
                      <w:rFonts w:hint="default" w:ascii="Times New Roman" w:hAnsi="Times New Roman" w:eastAsia="宋体" w:cs="Times New Roman"/>
                      <w:color w:val="auto"/>
                      <w:sz w:val="21"/>
                      <w:szCs w:val="21"/>
                      <w:highlight w:val="none"/>
                      <w:u w:val="none" w:color="auto"/>
                      <w:lang w:val="en-US" w:eastAsia="zh-CN" w:bidi="ar"/>
                    </w:rPr>
                    <w:t>未收集的</w:t>
                  </w:r>
                  <w:r>
                    <w:rPr>
                      <w:rFonts w:hint="default" w:ascii="Times New Roman" w:hAnsi="Times New Roman" w:eastAsia="宋体" w:cs="Times New Roman"/>
                      <w:color w:val="auto"/>
                      <w:sz w:val="21"/>
                      <w:szCs w:val="21"/>
                      <w:highlight w:val="none"/>
                      <w:u w:val="none" w:color="auto"/>
                      <w:lang w:bidi="ar"/>
                    </w:rPr>
                    <w:t>废气</w:t>
                  </w:r>
                </w:p>
              </w:tc>
              <w:tc>
                <w:tcPr>
                  <w:tcW w:w="2191" w:type="pct"/>
                  <w:noWrap w:val="0"/>
                  <w:vAlign w:val="center"/>
                </w:tcPr>
                <w:p w14:paraId="178ECB5B">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氯化氢、硫酸雾等</w:t>
                  </w:r>
                </w:p>
              </w:tc>
            </w:tr>
            <w:tr w14:paraId="535D7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restart"/>
                  <w:noWrap w:val="0"/>
                  <w:vAlign w:val="center"/>
                </w:tcPr>
                <w:p w14:paraId="658A07C6">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固废</w:t>
                  </w:r>
                </w:p>
              </w:tc>
              <w:tc>
                <w:tcPr>
                  <w:tcW w:w="2177" w:type="pct"/>
                  <w:gridSpan w:val="2"/>
                  <w:noWrap w:val="0"/>
                  <w:vAlign w:val="center"/>
                </w:tcPr>
                <w:p w14:paraId="355FDF78">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u w:val="none" w:color="auto"/>
                      <w:lang w:val="en-US" w:eastAsia="zh-CN"/>
                    </w:rPr>
                    <w:t>教职工及学生日常</w:t>
                  </w:r>
                  <w:r>
                    <w:rPr>
                      <w:rFonts w:hint="default" w:ascii="Times New Roman" w:hAnsi="Times New Roman" w:eastAsia="宋体" w:cs="Times New Roman"/>
                      <w:bCs/>
                      <w:color w:val="auto"/>
                      <w:kern w:val="0"/>
                      <w:sz w:val="21"/>
                      <w:szCs w:val="21"/>
                      <w:u w:val="none" w:color="auto"/>
                    </w:rPr>
                    <w:t>生活</w:t>
                  </w:r>
                </w:p>
              </w:tc>
              <w:tc>
                <w:tcPr>
                  <w:tcW w:w="2191" w:type="pct"/>
                  <w:noWrap w:val="0"/>
                  <w:vAlign w:val="center"/>
                </w:tcPr>
                <w:p w14:paraId="2D73B110">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u w:val="none" w:color="auto"/>
                      <w:lang w:val="en-US" w:eastAsia="zh-CN"/>
                    </w:rPr>
                    <w:t>教职工及学生日常</w:t>
                  </w:r>
                  <w:r>
                    <w:rPr>
                      <w:rFonts w:hint="default" w:ascii="Times New Roman" w:hAnsi="Times New Roman" w:eastAsia="宋体" w:cs="Times New Roman"/>
                      <w:bCs/>
                      <w:color w:val="auto"/>
                      <w:kern w:val="0"/>
                      <w:sz w:val="21"/>
                      <w:szCs w:val="21"/>
                      <w:u w:val="none" w:color="auto"/>
                    </w:rPr>
                    <w:t>生活垃圾</w:t>
                  </w:r>
                </w:p>
              </w:tc>
            </w:tr>
            <w:tr w14:paraId="09760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104FF459">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p>
              </w:tc>
              <w:tc>
                <w:tcPr>
                  <w:tcW w:w="2177" w:type="pct"/>
                  <w:gridSpan w:val="2"/>
                  <w:noWrap w:val="0"/>
                  <w:vAlign w:val="center"/>
                </w:tcPr>
                <w:p w14:paraId="11267390">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u w:val="none" w:color="auto"/>
                    </w:rPr>
                    <w:t>化粪池</w:t>
                  </w:r>
                </w:p>
              </w:tc>
              <w:tc>
                <w:tcPr>
                  <w:tcW w:w="2191" w:type="pct"/>
                  <w:noWrap w:val="0"/>
                  <w:vAlign w:val="center"/>
                </w:tcPr>
                <w:p w14:paraId="4B4CF0D3">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kern w:val="0"/>
                      <w:sz w:val="21"/>
                      <w:szCs w:val="21"/>
                      <w:u w:val="none" w:color="auto"/>
                    </w:rPr>
                    <w:t>化粪池污泥</w:t>
                  </w:r>
                </w:p>
              </w:tc>
            </w:tr>
            <w:tr w14:paraId="6042C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4E85D268">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p>
              </w:tc>
              <w:tc>
                <w:tcPr>
                  <w:tcW w:w="2177" w:type="pct"/>
                  <w:gridSpan w:val="2"/>
                  <w:noWrap w:val="0"/>
                  <w:vAlign w:val="center"/>
                </w:tcPr>
                <w:p w14:paraId="4CE683C2">
                  <w:pPr>
                    <w:keepNext w:val="0"/>
                    <w:keepLines w:val="0"/>
                    <w:pageBreakBefore w:val="0"/>
                    <w:wordWrap/>
                    <w:overflowPunct/>
                    <w:topLinePunct w:val="0"/>
                    <w:bidi w:val="0"/>
                    <w:jc w:val="center"/>
                    <w:rPr>
                      <w:rFonts w:hint="eastAsia"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u w:val="none" w:color="auto"/>
                      <w:lang w:eastAsia="zh-CN"/>
                    </w:rPr>
                    <w:t>餐厅</w:t>
                  </w:r>
                </w:p>
              </w:tc>
              <w:tc>
                <w:tcPr>
                  <w:tcW w:w="2191" w:type="pct"/>
                  <w:noWrap w:val="0"/>
                  <w:vAlign w:val="center"/>
                </w:tcPr>
                <w:p w14:paraId="31D1F86C">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r>
                    <w:rPr>
                      <w:rStyle w:val="42"/>
                      <w:rFonts w:hint="default" w:ascii="Times New Roman" w:hAnsi="Times New Roman" w:eastAsia="宋体" w:cs="Times New Roman"/>
                      <w:color w:val="auto"/>
                      <w:kern w:val="0"/>
                      <w:sz w:val="21"/>
                      <w:szCs w:val="21"/>
                      <w:u w:val="none" w:color="auto"/>
                    </w:rPr>
                    <w:t>餐厨垃圾</w:t>
                  </w:r>
                </w:p>
              </w:tc>
            </w:tr>
            <w:tr w14:paraId="172F7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298C4A74">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p>
              </w:tc>
              <w:tc>
                <w:tcPr>
                  <w:tcW w:w="2177" w:type="pct"/>
                  <w:gridSpan w:val="2"/>
                  <w:noWrap w:val="0"/>
                  <w:vAlign w:val="center"/>
                </w:tcPr>
                <w:p w14:paraId="4747F399">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u w:val="none" w:color="auto"/>
                    </w:rPr>
                    <w:t>隔油池</w:t>
                  </w:r>
                </w:p>
              </w:tc>
              <w:tc>
                <w:tcPr>
                  <w:tcW w:w="2191" w:type="pct"/>
                  <w:noWrap w:val="0"/>
                  <w:vAlign w:val="center"/>
                </w:tcPr>
                <w:p w14:paraId="1B5B213F">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r>
                    <w:rPr>
                      <w:rStyle w:val="42"/>
                      <w:rFonts w:hint="default" w:ascii="Times New Roman" w:hAnsi="Times New Roman" w:eastAsia="宋体" w:cs="Times New Roman"/>
                      <w:color w:val="auto"/>
                      <w:kern w:val="0"/>
                      <w:sz w:val="21"/>
                      <w:szCs w:val="21"/>
                      <w:u w:val="none" w:color="auto"/>
                    </w:rPr>
                    <w:t>隔油池废油脂</w:t>
                  </w:r>
                </w:p>
              </w:tc>
            </w:tr>
            <w:tr w14:paraId="1AC91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020ECB15">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p>
              </w:tc>
              <w:tc>
                <w:tcPr>
                  <w:tcW w:w="2177" w:type="pct"/>
                  <w:gridSpan w:val="2"/>
                  <w:noWrap w:val="0"/>
                  <w:vAlign w:val="center"/>
                </w:tcPr>
                <w:p w14:paraId="1B92127F">
                  <w:pPr>
                    <w:pStyle w:val="88"/>
                    <w:keepNext w:val="0"/>
                    <w:keepLines w:val="0"/>
                    <w:pageBreakBefore w:val="0"/>
                    <w:wordWrap/>
                    <w:overflowPunct/>
                    <w:topLinePunct w:val="0"/>
                    <w:bidi w:val="0"/>
                    <w:snapToGrid w:val="0"/>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u w:val="none" w:color="auto"/>
                    </w:rPr>
                    <w:t>有机废气治理设施</w:t>
                  </w:r>
                </w:p>
              </w:tc>
              <w:tc>
                <w:tcPr>
                  <w:tcW w:w="2191" w:type="pct"/>
                  <w:noWrap w:val="0"/>
                  <w:vAlign w:val="center"/>
                </w:tcPr>
                <w:p w14:paraId="3281F411">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u w:val="none" w:color="auto"/>
                    </w:rPr>
                    <w:t>废活性炭</w:t>
                  </w:r>
                </w:p>
              </w:tc>
            </w:tr>
            <w:tr w14:paraId="4466B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749E3A9A">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p>
              </w:tc>
              <w:tc>
                <w:tcPr>
                  <w:tcW w:w="2177" w:type="pct"/>
                  <w:gridSpan w:val="2"/>
                  <w:noWrap w:val="0"/>
                  <w:vAlign w:val="center"/>
                </w:tcPr>
                <w:p w14:paraId="123CE949">
                  <w:pPr>
                    <w:pStyle w:val="88"/>
                    <w:keepNext w:val="0"/>
                    <w:keepLines w:val="0"/>
                    <w:pageBreakBefore w:val="0"/>
                    <w:wordWrap/>
                    <w:overflowPunct/>
                    <w:topLinePunct w:val="0"/>
                    <w:bidi w:val="0"/>
                    <w:snapToGrid w:val="0"/>
                    <w:rPr>
                      <w:rFonts w:hint="default" w:ascii="Times New Roman" w:hAnsi="Times New Roman" w:eastAsia="宋体" w:cs="Times New Roman"/>
                      <w:bCs/>
                      <w:color w:val="auto"/>
                      <w:kern w:val="0"/>
                      <w:sz w:val="21"/>
                      <w:szCs w:val="21"/>
                      <w:highlight w:val="none"/>
                      <w:u w:val="none" w:color="auto"/>
                    </w:rPr>
                  </w:pPr>
                  <w:r>
                    <w:rPr>
                      <w:rFonts w:hint="default" w:ascii="Times New Roman" w:hAnsi="Times New Roman" w:eastAsia="宋体" w:cs="Times New Roman"/>
                      <w:color w:val="auto"/>
                      <w:sz w:val="21"/>
                      <w:szCs w:val="21"/>
                      <w:u w:val="none" w:color="auto"/>
                      <w:lang w:val="en-US" w:eastAsia="zh-CN"/>
                    </w:rPr>
                    <w:t>柴油使用过程</w:t>
                  </w:r>
                </w:p>
              </w:tc>
              <w:tc>
                <w:tcPr>
                  <w:tcW w:w="2191" w:type="pct"/>
                  <w:noWrap w:val="0"/>
                  <w:vAlign w:val="center"/>
                </w:tcPr>
                <w:p w14:paraId="5A130CF6">
                  <w:pPr>
                    <w:keepNext w:val="0"/>
                    <w:keepLines w:val="0"/>
                    <w:pageBreakBefore w:val="0"/>
                    <w:wordWrap/>
                    <w:overflowPunct/>
                    <w:topLinePunct w:val="0"/>
                    <w:bidi w:val="0"/>
                    <w:jc w:val="center"/>
                    <w:rPr>
                      <w:rFonts w:hint="default" w:ascii="Times New Roman" w:hAnsi="Times New Roman" w:eastAsia="宋体" w:cs="Times New Roman"/>
                      <w:bCs/>
                      <w:color w:val="auto"/>
                      <w:kern w:val="0"/>
                      <w:sz w:val="21"/>
                      <w:szCs w:val="21"/>
                      <w:highlight w:val="none"/>
                      <w:u w:val="none" w:color="auto"/>
                    </w:rPr>
                  </w:pPr>
                  <w:r>
                    <w:rPr>
                      <w:rFonts w:hint="default" w:ascii="Times New Roman" w:hAnsi="Times New Roman" w:eastAsia="宋体" w:cs="Times New Roman"/>
                      <w:color w:val="auto"/>
                      <w:sz w:val="21"/>
                      <w:szCs w:val="21"/>
                      <w:u w:val="none" w:color="auto"/>
                    </w:rPr>
                    <w:t>废</w:t>
                  </w:r>
                  <w:r>
                    <w:rPr>
                      <w:rFonts w:hint="default" w:ascii="Times New Roman" w:hAnsi="Times New Roman" w:eastAsia="宋体" w:cs="Times New Roman"/>
                      <w:color w:val="auto"/>
                      <w:sz w:val="21"/>
                      <w:szCs w:val="21"/>
                      <w:u w:val="none" w:color="auto"/>
                      <w:lang w:val="en-US" w:eastAsia="zh-CN"/>
                    </w:rPr>
                    <w:t>柴油</w:t>
                  </w:r>
                  <w:r>
                    <w:rPr>
                      <w:rFonts w:hint="default" w:ascii="Times New Roman" w:hAnsi="Times New Roman" w:eastAsia="宋体" w:cs="Times New Roman"/>
                      <w:color w:val="auto"/>
                      <w:sz w:val="21"/>
                      <w:szCs w:val="21"/>
                      <w:u w:val="none" w:color="auto"/>
                    </w:rPr>
                    <w:t>桶</w:t>
                  </w:r>
                </w:p>
              </w:tc>
            </w:tr>
            <w:tr w14:paraId="6610E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vMerge w:val="continue"/>
                  <w:noWrap w:val="0"/>
                  <w:vAlign w:val="center"/>
                </w:tcPr>
                <w:p w14:paraId="1E40B8E5">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p>
              </w:tc>
              <w:tc>
                <w:tcPr>
                  <w:tcW w:w="2177" w:type="pct"/>
                  <w:gridSpan w:val="2"/>
                  <w:noWrap w:val="0"/>
                  <w:vAlign w:val="center"/>
                </w:tcPr>
                <w:p w14:paraId="0CCC8064">
                  <w:pPr>
                    <w:pStyle w:val="88"/>
                    <w:keepNext w:val="0"/>
                    <w:keepLines w:val="0"/>
                    <w:pageBreakBefore w:val="0"/>
                    <w:wordWrap/>
                    <w:overflowPunct/>
                    <w:topLinePunct w:val="0"/>
                    <w:bidi w:val="0"/>
                    <w:snapToGrid w:val="0"/>
                    <w:rPr>
                      <w:rFonts w:hint="default" w:ascii="Times New Roman" w:hAnsi="Times New Roman" w:eastAsia="宋体" w:cs="Times New Roman"/>
                      <w:bCs/>
                      <w:color w:val="auto"/>
                      <w:kern w:val="0"/>
                      <w:sz w:val="21"/>
                      <w:szCs w:val="21"/>
                      <w:highlight w:val="none"/>
                      <w:u w:val="none" w:color="auto"/>
                    </w:rPr>
                  </w:pPr>
                  <w:r>
                    <w:rPr>
                      <w:rFonts w:hint="default" w:ascii="Times New Roman" w:hAnsi="Times New Roman" w:eastAsia="宋体" w:cs="Times New Roman"/>
                      <w:color w:val="auto"/>
                      <w:sz w:val="21"/>
                      <w:szCs w:val="21"/>
                      <w:u w:val="none" w:color="auto"/>
                      <w:lang w:val="en-US" w:eastAsia="zh-CN"/>
                    </w:rPr>
                    <w:t>实验课使用过程</w:t>
                  </w:r>
                </w:p>
              </w:tc>
              <w:tc>
                <w:tcPr>
                  <w:tcW w:w="2191" w:type="pct"/>
                  <w:noWrap w:val="0"/>
                  <w:vAlign w:val="center"/>
                </w:tcPr>
                <w:p w14:paraId="1ED74754">
                  <w:pPr>
                    <w:keepNext w:val="0"/>
                    <w:keepLines w:val="0"/>
                    <w:pageBreakBefore w:val="0"/>
                    <w:wordWrap/>
                    <w:overflowPunct/>
                    <w:topLinePunct w:val="0"/>
                    <w:bidi w:val="0"/>
                    <w:jc w:val="center"/>
                    <w:rPr>
                      <w:rFonts w:hint="default" w:ascii="Times New Roman" w:hAnsi="Times New Roman" w:eastAsia="宋体" w:cs="Times New Roman"/>
                      <w:bCs/>
                      <w:color w:val="auto"/>
                      <w:kern w:val="0"/>
                      <w:sz w:val="21"/>
                      <w:szCs w:val="21"/>
                      <w:highlight w:val="none"/>
                      <w:u w:val="none" w:color="auto"/>
                    </w:rPr>
                  </w:pPr>
                  <w:r>
                    <w:rPr>
                      <w:rFonts w:hint="default" w:ascii="Times New Roman" w:hAnsi="Times New Roman" w:eastAsia="宋体" w:cs="Times New Roman"/>
                      <w:color w:val="auto"/>
                      <w:sz w:val="21"/>
                      <w:szCs w:val="21"/>
                      <w:u w:val="none" w:color="auto"/>
                    </w:rPr>
                    <w:t>实验室危险废物</w:t>
                  </w:r>
                </w:p>
              </w:tc>
            </w:tr>
            <w:tr w14:paraId="59703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31" w:type="pct"/>
                  <w:noWrap w:val="0"/>
                  <w:vAlign w:val="center"/>
                </w:tcPr>
                <w:p w14:paraId="2E95095E">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噪声</w:t>
                  </w:r>
                </w:p>
              </w:tc>
              <w:tc>
                <w:tcPr>
                  <w:tcW w:w="2177" w:type="pct"/>
                  <w:gridSpan w:val="2"/>
                  <w:noWrap w:val="0"/>
                  <w:vAlign w:val="center"/>
                </w:tcPr>
                <w:p w14:paraId="5410736D">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u w:val="none" w:color="auto"/>
                      <w:lang w:val="en-US" w:eastAsia="zh-CN"/>
                    </w:rPr>
                    <w:t>二级活性炭配套风机等</w:t>
                  </w:r>
                  <w:r>
                    <w:rPr>
                      <w:rFonts w:hint="default" w:ascii="Times New Roman" w:hAnsi="Times New Roman" w:eastAsia="宋体" w:cs="Times New Roman"/>
                      <w:color w:val="auto"/>
                      <w:sz w:val="21"/>
                      <w:szCs w:val="21"/>
                      <w:u w:val="none" w:color="auto"/>
                    </w:rPr>
                    <w:t>设备运行过程产生的噪声</w:t>
                  </w:r>
                </w:p>
              </w:tc>
              <w:tc>
                <w:tcPr>
                  <w:tcW w:w="2191" w:type="pct"/>
                  <w:noWrap w:val="0"/>
                  <w:vAlign w:val="center"/>
                </w:tcPr>
                <w:p w14:paraId="4608DD63">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u w:val="none" w:color="auto"/>
                    </w:rPr>
                    <w:t>机械噪声</w:t>
                  </w:r>
                </w:p>
              </w:tc>
            </w:tr>
          </w:tbl>
          <w:p w14:paraId="692C0671">
            <w:pPr>
              <w:rPr>
                <w:rFonts w:hint="default" w:ascii="Times New Roman" w:hAnsi="Times New Roman" w:cs="Times New Roman"/>
                <w:color w:val="auto"/>
                <w:sz w:val="24"/>
                <w:highlight w:val="none"/>
                <w:u w:val="none" w:color="auto"/>
              </w:rPr>
            </w:pPr>
          </w:p>
        </w:tc>
      </w:tr>
      <w:tr w14:paraId="445715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66" w:hRule="atLeast"/>
          <w:jc w:val="center"/>
        </w:trPr>
        <w:tc>
          <w:tcPr>
            <w:tcW w:w="386" w:type="pct"/>
            <w:noWrap w:val="0"/>
            <w:vAlign w:val="center"/>
          </w:tcPr>
          <w:p w14:paraId="6F7C52C9">
            <w:pPr>
              <w:pStyle w:val="32"/>
              <w:adjustRightInd w:val="0"/>
              <w:snapToGrid w:val="0"/>
              <w:spacing w:before="0" w:beforeAutospacing="0" w:after="0" w:afterAutospacing="0"/>
              <w:jc w:val="center"/>
              <w:rPr>
                <w:rFonts w:hint="default" w:ascii="Times New Roman" w:hAnsi="Times New Roman" w:cs="Times New Roman"/>
                <w:color w:val="auto"/>
                <w:szCs w:val="24"/>
                <w:highlight w:val="none"/>
                <w:u w:val="none" w:color="auto"/>
              </w:rPr>
            </w:pPr>
            <w:r>
              <w:rPr>
                <w:rFonts w:hint="default" w:ascii="Times New Roman" w:hAnsi="Times New Roman" w:cs="Times New Roman"/>
                <w:bCs/>
                <w:color w:val="auto"/>
                <w:kern w:val="2"/>
                <w:szCs w:val="24"/>
                <w:highlight w:val="none"/>
                <w:u w:val="none" w:color="auto"/>
              </w:rPr>
              <w:t>与项目有关的原有环境污染问题</w:t>
            </w:r>
          </w:p>
        </w:tc>
        <w:tc>
          <w:tcPr>
            <w:tcW w:w="4613" w:type="pct"/>
            <w:noWrap w:val="0"/>
            <w:vAlign w:val="center"/>
          </w:tcPr>
          <w:p w14:paraId="4EE3A85F">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eastAsia" w:cs="Times New Roman"/>
                <w:color w:val="auto"/>
                <w:sz w:val="24"/>
                <w:highlight w:val="none"/>
                <w:u w:val="none" w:color="auto"/>
                <w:lang w:val="en-US" w:eastAsia="zh-CN"/>
              </w:rPr>
            </w:pPr>
            <w:r>
              <w:rPr>
                <w:rFonts w:hint="eastAsia" w:cs="Times New Roman"/>
                <w:color w:val="auto"/>
                <w:sz w:val="24"/>
                <w:highlight w:val="none"/>
                <w:u w:val="none" w:color="auto"/>
                <w:lang w:val="en-US" w:eastAsia="zh-CN"/>
              </w:rPr>
              <w:t>镇平县雪枫中学于2017年11月24日已取得镇平县环境保护局关于《镇平县雪枫中学教学楼、实验楼建设项目环境影响报告表》的批复（批复文号：宛镇环审[2017]71号），但因资金问题，直至现在仍未进行建设，现有校区目前正常运行，因此，本项目拟在现有校区西侧新建1座综合楼以及1座实验楼，项目建成后可促进镇平县教育服务高质量发展。</w:t>
            </w:r>
          </w:p>
          <w:p w14:paraId="64FEB174">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72" w:firstLineChars="200"/>
              <w:textAlignment w:val="auto"/>
              <w:rPr>
                <w:rFonts w:hint="default" w:ascii="Times New Roman" w:hAnsi="Times New Roman" w:cs="Times New Roman"/>
                <w:b w:val="0"/>
                <w:bCs w:val="0"/>
                <w:color w:val="auto"/>
                <w:sz w:val="24"/>
                <w:highlight w:val="none"/>
                <w:u w:val="none" w:color="auto"/>
              </w:rPr>
            </w:pPr>
            <w:r>
              <w:rPr>
                <w:rFonts w:hint="default" w:ascii="Times New Roman" w:hAnsi="Times New Roman" w:eastAsia="宋体" w:cs="Times New Roman"/>
                <w:b w:val="0"/>
                <w:bCs w:val="0"/>
                <w:color w:val="auto"/>
                <w:spacing w:val="-2"/>
                <w:sz w:val="24"/>
                <w:szCs w:val="24"/>
                <w:highlight w:val="none"/>
                <w:u w:val="none" w:color="auto"/>
              </w:rPr>
              <w:t>一、</w:t>
            </w:r>
            <w:r>
              <w:rPr>
                <w:rFonts w:hint="eastAsia" w:ascii="Times New Roman" w:hAnsi="Times New Roman" w:cs="Times New Roman"/>
                <w:b w:val="0"/>
                <w:bCs w:val="0"/>
                <w:color w:val="auto"/>
                <w:spacing w:val="-2"/>
                <w:sz w:val="24"/>
                <w:szCs w:val="24"/>
                <w:highlight w:val="none"/>
                <w:u w:val="none" w:color="auto"/>
                <w:lang w:val="en-US" w:eastAsia="zh-CN"/>
              </w:rPr>
              <w:t>现有</w:t>
            </w:r>
            <w:r>
              <w:rPr>
                <w:rFonts w:hint="default" w:ascii="Times New Roman" w:hAnsi="Times New Roman" w:cs="Times New Roman"/>
                <w:b w:val="0"/>
                <w:bCs w:val="0"/>
                <w:color w:val="auto"/>
                <w:sz w:val="24"/>
                <w:highlight w:val="none"/>
                <w:u w:val="none" w:color="auto"/>
              </w:rPr>
              <w:t>项目主要经济技术指标</w:t>
            </w:r>
          </w:p>
          <w:p w14:paraId="6BDE356C">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72" w:firstLineChars="200"/>
              <w:textAlignment w:val="auto"/>
              <w:rPr>
                <w:rFonts w:hint="default" w:ascii="Times New Roman" w:hAnsi="Times New Roman" w:cs="Times New Roman"/>
                <w:b w:val="0"/>
                <w:bCs w:val="0"/>
                <w:color w:val="auto"/>
                <w:sz w:val="24"/>
                <w:highlight w:val="none"/>
                <w:u w:val="none" w:color="auto"/>
              </w:rPr>
            </w:pPr>
            <w:r>
              <w:rPr>
                <w:rFonts w:hint="eastAsia" w:ascii="Times New Roman" w:hAnsi="Times New Roman" w:cs="Times New Roman"/>
                <w:b w:val="0"/>
                <w:bCs w:val="0"/>
                <w:color w:val="auto"/>
                <w:spacing w:val="-2"/>
                <w:sz w:val="24"/>
                <w:szCs w:val="24"/>
                <w:highlight w:val="none"/>
                <w:u w:val="none" w:color="auto"/>
                <w:lang w:val="en-US" w:eastAsia="zh-CN"/>
              </w:rPr>
              <w:t>现有</w:t>
            </w:r>
            <w:r>
              <w:rPr>
                <w:rFonts w:hint="default" w:ascii="Times New Roman" w:hAnsi="Times New Roman" w:cs="Times New Roman"/>
                <w:b w:val="0"/>
                <w:bCs w:val="0"/>
                <w:color w:val="auto"/>
                <w:sz w:val="24"/>
                <w:highlight w:val="none"/>
                <w:u w:val="none" w:color="auto"/>
              </w:rPr>
              <w:t>项目主要经济技术指标见下表。</w:t>
            </w:r>
          </w:p>
          <w:p w14:paraId="588374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highlight w:val="none"/>
                <w:u w:val="none" w:color="auto"/>
              </w:rPr>
            </w:pPr>
            <w:r>
              <w:rPr>
                <w:rFonts w:hint="default" w:ascii="Times New Roman" w:hAnsi="Times New Roman" w:eastAsia="宋体" w:cs="Times New Roman"/>
                <w:b/>
                <w:bCs/>
                <w:color w:val="auto"/>
                <w:sz w:val="24"/>
                <w:highlight w:val="none"/>
                <w:u w:val="none" w:color="auto"/>
              </w:rPr>
              <w:t>表2-</w:t>
            </w:r>
            <w:r>
              <w:rPr>
                <w:rFonts w:hint="eastAsia" w:ascii="Times New Roman" w:hAnsi="Times New Roman" w:eastAsia="宋体" w:cs="Times New Roman"/>
                <w:b/>
                <w:bCs/>
                <w:color w:val="auto"/>
                <w:sz w:val="24"/>
                <w:highlight w:val="none"/>
                <w:u w:val="none" w:color="auto"/>
                <w:lang w:val="en-US" w:eastAsia="zh-CN"/>
              </w:rPr>
              <w:t>11</w:t>
            </w:r>
            <w:r>
              <w:rPr>
                <w:rFonts w:hint="default" w:ascii="Times New Roman" w:hAnsi="Times New Roman" w:eastAsia="宋体" w:cs="Times New Roman"/>
                <w:b/>
                <w:bCs/>
                <w:color w:val="auto"/>
                <w:sz w:val="24"/>
                <w:highlight w:val="none"/>
                <w:u w:val="none" w:color="auto"/>
                <w:lang w:val="en-US" w:eastAsia="zh-CN"/>
              </w:rPr>
              <w:t xml:space="preserve">    </w:t>
            </w:r>
            <w:r>
              <w:rPr>
                <w:rFonts w:hint="default" w:ascii="Times New Roman" w:hAnsi="Times New Roman" w:eastAsia="宋体" w:cs="Times New Roman"/>
                <w:b/>
                <w:bCs/>
                <w:color w:val="auto"/>
                <w:sz w:val="24"/>
                <w:highlight w:val="none"/>
                <w:u w:val="none" w:color="auto"/>
              </w:rPr>
              <w:t>项目主要经济技术指标一览表</w:t>
            </w:r>
          </w:p>
          <w:tbl>
            <w:tblPr>
              <w:tblStyle w:val="36"/>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63"/>
              <w:gridCol w:w="4071"/>
            </w:tblGrid>
            <w:tr w14:paraId="7A0FC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7" w:type="pct"/>
                  <w:vAlign w:val="center"/>
                </w:tcPr>
                <w:p w14:paraId="34E3EB4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项目</w:t>
                  </w:r>
                </w:p>
              </w:tc>
              <w:tc>
                <w:tcPr>
                  <w:tcW w:w="2502" w:type="pct"/>
                  <w:vAlign w:val="center"/>
                </w:tcPr>
                <w:p w14:paraId="51B22082">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现有工程</w:t>
                  </w:r>
                </w:p>
              </w:tc>
            </w:tr>
            <w:tr w14:paraId="2C85C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7" w:type="pct"/>
                  <w:vAlign w:val="center"/>
                </w:tcPr>
                <w:p w14:paraId="0293EAC8">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班级规模</w:t>
                  </w:r>
                </w:p>
              </w:tc>
              <w:tc>
                <w:tcPr>
                  <w:tcW w:w="2502" w:type="pct"/>
                  <w:vAlign w:val="center"/>
                </w:tcPr>
                <w:p w14:paraId="154501F5">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102个（每个班78人）</w:t>
                  </w:r>
                </w:p>
              </w:tc>
            </w:tr>
            <w:tr w14:paraId="5B099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7" w:type="pct"/>
                  <w:vAlign w:val="center"/>
                </w:tcPr>
                <w:p w14:paraId="676C660E">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学生规模</w:t>
                  </w:r>
                </w:p>
              </w:tc>
              <w:tc>
                <w:tcPr>
                  <w:tcW w:w="2502" w:type="pct"/>
                  <w:vAlign w:val="center"/>
                </w:tcPr>
                <w:p w14:paraId="5E5991A6">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7984人</w:t>
                  </w:r>
                </w:p>
              </w:tc>
            </w:tr>
            <w:tr w14:paraId="3E9AB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7" w:type="pct"/>
                  <w:vAlign w:val="center"/>
                </w:tcPr>
                <w:p w14:paraId="760D25F4">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教师规模</w:t>
                  </w:r>
                </w:p>
              </w:tc>
              <w:tc>
                <w:tcPr>
                  <w:tcW w:w="2502" w:type="pct"/>
                  <w:vAlign w:val="center"/>
                </w:tcPr>
                <w:p w14:paraId="4D0CCEC4">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509人</w:t>
                  </w:r>
                </w:p>
              </w:tc>
            </w:tr>
            <w:tr w14:paraId="51B35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7" w:type="pct"/>
                  <w:vAlign w:val="center"/>
                </w:tcPr>
                <w:p w14:paraId="2851E58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占地面积</w:t>
                  </w:r>
                </w:p>
              </w:tc>
              <w:tc>
                <w:tcPr>
                  <w:tcW w:w="2502" w:type="pct"/>
                  <w:vAlign w:val="center"/>
                </w:tcPr>
                <w:p w14:paraId="5909F17B">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238亩</w:t>
                  </w:r>
                </w:p>
              </w:tc>
            </w:tr>
            <w:tr w14:paraId="0BE54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7" w:type="pct"/>
                  <w:vAlign w:val="center"/>
                </w:tcPr>
                <w:p w14:paraId="37214F92">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建筑面积</w:t>
                  </w:r>
                </w:p>
              </w:tc>
              <w:tc>
                <w:tcPr>
                  <w:tcW w:w="2502" w:type="pct"/>
                  <w:vAlign w:val="center"/>
                </w:tcPr>
                <w:p w14:paraId="346867B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color="auto"/>
                      <w:vertAlign w:val="baseline"/>
                      <w:lang w:val="en-US" w:eastAsia="zh-CN"/>
                    </w:rPr>
                  </w:pPr>
                  <w:r>
                    <w:rPr>
                      <w:rFonts w:hint="default" w:ascii="Times New Roman" w:hAnsi="Times New Roman" w:eastAsia="宋体" w:cs="Times New Roman"/>
                      <w:b w:val="0"/>
                      <w:bCs w:val="0"/>
                      <w:color w:val="auto"/>
                      <w:sz w:val="21"/>
                      <w:szCs w:val="21"/>
                      <w:highlight w:val="none"/>
                      <w:u w:val="none" w:color="auto"/>
                      <w:vertAlign w:val="baseline"/>
                      <w:lang w:val="en-US" w:eastAsia="zh-CN"/>
                    </w:rPr>
                    <w:t>56113平方米</w:t>
                  </w:r>
                </w:p>
              </w:tc>
            </w:tr>
          </w:tbl>
          <w:p w14:paraId="334B0C73">
            <w:pPr>
              <w:pStyle w:val="17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76" w:firstLineChars="200"/>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pacing w:val="-1"/>
                <w:sz w:val="24"/>
                <w:szCs w:val="24"/>
                <w:highlight w:val="none"/>
                <w:u w:val="none" w:color="auto"/>
              </w:rPr>
              <w:t>二、现有项目主要原辅材料</w:t>
            </w:r>
          </w:p>
          <w:p w14:paraId="6E67F040">
            <w:pPr>
              <w:pStyle w:val="17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64" w:firstLineChars="200"/>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pacing w:val="-4"/>
                <w:sz w:val="24"/>
                <w:szCs w:val="24"/>
                <w:highlight w:val="none"/>
                <w:u w:val="none" w:color="auto"/>
              </w:rPr>
              <w:t>现有项目主要原辅材料见下表。</w:t>
            </w:r>
          </w:p>
          <w:p w14:paraId="65D765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highlight w:val="none"/>
                <w:u w:val="none" w:color="auto"/>
                <w:lang w:val="en-US" w:eastAsia="zh-CN"/>
              </w:rPr>
            </w:pPr>
            <w:r>
              <w:rPr>
                <w:rFonts w:hint="default" w:ascii="Times New Roman" w:hAnsi="Times New Roman" w:eastAsia="宋体" w:cs="Times New Roman"/>
                <w:b/>
                <w:bCs/>
                <w:color w:val="auto"/>
                <w:sz w:val="24"/>
                <w:highlight w:val="none"/>
                <w:u w:val="none" w:color="auto"/>
                <w:lang w:val="en-US" w:eastAsia="zh-CN"/>
              </w:rPr>
              <w:t>表2-</w:t>
            </w:r>
            <w:r>
              <w:rPr>
                <w:rFonts w:hint="eastAsia" w:ascii="Times New Roman" w:hAnsi="Times New Roman" w:eastAsia="宋体" w:cs="Times New Roman"/>
                <w:b/>
                <w:bCs/>
                <w:color w:val="auto"/>
                <w:sz w:val="24"/>
                <w:highlight w:val="none"/>
                <w:u w:val="none" w:color="auto"/>
                <w:lang w:val="en-US" w:eastAsia="zh-CN"/>
              </w:rPr>
              <w:t>12</w:t>
            </w:r>
            <w:r>
              <w:rPr>
                <w:rFonts w:hint="default" w:ascii="Times New Roman" w:hAnsi="Times New Roman" w:eastAsia="宋体" w:cs="Times New Roman"/>
                <w:b/>
                <w:bCs/>
                <w:color w:val="auto"/>
                <w:sz w:val="24"/>
                <w:highlight w:val="none"/>
                <w:u w:val="none" w:color="auto"/>
                <w:lang w:val="en-US" w:eastAsia="zh-CN"/>
              </w:rPr>
              <w:t xml:space="preserve">           现有项目主要原辅材料一览表</w:t>
            </w:r>
          </w:p>
          <w:p w14:paraId="3D1807A9">
            <w:pPr>
              <w:keepNext w:val="0"/>
              <w:keepLines w:val="0"/>
              <w:suppressLineNumbers w:val="0"/>
              <w:spacing w:before="0" w:beforeAutospacing="0" w:after="0" w:afterAutospacing="0" w:line="25" w:lineRule="exact"/>
              <w:ind w:left="0" w:right="0"/>
              <w:rPr>
                <w:rFonts w:hint="default" w:ascii="Times New Roman" w:hAnsi="Times New Roman" w:eastAsia="宋体" w:cs="Times New Roman"/>
                <w:color w:val="auto"/>
                <w:sz w:val="24"/>
                <w:szCs w:val="24"/>
                <w:highlight w:val="none"/>
                <w:u w:val="none" w:color="auto"/>
              </w:rPr>
            </w:pPr>
          </w:p>
          <w:tbl>
            <w:tblPr>
              <w:tblStyle w:val="172"/>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44"/>
              <w:gridCol w:w="2413"/>
              <w:gridCol w:w="1801"/>
              <w:gridCol w:w="3180"/>
            </w:tblGrid>
            <w:tr w14:paraId="2DC28F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57" w:type="pct"/>
                  <w:noWrap w:val="0"/>
                  <w:vAlign w:val="center"/>
                </w:tcPr>
                <w:p w14:paraId="1DFF692F">
                  <w:pPr>
                    <w:pStyle w:val="17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2"/>
                      <w:sz w:val="21"/>
                      <w:szCs w:val="21"/>
                      <w:highlight w:val="none"/>
                      <w:u w:val="none" w:color="auto"/>
                    </w:rPr>
                    <w:t>类别</w:t>
                  </w:r>
                </w:p>
              </w:tc>
              <w:tc>
                <w:tcPr>
                  <w:tcW w:w="1482" w:type="pct"/>
                  <w:noWrap w:val="0"/>
                  <w:vAlign w:val="center"/>
                </w:tcPr>
                <w:p w14:paraId="7EF46BDB">
                  <w:pPr>
                    <w:pStyle w:val="17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2"/>
                      <w:sz w:val="21"/>
                      <w:szCs w:val="21"/>
                      <w:highlight w:val="none"/>
                      <w:u w:val="none" w:color="auto"/>
                    </w:rPr>
                    <w:t>原料及辅料名称</w:t>
                  </w:r>
                </w:p>
              </w:tc>
              <w:tc>
                <w:tcPr>
                  <w:tcW w:w="1106" w:type="pct"/>
                  <w:noWrap w:val="0"/>
                  <w:vAlign w:val="center"/>
                </w:tcPr>
                <w:p w14:paraId="21A497E3">
                  <w:pPr>
                    <w:pStyle w:val="17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2"/>
                      <w:sz w:val="21"/>
                      <w:szCs w:val="21"/>
                      <w:highlight w:val="none"/>
                      <w:u w:val="none" w:color="auto"/>
                    </w:rPr>
                    <w:t>年用量</w:t>
                  </w:r>
                </w:p>
              </w:tc>
              <w:tc>
                <w:tcPr>
                  <w:tcW w:w="1953" w:type="pct"/>
                  <w:noWrap w:val="0"/>
                  <w:vAlign w:val="center"/>
                </w:tcPr>
                <w:p w14:paraId="7FABC130">
                  <w:pPr>
                    <w:pStyle w:val="17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3"/>
                      <w:sz w:val="21"/>
                      <w:szCs w:val="21"/>
                      <w:highlight w:val="none"/>
                      <w:u w:val="none" w:color="auto"/>
                    </w:rPr>
                    <w:t>备注</w:t>
                  </w:r>
                </w:p>
              </w:tc>
            </w:tr>
            <w:tr w14:paraId="6BB0F0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57" w:type="pct"/>
                  <w:vMerge w:val="restart"/>
                  <w:tcBorders>
                    <w:bottom w:val="nil"/>
                  </w:tcBorders>
                  <w:noWrap w:val="0"/>
                  <w:vAlign w:val="center"/>
                </w:tcPr>
                <w:p w14:paraId="6C3A20A5">
                  <w:pPr>
                    <w:pStyle w:val="17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能源</w:t>
                  </w:r>
                </w:p>
              </w:tc>
              <w:tc>
                <w:tcPr>
                  <w:tcW w:w="1482" w:type="pct"/>
                  <w:noWrap w:val="0"/>
                  <w:vAlign w:val="center"/>
                </w:tcPr>
                <w:p w14:paraId="4CB4D56D">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新鲜水</w:t>
                  </w:r>
                </w:p>
              </w:tc>
              <w:tc>
                <w:tcPr>
                  <w:tcW w:w="1106" w:type="pct"/>
                  <w:noWrap w:val="0"/>
                  <w:vAlign w:val="center"/>
                </w:tcPr>
                <w:p w14:paraId="042E8AAD">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lang w:val="en-US"/>
                    </w:rPr>
                  </w:pPr>
                  <w:r>
                    <w:rPr>
                      <w:rFonts w:hint="default" w:ascii="Times New Roman" w:hAnsi="Times New Roman" w:eastAsia="宋体" w:cs="Times New Roman"/>
                      <w:b w:val="0"/>
                      <w:bCs/>
                      <w:color w:val="auto"/>
                      <w:spacing w:val="3"/>
                      <w:sz w:val="21"/>
                      <w:szCs w:val="21"/>
                      <w:u w:val="none" w:color="auto"/>
                      <w:lang w:val="en-US" w:eastAsia="zh-CN"/>
                    </w:rPr>
                    <w:t>133194</w:t>
                  </w:r>
                  <w:r>
                    <w:rPr>
                      <w:rFonts w:hint="default" w:ascii="Times New Roman" w:hAnsi="Times New Roman" w:eastAsia="宋体" w:cs="Times New Roman"/>
                      <w:b w:val="0"/>
                      <w:bCs/>
                      <w:color w:val="auto"/>
                      <w:sz w:val="21"/>
                      <w:szCs w:val="21"/>
                      <w:highlight w:val="none"/>
                      <w:u w:val="none" w:color="auto"/>
                    </w:rPr>
                    <w:t>m</w:t>
                  </w:r>
                  <w:r>
                    <w:rPr>
                      <w:rFonts w:hint="default" w:ascii="Times New Roman" w:hAnsi="Times New Roman" w:eastAsia="宋体" w:cs="Times New Roman"/>
                      <w:b w:val="0"/>
                      <w:bCs/>
                      <w:color w:val="auto"/>
                      <w:sz w:val="21"/>
                      <w:szCs w:val="21"/>
                      <w:highlight w:val="none"/>
                      <w:u w:val="none" w:color="auto"/>
                      <w:vertAlign w:val="superscript"/>
                    </w:rPr>
                    <w:t>3</w:t>
                  </w:r>
                  <w:r>
                    <w:rPr>
                      <w:rFonts w:hint="default" w:ascii="Times New Roman" w:hAnsi="Times New Roman" w:eastAsia="宋体" w:cs="Times New Roman"/>
                      <w:b w:val="0"/>
                      <w:bCs/>
                      <w:color w:val="auto"/>
                      <w:sz w:val="21"/>
                      <w:szCs w:val="21"/>
                      <w:highlight w:val="none"/>
                      <w:u w:val="none" w:color="auto"/>
                    </w:rPr>
                    <w:t>/a</w:t>
                  </w:r>
                </w:p>
              </w:tc>
              <w:tc>
                <w:tcPr>
                  <w:tcW w:w="1953" w:type="pct"/>
                  <w:noWrap w:val="0"/>
                  <w:vAlign w:val="center"/>
                </w:tcPr>
                <w:p w14:paraId="67F4F54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由市政供水管网供给</w:t>
                  </w:r>
                </w:p>
              </w:tc>
            </w:tr>
            <w:tr w14:paraId="790D7C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57" w:type="pct"/>
                  <w:vMerge w:val="continue"/>
                  <w:tcBorders>
                    <w:top w:val="nil"/>
                    <w:bottom w:val="nil"/>
                  </w:tcBorders>
                  <w:noWrap w:val="0"/>
                  <w:vAlign w:val="center"/>
                </w:tcPr>
                <w:p w14:paraId="4FC2D03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u w:val="none" w:color="auto"/>
                    </w:rPr>
                  </w:pPr>
                </w:p>
              </w:tc>
              <w:tc>
                <w:tcPr>
                  <w:tcW w:w="1482" w:type="pct"/>
                  <w:noWrap w:val="0"/>
                  <w:vAlign w:val="center"/>
                </w:tcPr>
                <w:p w14:paraId="7831D425">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电</w:t>
                  </w:r>
                </w:p>
              </w:tc>
              <w:tc>
                <w:tcPr>
                  <w:tcW w:w="1106" w:type="pct"/>
                  <w:noWrap w:val="0"/>
                  <w:vAlign w:val="center"/>
                </w:tcPr>
                <w:p w14:paraId="25BEA202">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 w:val="0"/>
                      <w:bCs/>
                      <w:color w:val="auto"/>
                      <w:spacing w:val="3"/>
                      <w:sz w:val="21"/>
                      <w:szCs w:val="21"/>
                      <w:u w:val="none" w:color="auto"/>
                      <w:lang w:val="en-US" w:eastAsia="zh-CN"/>
                    </w:rPr>
                    <w:t>78.8</w:t>
                  </w:r>
                  <w:r>
                    <w:rPr>
                      <w:rFonts w:hint="default" w:ascii="Times New Roman" w:hAnsi="Times New Roman" w:eastAsia="宋体" w:cs="Times New Roman"/>
                      <w:b w:val="0"/>
                      <w:bCs/>
                      <w:color w:val="auto"/>
                      <w:sz w:val="21"/>
                      <w:szCs w:val="21"/>
                      <w:highlight w:val="none"/>
                      <w:u w:val="none" w:color="auto"/>
                    </w:rPr>
                    <w:t>万kW·h/a</w:t>
                  </w:r>
                </w:p>
              </w:tc>
              <w:tc>
                <w:tcPr>
                  <w:tcW w:w="1953" w:type="pct"/>
                  <w:noWrap w:val="0"/>
                  <w:vAlign w:val="center"/>
                </w:tcPr>
                <w:p w14:paraId="053F0CF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b w:val="0"/>
                      <w:bCs/>
                      <w:color w:val="auto"/>
                      <w:sz w:val="21"/>
                      <w:szCs w:val="21"/>
                      <w:highlight w:val="none"/>
                      <w:u w:val="none" w:color="auto"/>
                    </w:rPr>
                    <w:t>由市政供电系统供应</w:t>
                  </w:r>
                </w:p>
              </w:tc>
            </w:tr>
          </w:tbl>
          <w:p w14:paraId="12B31F0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76" w:firstLineChars="200"/>
              <w:textAlignment w:val="auto"/>
              <w:rPr>
                <w:rFonts w:hint="default" w:ascii="Times New Roman" w:hAnsi="Times New Roman" w:eastAsia="宋体" w:cs="Times New Roman"/>
                <w:color w:val="auto"/>
                <w:sz w:val="24"/>
                <w:szCs w:val="24"/>
                <w:highlight w:val="none"/>
                <w:u w:val="none" w:color="auto"/>
                <w:vertAlign w:val="baseline"/>
                <w:lang w:eastAsia="zh-CN"/>
              </w:rPr>
            </w:pPr>
            <w:r>
              <w:rPr>
                <w:rFonts w:hint="default" w:ascii="Times New Roman" w:hAnsi="Times New Roman" w:eastAsia="宋体" w:cs="Times New Roman"/>
                <w:color w:val="auto"/>
                <w:spacing w:val="-1"/>
                <w:sz w:val="24"/>
                <w:szCs w:val="24"/>
                <w:highlight w:val="none"/>
                <w:u w:val="none" w:color="auto"/>
              </w:rPr>
              <w:t>三、现有项目</w:t>
            </w:r>
            <w:r>
              <w:rPr>
                <w:rFonts w:hint="default" w:ascii="Times New Roman" w:hAnsi="Times New Roman" w:eastAsia="宋体" w:cs="Times New Roman"/>
                <w:color w:val="auto"/>
                <w:spacing w:val="-1"/>
                <w:sz w:val="24"/>
                <w:szCs w:val="24"/>
                <w:highlight w:val="none"/>
                <w:u w:val="none" w:color="auto"/>
                <w:lang w:val="en-US" w:eastAsia="zh-CN"/>
              </w:rPr>
              <w:t>产排污节点</w:t>
            </w:r>
            <w:r>
              <w:rPr>
                <w:rFonts w:hint="default" w:ascii="Times New Roman" w:hAnsi="Times New Roman" w:eastAsia="宋体" w:cs="Times New Roman"/>
                <w:color w:val="auto"/>
                <w:spacing w:val="-1"/>
                <w:sz w:val="24"/>
                <w:szCs w:val="24"/>
                <w:highlight w:val="none"/>
                <w:u w:val="none" w:color="auto"/>
              </w:rPr>
              <w:t>流程</w:t>
            </w:r>
          </w:p>
          <w:tbl>
            <w:tblPr>
              <w:tblStyle w:val="36"/>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141"/>
            </w:tblGrid>
            <w:tr w14:paraId="599AA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50" w:type="dxa"/>
                  <w:noWrap w:val="0"/>
                  <w:vAlign w:val="top"/>
                </w:tcPr>
                <w:p w14:paraId="09AA3FE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color w:val="auto"/>
                      <w:sz w:val="24"/>
                      <w:szCs w:val="24"/>
                      <w:highlight w:val="none"/>
                      <w:u w:val="none" w:color="auto"/>
                      <w:vertAlign w:val="baseline"/>
                      <w:lang w:eastAsia="zh-CN"/>
                    </w:rPr>
                  </w:pPr>
                  <w:r>
                    <w:rPr>
                      <w:rFonts w:hint="default" w:ascii="Times New Roman" w:hAnsi="Times New Roman" w:eastAsia="宋体" w:cs="Times New Roman"/>
                      <w:color w:val="auto"/>
                      <w:sz w:val="24"/>
                      <w:szCs w:val="24"/>
                      <w:highlight w:val="none"/>
                      <w:u w:val="none" w:color="auto"/>
                      <w:vertAlign w:val="baseline"/>
                      <w:lang w:eastAsia="zh-CN"/>
                    </w:rPr>
                    <w:drawing>
                      <wp:inline distT="0" distB="0" distL="114300" distR="114300">
                        <wp:extent cx="4839970" cy="2707640"/>
                        <wp:effectExtent l="0" t="0" r="17780" b="16510"/>
                        <wp:docPr id="63" name="图片 63" descr="db1d7f36051174e30ed05538cc25e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db1d7f36051174e30ed05538cc25e64"/>
                                <pic:cNvPicPr>
                                  <a:picLocks noChangeAspect="1"/>
                                </pic:cNvPicPr>
                              </pic:nvPicPr>
                              <pic:blipFill>
                                <a:blip r:embed="rId14"/>
                                <a:stretch>
                                  <a:fillRect/>
                                </a:stretch>
                              </pic:blipFill>
                              <pic:spPr>
                                <a:xfrm>
                                  <a:off x="0" y="0"/>
                                  <a:ext cx="4839970" cy="2707640"/>
                                </a:xfrm>
                                <a:prstGeom prst="rect">
                                  <a:avLst/>
                                </a:prstGeom>
                              </pic:spPr>
                            </pic:pic>
                          </a:graphicData>
                        </a:graphic>
                      </wp:inline>
                    </w:drawing>
                  </w:r>
                </w:p>
              </w:tc>
            </w:tr>
            <w:tr w14:paraId="38F77B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50" w:type="dxa"/>
                  <w:noWrap w:val="0"/>
                  <w:vAlign w:val="top"/>
                </w:tcPr>
                <w:p w14:paraId="03C5BBD4">
                  <w:pPr>
                    <w:pStyle w:val="17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4"/>
                      <w:szCs w:val="24"/>
                      <w:highlight w:val="none"/>
                      <w:u w:val="none" w:color="auto"/>
                      <w:vertAlign w:val="baseline"/>
                      <w:lang w:eastAsia="zh-CN"/>
                    </w:rPr>
                  </w:pPr>
                  <w:r>
                    <w:rPr>
                      <w:rFonts w:hint="default" w:ascii="Times New Roman" w:hAnsi="Times New Roman" w:eastAsia="宋体" w:cs="Times New Roman"/>
                      <w:b/>
                      <w:color w:val="auto"/>
                      <w:kern w:val="2"/>
                      <w:sz w:val="24"/>
                      <w:szCs w:val="24"/>
                      <w:highlight w:val="none"/>
                      <w:u w:val="none" w:color="auto"/>
                      <w:lang w:val="en-US" w:eastAsia="zh-CN" w:bidi="ar-SA"/>
                    </w:rPr>
                    <w:t>图2-</w:t>
                  </w:r>
                  <w:r>
                    <w:rPr>
                      <w:rFonts w:hint="eastAsia" w:ascii="Times New Roman" w:hAnsi="Times New Roman" w:eastAsia="宋体" w:cs="Times New Roman"/>
                      <w:b/>
                      <w:color w:val="auto"/>
                      <w:kern w:val="2"/>
                      <w:sz w:val="24"/>
                      <w:szCs w:val="24"/>
                      <w:highlight w:val="none"/>
                      <w:u w:val="none" w:color="auto"/>
                      <w:lang w:val="en-US" w:eastAsia="zh-CN" w:bidi="ar-SA"/>
                    </w:rPr>
                    <w:t>3</w:t>
                  </w:r>
                  <w:r>
                    <w:rPr>
                      <w:rFonts w:hint="default" w:ascii="Times New Roman" w:hAnsi="Times New Roman" w:eastAsia="宋体" w:cs="Times New Roman"/>
                      <w:b/>
                      <w:color w:val="auto"/>
                      <w:kern w:val="2"/>
                      <w:sz w:val="24"/>
                      <w:szCs w:val="24"/>
                      <w:highlight w:val="none"/>
                      <w:u w:val="none" w:color="auto"/>
                      <w:lang w:val="en-US" w:eastAsia="zh-CN" w:bidi="ar-SA"/>
                    </w:rPr>
                    <w:t xml:space="preserve">    现有项目</w:t>
                  </w:r>
                  <w:r>
                    <w:rPr>
                      <w:rFonts w:hint="eastAsia" w:ascii="Times New Roman" w:hAnsi="Times New Roman" w:cs="Times New Roman"/>
                      <w:b/>
                      <w:color w:val="auto"/>
                      <w:kern w:val="2"/>
                      <w:sz w:val="24"/>
                      <w:szCs w:val="24"/>
                      <w:highlight w:val="none"/>
                      <w:u w:val="none" w:color="auto"/>
                      <w:lang w:val="en-US" w:eastAsia="zh-CN" w:bidi="ar-SA"/>
                    </w:rPr>
                    <w:t>产</w:t>
                  </w:r>
                  <w:r>
                    <w:rPr>
                      <w:rFonts w:hint="default" w:ascii="Times New Roman" w:hAnsi="Times New Roman" w:eastAsia="宋体" w:cs="Times New Roman"/>
                      <w:b/>
                      <w:color w:val="auto"/>
                      <w:kern w:val="2"/>
                      <w:sz w:val="24"/>
                      <w:szCs w:val="24"/>
                      <w:highlight w:val="none"/>
                      <w:u w:val="none" w:color="auto"/>
                      <w:lang w:val="en-US" w:eastAsia="zh-CN" w:bidi="ar-SA"/>
                    </w:rPr>
                    <w:t>排污节点图</w:t>
                  </w:r>
                </w:p>
              </w:tc>
            </w:tr>
          </w:tbl>
          <w:p w14:paraId="73A23D53">
            <w:pPr>
              <w:pStyle w:val="17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72" w:firstLineChars="200"/>
              <w:textAlignment w:val="auto"/>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pacing w:val="-2"/>
                <w:sz w:val="24"/>
                <w:szCs w:val="24"/>
                <w:highlight w:val="none"/>
                <w:u w:val="none" w:color="auto"/>
              </w:rPr>
              <w:t>四、现有项目污染物产排情况</w:t>
            </w:r>
          </w:p>
          <w:p w14:paraId="706E0DD7">
            <w:pPr>
              <w:pStyle w:val="17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68" w:firstLineChars="200"/>
              <w:textAlignment w:val="auto"/>
              <w:outlineLvl w:val="9"/>
              <w:rPr>
                <w:rFonts w:hint="default" w:ascii="Times New Roman" w:hAnsi="Times New Roman" w:eastAsia="宋体" w:cs="Times New Roman"/>
                <w:color w:val="auto"/>
                <w:spacing w:val="-3"/>
                <w:position w:val="17"/>
                <w:sz w:val="24"/>
                <w:szCs w:val="24"/>
                <w:highlight w:val="none"/>
                <w:u w:val="none" w:color="auto"/>
              </w:rPr>
            </w:pPr>
            <w:r>
              <w:rPr>
                <w:rFonts w:hint="default" w:ascii="Times New Roman" w:hAnsi="Times New Roman" w:eastAsia="宋体" w:cs="Times New Roman"/>
                <w:color w:val="auto"/>
                <w:spacing w:val="-3"/>
                <w:position w:val="17"/>
                <w:sz w:val="24"/>
                <w:szCs w:val="24"/>
                <w:highlight w:val="none"/>
                <w:u w:val="none" w:color="auto"/>
              </w:rPr>
              <w:t>根据现有项目环评及现场勘测，与本项目有关的原有污染情况主要为现有项目职工生活污水及生产废水、粉尘、机械噪声、固废等。</w:t>
            </w:r>
          </w:p>
          <w:p w14:paraId="16511AD7">
            <w:pPr>
              <w:pStyle w:val="17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64" w:firstLineChars="200"/>
              <w:textAlignment w:val="auto"/>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pacing w:val="-4"/>
                <w:sz w:val="24"/>
                <w:szCs w:val="24"/>
                <w:highlight w:val="none"/>
                <w:u w:val="none" w:color="auto"/>
              </w:rPr>
              <w:t>1、现有水污染物及其治理措施</w:t>
            </w:r>
          </w:p>
          <w:p w14:paraId="53F88385">
            <w:pPr>
              <w:pStyle w:val="34"/>
              <w:keepNext w:val="0"/>
              <w:keepLines w:val="0"/>
              <w:pageBreakBefore w:val="0"/>
              <w:widowControl/>
              <w:numPr>
                <w:ilvl w:val="0"/>
                <w:numId w:val="0"/>
              </w:numPr>
              <w:kinsoku w:val="0"/>
              <w:wordWrap/>
              <w:overflowPunct/>
              <w:topLinePunct w:val="0"/>
              <w:autoSpaceDE w:val="0"/>
              <w:autoSpaceDN w:val="0"/>
              <w:bidi w:val="0"/>
              <w:adjustRightInd w:val="0"/>
              <w:snapToGrid w:val="0"/>
              <w:spacing w:after="0" w:line="360" w:lineRule="auto"/>
              <w:ind w:left="0" w:leftChars="0" w:firstLine="480" w:firstLineChars="200"/>
              <w:jc w:val="both"/>
              <w:textAlignment w:val="baseline"/>
              <w:outlineLvl w:val="9"/>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snapToGrid w:val="0"/>
                <w:color w:val="auto"/>
                <w:kern w:val="0"/>
                <w:sz w:val="24"/>
                <w:szCs w:val="24"/>
                <w:u w:val="none" w:color="auto"/>
                <w:lang w:val="en-US" w:eastAsia="zh-CN" w:bidi="ar-SA"/>
              </w:rPr>
              <w:t>（1）</w:t>
            </w:r>
            <w:r>
              <w:rPr>
                <w:rFonts w:hint="default" w:ascii="Times New Roman" w:hAnsi="Times New Roman" w:eastAsia="宋体" w:cs="Times New Roman"/>
                <w:color w:val="auto"/>
                <w:sz w:val="24"/>
                <w:szCs w:val="24"/>
                <w:u w:val="none" w:color="auto"/>
                <w:lang w:val="en-US" w:eastAsia="zh-CN"/>
              </w:rPr>
              <w:t>师生日常生活污水</w:t>
            </w:r>
          </w:p>
          <w:p w14:paraId="35475E80">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jc w:val="both"/>
              <w:textAlignment w:val="baseline"/>
              <w:outlineLvl w:val="9"/>
              <w:rPr>
                <w:rFonts w:hint="default" w:ascii="Times New Roman" w:hAnsi="Times New Roman" w:eastAsia="宋体" w:cs="Times New Roman"/>
                <w:color w:val="auto"/>
                <w:spacing w:val="-2"/>
                <w:sz w:val="24"/>
                <w:szCs w:val="24"/>
                <w:u w:val="none" w:color="auto"/>
                <w:lang w:eastAsia="zh-CN"/>
              </w:rPr>
            </w:pPr>
            <w:r>
              <w:rPr>
                <w:rFonts w:hint="default" w:ascii="Times New Roman" w:hAnsi="Times New Roman" w:eastAsia="宋体" w:cs="Times New Roman"/>
                <w:color w:val="auto"/>
                <w:sz w:val="24"/>
                <w:szCs w:val="24"/>
                <w:u w:val="none" w:color="auto"/>
                <w:lang w:val="en-US" w:eastAsia="zh-CN"/>
              </w:rPr>
              <w:t>根据上文水平衡可知，本项目现有师生日常生活污水产生量为339.72m</w:t>
            </w:r>
            <w:r>
              <w:rPr>
                <w:rFonts w:hint="default" w:ascii="Times New Roman" w:hAnsi="Times New Roman" w:eastAsia="宋体" w:cs="Times New Roman"/>
                <w:color w:val="auto"/>
                <w:sz w:val="24"/>
                <w:szCs w:val="24"/>
                <w:u w:val="none" w:color="auto"/>
                <w:vertAlign w:val="superscript"/>
                <w:lang w:val="en-US" w:eastAsia="zh-CN"/>
              </w:rPr>
              <w:t>3</w:t>
            </w:r>
            <w:r>
              <w:rPr>
                <w:rFonts w:hint="default" w:ascii="Times New Roman" w:hAnsi="Times New Roman" w:eastAsia="宋体" w:cs="Times New Roman"/>
                <w:color w:val="auto"/>
                <w:sz w:val="24"/>
                <w:szCs w:val="24"/>
                <w:u w:val="none" w:color="auto"/>
                <w:lang w:val="en-US" w:eastAsia="zh-CN"/>
              </w:rPr>
              <w:t>/d，67944m</w:t>
            </w:r>
            <w:r>
              <w:rPr>
                <w:rFonts w:hint="default" w:ascii="Times New Roman" w:hAnsi="Times New Roman" w:eastAsia="宋体" w:cs="Times New Roman"/>
                <w:color w:val="auto"/>
                <w:sz w:val="24"/>
                <w:szCs w:val="24"/>
                <w:u w:val="none" w:color="auto"/>
                <w:vertAlign w:val="superscript"/>
                <w:lang w:val="en-US" w:eastAsia="zh-CN"/>
              </w:rPr>
              <w:t>3</w:t>
            </w:r>
            <w:r>
              <w:rPr>
                <w:rFonts w:hint="default" w:ascii="Times New Roman" w:hAnsi="Times New Roman" w:eastAsia="宋体" w:cs="Times New Roman"/>
                <w:color w:val="auto"/>
                <w:sz w:val="24"/>
                <w:szCs w:val="24"/>
                <w:u w:val="none" w:color="auto"/>
                <w:lang w:val="en-US" w:eastAsia="zh-CN"/>
              </w:rPr>
              <w:t>/a，</w:t>
            </w:r>
            <w:r>
              <w:rPr>
                <w:rFonts w:hint="eastAsia" w:ascii="Times New Roman" w:hAnsi="Times New Roman" w:eastAsia="宋体" w:cs="Times New Roman"/>
                <w:color w:val="auto"/>
                <w:sz w:val="24"/>
                <w:szCs w:val="24"/>
                <w:u w:val="none" w:color="auto"/>
                <w:lang w:val="en-US" w:eastAsia="zh-CN"/>
              </w:rPr>
              <w:t>进入现有地埋式化粪池处理</w:t>
            </w:r>
            <w:r>
              <w:rPr>
                <w:rFonts w:hint="default" w:ascii="Times New Roman" w:hAnsi="Times New Roman" w:eastAsia="宋体" w:cs="Times New Roman"/>
                <w:color w:val="auto"/>
                <w:spacing w:val="-2"/>
                <w:sz w:val="24"/>
                <w:szCs w:val="24"/>
                <w:u w:val="none" w:color="auto"/>
                <w:lang w:eastAsia="zh-CN"/>
              </w:rPr>
              <w:t>。</w:t>
            </w:r>
          </w:p>
          <w:p w14:paraId="30C45F17">
            <w:pPr>
              <w:pStyle w:val="34"/>
              <w:keepNext w:val="0"/>
              <w:keepLines w:val="0"/>
              <w:pageBreakBefore w:val="0"/>
              <w:widowControl/>
              <w:numPr>
                <w:ilvl w:val="0"/>
                <w:numId w:val="0"/>
              </w:numPr>
              <w:kinsoku w:val="0"/>
              <w:wordWrap/>
              <w:overflowPunct/>
              <w:topLinePunct w:val="0"/>
              <w:autoSpaceDE w:val="0"/>
              <w:autoSpaceDN w:val="0"/>
              <w:bidi w:val="0"/>
              <w:adjustRightInd w:val="0"/>
              <w:snapToGrid w:val="0"/>
              <w:spacing w:after="0" w:line="360" w:lineRule="auto"/>
              <w:ind w:left="0" w:leftChars="0" w:firstLine="472" w:firstLineChars="200"/>
              <w:jc w:val="both"/>
              <w:textAlignment w:val="baseline"/>
              <w:outlineLvl w:val="9"/>
              <w:rPr>
                <w:rFonts w:hint="default" w:ascii="Times New Roman" w:hAnsi="Times New Roman" w:eastAsia="宋体" w:cs="Times New Roman"/>
                <w:color w:val="auto"/>
                <w:spacing w:val="-2"/>
                <w:sz w:val="24"/>
                <w:szCs w:val="24"/>
                <w:u w:val="none" w:color="auto"/>
                <w:lang w:val="en-US" w:eastAsia="zh-CN"/>
              </w:rPr>
            </w:pPr>
            <w:r>
              <w:rPr>
                <w:rFonts w:hint="default" w:ascii="Times New Roman" w:hAnsi="Times New Roman" w:eastAsia="宋体" w:cs="Times New Roman"/>
                <w:snapToGrid w:val="0"/>
                <w:color w:val="auto"/>
                <w:spacing w:val="-2"/>
                <w:kern w:val="0"/>
                <w:sz w:val="24"/>
                <w:szCs w:val="24"/>
                <w:u w:val="none" w:color="auto"/>
                <w:lang w:val="en-US" w:eastAsia="zh-CN" w:bidi="ar-SA"/>
              </w:rPr>
              <w:t>（2）</w:t>
            </w:r>
            <w:r>
              <w:rPr>
                <w:rFonts w:hint="eastAsia" w:ascii="Times New Roman" w:hAnsi="Times New Roman" w:cs="Times New Roman"/>
                <w:color w:val="auto"/>
                <w:spacing w:val="-2"/>
                <w:sz w:val="24"/>
                <w:szCs w:val="24"/>
                <w:u w:val="none" w:color="auto"/>
                <w:lang w:val="en-US" w:eastAsia="zh-CN"/>
              </w:rPr>
              <w:t>餐厅</w:t>
            </w:r>
            <w:r>
              <w:rPr>
                <w:rFonts w:hint="default" w:ascii="Times New Roman" w:hAnsi="Times New Roman" w:eastAsia="宋体" w:cs="Times New Roman"/>
                <w:color w:val="auto"/>
                <w:spacing w:val="-2"/>
                <w:sz w:val="24"/>
                <w:szCs w:val="24"/>
                <w:u w:val="none" w:color="auto"/>
                <w:lang w:val="en-US" w:eastAsia="zh-CN"/>
              </w:rPr>
              <w:t>废水</w:t>
            </w:r>
          </w:p>
          <w:p w14:paraId="0BE84BAC">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0" w:leftChars="0" w:firstLine="480" w:firstLineChars="200"/>
              <w:jc w:val="both"/>
              <w:textAlignment w:val="baseline"/>
              <w:outlineLvl w:val="9"/>
              <w:rPr>
                <w:rFonts w:hint="default" w:ascii="Times New Roman" w:hAnsi="Times New Roman" w:eastAsia="宋体" w:cs="Times New Roman"/>
                <w:color w:val="auto"/>
                <w:spacing w:val="-2"/>
                <w:sz w:val="24"/>
                <w:szCs w:val="24"/>
                <w:u w:val="none" w:color="auto"/>
                <w:lang w:eastAsia="zh-CN"/>
              </w:rPr>
            </w:pPr>
            <w:r>
              <w:rPr>
                <w:rFonts w:hint="default" w:ascii="Times New Roman" w:hAnsi="Times New Roman" w:eastAsia="宋体" w:cs="Times New Roman"/>
                <w:color w:val="auto"/>
                <w:sz w:val="24"/>
                <w:szCs w:val="24"/>
                <w:u w:val="none" w:color="auto"/>
                <w:lang w:val="en-US" w:eastAsia="zh-CN"/>
              </w:rPr>
              <w:t>本项目现有</w:t>
            </w:r>
            <w:r>
              <w:rPr>
                <w:rFonts w:hint="eastAsia" w:cs="Times New Roman"/>
                <w:color w:val="auto"/>
                <w:sz w:val="24"/>
                <w:szCs w:val="24"/>
                <w:u w:val="none" w:color="auto"/>
                <w:lang w:val="en-US" w:eastAsia="zh-CN"/>
              </w:rPr>
              <w:t>餐厅</w:t>
            </w:r>
            <w:r>
              <w:rPr>
                <w:rFonts w:hint="default" w:ascii="Times New Roman" w:hAnsi="Times New Roman" w:eastAsia="宋体" w:cs="Times New Roman"/>
                <w:color w:val="auto"/>
                <w:sz w:val="24"/>
                <w:szCs w:val="24"/>
                <w:u w:val="none" w:color="auto"/>
                <w:lang w:val="en-US" w:eastAsia="zh-CN"/>
              </w:rPr>
              <w:t>废水产生量为181.376m</w:t>
            </w:r>
            <w:r>
              <w:rPr>
                <w:rFonts w:hint="default" w:ascii="Times New Roman" w:hAnsi="Times New Roman" w:eastAsia="宋体" w:cs="Times New Roman"/>
                <w:color w:val="auto"/>
                <w:sz w:val="24"/>
                <w:szCs w:val="24"/>
                <w:u w:val="none" w:color="auto"/>
                <w:vertAlign w:val="superscript"/>
                <w:lang w:val="en-US" w:eastAsia="zh-CN"/>
              </w:rPr>
              <w:t>3</w:t>
            </w:r>
            <w:r>
              <w:rPr>
                <w:rFonts w:hint="default" w:ascii="Times New Roman" w:hAnsi="Times New Roman" w:eastAsia="宋体" w:cs="Times New Roman"/>
                <w:color w:val="auto"/>
                <w:sz w:val="24"/>
                <w:szCs w:val="24"/>
                <w:u w:val="none" w:color="auto"/>
                <w:lang w:val="en-US" w:eastAsia="zh-CN"/>
              </w:rPr>
              <w:t>/d，36275.2m</w:t>
            </w:r>
            <w:r>
              <w:rPr>
                <w:rFonts w:hint="default" w:ascii="Times New Roman" w:hAnsi="Times New Roman" w:eastAsia="宋体" w:cs="Times New Roman"/>
                <w:color w:val="auto"/>
                <w:sz w:val="24"/>
                <w:szCs w:val="24"/>
                <w:u w:val="none" w:color="auto"/>
                <w:vertAlign w:val="superscript"/>
                <w:lang w:val="en-US" w:eastAsia="zh-CN"/>
              </w:rPr>
              <w:t>3</w:t>
            </w:r>
            <w:r>
              <w:rPr>
                <w:rFonts w:hint="default" w:ascii="Times New Roman" w:hAnsi="Times New Roman" w:eastAsia="宋体" w:cs="Times New Roman"/>
                <w:color w:val="auto"/>
                <w:sz w:val="24"/>
                <w:szCs w:val="24"/>
                <w:u w:val="none" w:color="auto"/>
                <w:lang w:val="en-US" w:eastAsia="zh-CN"/>
              </w:rPr>
              <w:t>/a，</w:t>
            </w:r>
            <w:r>
              <w:rPr>
                <w:rFonts w:hint="eastAsia" w:ascii="Times New Roman" w:hAnsi="Times New Roman" w:eastAsia="宋体" w:cs="Times New Roman"/>
                <w:color w:val="auto"/>
                <w:sz w:val="24"/>
                <w:szCs w:val="24"/>
                <w:u w:val="none" w:color="auto"/>
                <w:lang w:val="en-US" w:eastAsia="zh-CN"/>
              </w:rPr>
              <w:t>经现有地埋式隔油池（1座，地埋式，容积230m</w:t>
            </w:r>
            <w:r>
              <w:rPr>
                <w:rFonts w:hint="eastAsia" w:ascii="Times New Roman" w:hAnsi="Times New Roman" w:eastAsia="宋体" w:cs="Times New Roman"/>
                <w:color w:val="auto"/>
                <w:sz w:val="24"/>
                <w:szCs w:val="24"/>
                <w:u w:val="none" w:color="auto"/>
                <w:vertAlign w:val="superscript"/>
                <w:lang w:val="en-US" w:eastAsia="zh-CN"/>
              </w:rPr>
              <w:t>3</w:t>
            </w:r>
            <w:r>
              <w:rPr>
                <w:rFonts w:hint="eastAsia" w:ascii="Times New Roman" w:hAnsi="Times New Roman" w:eastAsia="宋体" w:cs="Times New Roman"/>
                <w:color w:val="auto"/>
                <w:sz w:val="24"/>
                <w:szCs w:val="24"/>
                <w:u w:val="none" w:color="auto"/>
                <w:lang w:val="en-US" w:eastAsia="zh-CN"/>
              </w:rPr>
              <w:t>）处理后与经中和池处理后的实验室废水以及师生日常生活污水进入现有地埋式化粪池处理</w:t>
            </w:r>
            <w:r>
              <w:rPr>
                <w:rFonts w:hint="default" w:ascii="Times New Roman" w:hAnsi="Times New Roman" w:eastAsia="宋体" w:cs="Times New Roman"/>
                <w:color w:val="auto"/>
                <w:spacing w:val="-2"/>
                <w:sz w:val="24"/>
                <w:szCs w:val="24"/>
                <w:u w:val="none" w:color="auto"/>
                <w:lang w:eastAsia="zh-CN"/>
              </w:rPr>
              <w:t>。</w:t>
            </w:r>
          </w:p>
          <w:p w14:paraId="363D93B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outlineLvl w:val="9"/>
              <w:rPr>
                <w:rFonts w:hint="default" w:ascii="Times New Roman" w:hAnsi="Times New Roman" w:eastAsia="宋体" w:cs="Times New Roman"/>
                <w:color w:val="auto"/>
                <w:sz w:val="24"/>
                <w:szCs w:val="24"/>
                <w:highlight w:val="none"/>
                <w:u w:val="none" w:color="auto"/>
                <w:lang w:eastAsia="zh-CN"/>
              </w:rPr>
            </w:pPr>
            <w:r>
              <w:rPr>
                <w:rFonts w:hint="default" w:ascii="Times New Roman" w:hAnsi="Times New Roman" w:eastAsia="宋体" w:cs="Times New Roman"/>
                <w:color w:val="auto"/>
                <w:sz w:val="24"/>
                <w:szCs w:val="24"/>
                <w:highlight w:val="none"/>
                <w:u w:val="none" w:color="auto"/>
                <w:lang w:eastAsia="zh-CN"/>
              </w:rPr>
              <w:t>2、现有的大气污染物及其治理措施</w:t>
            </w:r>
          </w:p>
          <w:p w14:paraId="37FBD94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outlineLvl w:val="9"/>
              <w:rPr>
                <w:rFonts w:hint="default" w:ascii="Times New Roman" w:hAnsi="Times New Roman" w:eastAsia="宋体" w:cs="Times New Roman"/>
                <w:color w:val="auto"/>
                <w:sz w:val="24"/>
                <w:szCs w:val="24"/>
                <w:highlight w:val="none"/>
                <w:u w:val="none" w:color="auto"/>
                <w:lang w:eastAsia="zh-CN"/>
              </w:rPr>
            </w:pPr>
            <w:r>
              <w:rPr>
                <w:rFonts w:hint="eastAsia" w:ascii="Times New Roman" w:hAnsi="Times New Roman" w:eastAsia="宋体" w:cs="Times New Roman"/>
                <w:color w:val="auto"/>
                <w:sz w:val="24"/>
                <w:szCs w:val="24"/>
                <w:highlight w:val="none"/>
                <w:u w:val="none" w:color="auto"/>
                <w:lang w:val="en-US" w:eastAsia="zh-CN"/>
              </w:rPr>
              <w:t>本项目现有工程</w:t>
            </w:r>
            <w:r>
              <w:rPr>
                <w:rFonts w:hint="default" w:ascii="Times New Roman" w:hAnsi="Times New Roman" w:eastAsia="宋体" w:cs="Times New Roman"/>
                <w:color w:val="auto"/>
                <w:sz w:val="24"/>
                <w:szCs w:val="24"/>
                <w:highlight w:val="none"/>
                <w:u w:val="none" w:color="auto"/>
                <w:lang w:eastAsia="zh-CN"/>
              </w:rPr>
              <w:t>营运过程中产生的废气主要是</w:t>
            </w:r>
            <w:r>
              <w:rPr>
                <w:rFonts w:hint="eastAsia" w:ascii="Times New Roman" w:hAnsi="Times New Roman" w:cs="Times New Roman"/>
                <w:color w:val="auto"/>
                <w:sz w:val="24"/>
                <w:szCs w:val="24"/>
                <w:highlight w:val="none"/>
                <w:u w:val="none" w:color="auto"/>
                <w:lang w:val="en-US" w:eastAsia="zh-CN"/>
              </w:rPr>
              <w:t>餐厅油烟</w:t>
            </w:r>
            <w:r>
              <w:rPr>
                <w:rFonts w:hint="default" w:ascii="Times New Roman" w:hAnsi="Times New Roman" w:eastAsia="宋体" w:cs="Times New Roman"/>
                <w:color w:val="auto"/>
                <w:sz w:val="24"/>
                <w:szCs w:val="24"/>
                <w:highlight w:val="none"/>
                <w:u w:val="none" w:color="auto"/>
                <w:lang w:eastAsia="zh-CN"/>
              </w:rPr>
              <w:t>。</w:t>
            </w:r>
          </w:p>
          <w:p w14:paraId="4D3B5D7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outlineLvl w:val="9"/>
              <w:rPr>
                <w:rFonts w:hint="default" w:ascii="Times New Roman" w:hAnsi="Times New Roman" w:eastAsia="宋体" w:cs="Times New Roman"/>
                <w:color w:val="auto"/>
                <w:sz w:val="24"/>
                <w:szCs w:val="24"/>
                <w:highlight w:val="none"/>
                <w:u w:val="none" w:color="auto"/>
                <w:lang w:eastAsia="zh-CN"/>
              </w:rPr>
            </w:pPr>
            <w:r>
              <w:rPr>
                <w:rFonts w:hint="default" w:ascii="Times New Roman" w:hAnsi="Times New Roman" w:eastAsia="宋体" w:cs="Times New Roman"/>
                <w:color w:val="auto"/>
                <w:sz w:val="24"/>
                <w:szCs w:val="24"/>
                <w:highlight w:val="none"/>
                <w:u w:val="none" w:color="auto"/>
                <w:lang w:eastAsia="zh-CN"/>
              </w:rPr>
              <w:t>现有项目</w:t>
            </w:r>
            <w:r>
              <w:rPr>
                <w:rFonts w:hint="eastAsia" w:ascii="Times New Roman" w:hAnsi="Times New Roman" w:cs="Times New Roman"/>
                <w:color w:val="auto"/>
                <w:sz w:val="24"/>
                <w:szCs w:val="24"/>
                <w:highlight w:val="none"/>
                <w:u w:val="none" w:color="auto"/>
                <w:lang w:val="en-US" w:eastAsia="zh-CN"/>
              </w:rPr>
              <w:t>餐厅油烟经现有8套油烟净化器处理后</w:t>
            </w:r>
            <w:r>
              <w:rPr>
                <w:rFonts w:hint="eastAsia" w:cs="Times New Roman"/>
                <w:color w:val="auto"/>
                <w:sz w:val="24"/>
                <w:szCs w:val="24"/>
                <w:highlight w:val="none"/>
                <w:u w:val="none" w:color="auto"/>
                <w:lang w:val="en-US" w:eastAsia="zh-CN"/>
              </w:rPr>
              <w:t>以无组织的形式排放</w:t>
            </w:r>
            <w:r>
              <w:rPr>
                <w:rFonts w:hint="default" w:ascii="Times New Roman" w:hAnsi="Times New Roman" w:eastAsia="宋体" w:cs="Times New Roman"/>
                <w:color w:val="auto"/>
                <w:sz w:val="24"/>
                <w:szCs w:val="24"/>
                <w:highlight w:val="none"/>
                <w:u w:val="none" w:color="auto"/>
                <w:lang w:eastAsia="zh-CN"/>
              </w:rPr>
              <w:t>。</w:t>
            </w:r>
          </w:p>
          <w:p w14:paraId="438F14D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outlineLvl w:val="9"/>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rPr>
              <w:t>根据河南</w:t>
            </w:r>
            <w:r>
              <w:rPr>
                <w:rFonts w:hint="eastAsia" w:cs="Times New Roman"/>
                <w:color w:val="auto"/>
                <w:sz w:val="24"/>
                <w:szCs w:val="24"/>
                <w:highlight w:val="none"/>
                <w:u w:val="none" w:color="auto"/>
                <w:lang w:val="en-US" w:eastAsia="zh-CN"/>
              </w:rPr>
              <w:t>祥瑞环保检测科技</w:t>
            </w:r>
            <w:r>
              <w:rPr>
                <w:rFonts w:hint="default" w:ascii="Times New Roman" w:hAnsi="Times New Roman" w:eastAsia="宋体" w:cs="Times New Roman"/>
                <w:color w:val="auto"/>
                <w:sz w:val="24"/>
                <w:szCs w:val="24"/>
                <w:highlight w:val="none"/>
                <w:u w:val="none" w:color="auto"/>
              </w:rPr>
              <w:t>有限</w:t>
            </w:r>
            <w:r>
              <w:rPr>
                <w:rFonts w:hint="eastAsia" w:cs="Times New Roman"/>
                <w:color w:val="auto"/>
                <w:sz w:val="24"/>
                <w:szCs w:val="24"/>
                <w:highlight w:val="none"/>
                <w:u w:val="none" w:color="auto"/>
                <w:lang w:val="en-US" w:eastAsia="zh-CN"/>
              </w:rPr>
              <w:t>公司</w:t>
            </w:r>
            <w:r>
              <w:rPr>
                <w:rFonts w:hint="default" w:ascii="Times New Roman" w:hAnsi="Times New Roman" w:eastAsia="宋体" w:cs="Times New Roman"/>
                <w:color w:val="auto"/>
                <w:sz w:val="24"/>
                <w:szCs w:val="24"/>
                <w:highlight w:val="none"/>
                <w:u w:val="none" w:color="auto"/>
              </w:rPr>
              <w:t>于202</w:t>
            </w:r>
            <w:r>
              <w:rPr>
                <w:rFonts w:hint="eastAsia" w:cs="Times New Roman"/>
                <w:color w:val="auto"/>
                <w:sz w:val="24"/>
                <w:szCs w:val="24"/>
                <w:highlight w:val="none"/>
                <w:u w:val="none" w:color="auto"/>
                <w:lang w:val="en-US" w:eastAsia="zh-CN"/>
              </w:rPr>
              <w:t>5</w:t>
            </w:r>
            <w:r>
              <w:rPr>
                <w:rFonts w:hint="default" w:ascii="Times New Roman" w:hAnsi="Times New Roman" w:eastAsia="宋体" w:cs="Times New Roman"/>
                <w:color w:val="auto"/>
                <w:sz w:val="24"/>
                <w:szCs w:val="24"/>
                <w:highlight w:val="none"/>
                <w:u w:val="none" w:color="auto"/>
              </w:rPr>
              <w:t>年</w:t>
            </w:r>
            <w:r>
              <w:rPr>
                <w:rFonts w:hint="eastAsia" w:cs="Times New Roman"/>
                <w:color w:val="auto"/>
                <w:sz w:val="24"/>
                <w:szCs w:val="24"/>
                <w:highlight w:val="none"/>
                <w:u w:val="none" w:color="auto"/>
                <w:lang w:val="en-US" w:eastAsia="zh-CN"/>
              </w:rPr>
              <w:t>4</w:t>
            </w:r>
            <w:r>
              <w:rPr>
                <w:rFonts w:hint="default" w:ascii="Times New Roman" w:hAnsi="Times New Roman" w:eastAsia="宋体" w:cs="Times New Roman"/>
                <w:color w:val="auto"/>
                <w:sz w:val="24"/>
                <w:szCs w:val="24"/>
                <w:highlight w:val="none"/>
                <w:u w:val="none" w:color="auto"/>
              </w:rPr>
              <w:t>月</w:t>
            </w:r>
            <w:r>
              <w:rPr>
                <w:rFonts w:hint="eastAsia" w:cs="Times New Roman"/>
                <w:color w:val="auto"/>
                <w:sz w:val="24"/>
                <w:szCs w:val="24"/>
                <w:highlight w:val="none"/>
                <w:u w:val="none" w:color="auto"/>
                <w:lang w:val="en-US" w:eastAsia="zh-CN"/>
              </w:rPr>
              <w:t>9</w:t>
            </w:r>
            <w:r>
              <w:rPr>
                <w:rFonts w:hint="default" w:ascii="Times New Roman" w:hAnsi="Times New Roman" w:eastAsia="宋体" w:cs="Times New Roman"/>
                <w:color w:val="auto"/>
                <w:sz w:val="24"/>
                <w:szCs w:val="24"/>
                <w:highlight w:val="none"/>
                <w:u w:val="none" w:color="auto"/>
              </w:rPr>
              <w:t>日出具的检测报告，</w:t>
            </w:r>
            <w:r>
              <w:rPr>
                <w:rFonts w:hint="default" w:ascii="Times New Roman" w:hAnsi="Times New Roman" w:eastAsia="宋体" w:cs="Times New Roman"/>
                <w:color w:val="auto"/>
                <w:sz w:val="24"/>
                <w:szCs w:val="24"/>
                <w:highlight w:val="none"/>
                <w:u w:val="none" w:color="auto"/>
                <w:lang w:val="en-US" w:eastAsia="zh-CN"/>
              </w:rPr>
              <w:t>检测结果详见下表。</w:t>
            </w:r>
          </w:p>
          <w:p w14:paraId="4077D1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highlight w:val="none"/>
                <w:u w:val="none" w:color="auto"/>
                <w:lang w:val="en-US" w:eastAsia="zh-CN"/>
              </w:rPr>
            </w:pPr>
            <w:r>
              <w:rPr>
                <w:rFonts w:hint="default" w:ascii="Times New Roman" w:hAnsi="Times New Roman" w:eastAsia="宋体" w:cs="Times New Roman"/>
                <w:b/>
                <w:bCs/>
                <w:color w:val="auto"/>
                <w:sz w:val="24"/>
                <w:highlight w:val="none"/>
                <w:u w:val="none" w:color="auto"/>
                <w:lang w:val="en-US" w:eastAsia="zh-CN"/>
              </w:rPr>
              <w:t>表2-1</w:t>
            </w:r>
            <w:r>
              <w:rPr>
                <w:rFonts w:hint="eastAsia" w:ascii="Times New Roman" w:hAnsi="Times New Roman" w:eastAsia="宋体" w:cs="Times New Roman"/>
                <w:b/>
                <w:bCs/>
                <w:color w:val="auto"/>
                <w:sz w:val="24"/>
                <w:highlight w:val="none"/>
                <w:u w:val="none" w:color="auto"/>
                <w:lang w:val="en-US" w:eastAsia="zh-CN"/>
              </w:rPr>
              <w:t>3</w:t>
            </w:r>
            <w:r>
              <w:rPr>
                <w:rFonts w:hint="default" w:ascii="Times New Roman" w:hAnsi="Times New Roman" w:eastAsia="宋体" w:cs="Times New Roman"/>
                <w:b/>
                <w:bCs/>
                <w:color w:val="auto"/>
                <w:sz w:val="24"/>
                <w:highlight w:val="none"/>
                <w:u w:val="none" w:color="auto"/>
                <w:lang w:val="en-US" w:eastAsia="zh-CN"/>
              </w:rPr>
              <w:t xml:space="preserve">   无组织废气检测结果</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000000" w:sz="4" w:space="0"/>
              </w:tblBorders>
              <w:tblLayout w:type="autofit"/>
              <w:tblCellMar>
                <w:top w:w="0" w:type="dxa"/>
                <w:left w:w="108" w:type="dxa"/>
                <w:bottom w:w="0" w:type="dxa"/>
                <w:right w:w="108" w:type="dxa"/>
              </w:tblCellMar>
            </w:tblPr>
            <w:tblGrid>
              <w:gridCol w:w="2492"/>
              <w:gridCol w:w="1279"/>
              <w:gridCol w:w="897"/>
              <w:gridCol w:w="1154"/>
              <w:gridCol w:w="1154"/>
              <w:gridCol w:w="1160"/>
            </w:tblGrid>
            <w:tr w14:paraId="3C2F8225">
              <w:tblPrEx>
                <w:tblBorders>
                  <w:top w:val="single" w:color="auto" w:sz="4" w:space="0"/>
                  <w:left w:val="single" w:color="auto" w:sz="4" w:space="0"/>
                  <w:bottom w:val="single" w:color="auto" w:sz="4" w:space="0"/>
                  <w:right w:val="single" w:color="auto" w:sz="4" w:space="0"/>
                  <w:insideH w:val="single" w:color="auto" w:sz="4" w:space="0"/>
                  <w:insideV w:val="single" w:color="000000" w:sz="4" w:space="0"/>
                </w:tblBorders>
                <w:tblCellMar>
                  <w:top w:w="0" w:type="dxa"/>
                  <w:left w:w="108" w:type="dxa"/>
                  <w:bottom w:w="0" w:type="dxa"/>
                  <w:right w:w="108" w:type="dxa"/>
                </w:tblCellMar>
              </w:tblPrEx>
              <w:trPr>
                <w:trHeight w:val="510" w:hRule="atLeast"/>
                <w:jc w:val="center"/>
              </w:trPr>
              <w:tc>
                <w:tcPr>
                  <w:tcW w:w="1532" w:type="pct"/>
                  <w:vMerge w:val="restart"/>
                  <w:tcBorders>
                    <w:tl2br w:val="nil"/>
                    <w:tr2bl w:val="nil"/>
                  </w:tcBorders>
                  <w:noWrap w:val="0"/>
                  <w:vAlign w:val="center"/>
                </w:tcPr>
                <w:p w14:paraId="1603E2FD">
                  <w:pPr>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检测</w:t>
                  </w:r>
                  <w:r>
                    <w:rPr>
                      <w:rFonts w:hint="default" w:ascii="Times New Roman" w:hAnsi="Times New Roman" w:cs="Times New Roman"/>
                      <w:sz w:val="21"/>
                      <w:szCs w:val="21"/>
                      <w:lang w:val="en-US" w:eastAsia="zh-CN"/>
                    </w:rPr>
                    <w:t>项目</w:t>
                  </w:r>
                </w:p>
              </w:tc>
              <w:tc>
                <w:tcPr>
                  <w:tcW w:w="786" w:type="pct"/>
                  <w:vMerge w:val="restart"/>
                  <w:tcBorders>
                    <w:tl2br w:val="nil"/>
                    <w:tr2bl w:val="nil"/>
                  </w:tcBorders>
                  <w:noWrap w:val="0"/>
                  <w:vAlign w:val="center"/>
                </w:tcPr>
                <w:p w14:paraId="63EE82CF">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采样日期</w:t>
                  </w:r>
                </w:p>
              </w:tc>
              <w:tc>
                <w:tcPr>
                  <w:tcW w:w="2681" w:type="pct"/>
                  <w:gridSpan w:val="4"/>
                  <w:tcBorders>
                    <w:tl2br w:val="nil"/>
                    <w:tr2bl w:val="nil"/>
                  </w:tcBorders>
                  <w:noWrap w:val="0"/>
                  <w:vAlign w:val="center"/>
                </w:tcPr>
                <w:p w14:paraId="4FE5940F">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检测结果</w:t>
                  </w:r>
                </w:p>
              </w:tc>
            </w:tr>
            <w:tr w14:paraId="5B6DAECC">
              <w:tblPrEx>
                <w:tblBorders>
                  <w:top w:val="single" w:color="auto" w:sz="4" w:space="0"/>
                  <w:left w:val="single" w:color="auto" w:sz="4" w:space="0"/>
                  <w:bottom w:val="single" w:color="auto" w:sz="4" w:space="0"/>
                  <w:right w:val="single" w:color="auto" w:sz="4" w:space="0"/>
                  <w:insideH w:val="single" w:color="auto" w:sz="4" w:space="0"/>
                  <w:insideV w:val="single" w:color="000000" w:sz="4" w:space="0"/>
                </w:tblBorders>
                <w:tblCellMar>
                  <w:top w:w="0" w:type="dxa"/>
                  <w:left w:w="108" w:type="dxa"/>
                  <w:bottom w:w="0" w:type="dxa"/>
                  <w:right w:w="108" w:type="dxa"/>
                </w:tblCellMar>
              </w:tblPrEx>
              <w:trPr>
                <w:trHeight w:val="510" w:hRule="atLeast"/>
                <w:jc w:val="center"/>
              </w:trPr>
              <w:tc>
                <w:tcPr>
                  <w:tcW w:w="1532" w:type="pct"/>
                  <w:vMerge w:val="continue"/>
                  <w:tcBorders>
                    <w:tl2br w:val="nil"/>
                    <w:tr2bl w:val="nil"/>
                  </w:tcBorders>
                  <w:noWrap w:val="0"/>
                  <w:vAlign w:val="center"/>
                </w:tcPr>
                <w:p w14:paraId="1F422CFF">
                  <w:pPr>
                    <w:jc w:val="center"/>
                    <w:rPr>
                      <w:rFonts w:hint="default" w:ascii="Times New Roman" w:hAnsi="Times New Roman" w:cs="Times New Roman"/>
                      <w:sz w:val="21"/>
                      <w:szCs w:val="21"/>
                    </w:rPr>
                  </w:pPr>
                </w:p>
              </w:tc>
              <w:tc>
                <w:tcPr>
                  <w:tcW w:w="786" w:type="pct"/>
                  <w:vMerge w:val="continue"/>
                  <w:tcBorders>
                    <w:tl2br w:val="nil"/>
                    <w:tr2bl w:val="nil"/>
                  </w:tcBorders>
                  <w:noWrap w:val="0"/>
                  <w:vAlign w:val="center"/>
                </w:tcPr>
                <w:p w14:paraId="3B218B51">
                  <w:pPr>
                    <w:jc w:val="center"/>
                    <w:rPr>
                      <w:rFonts w:hint="default" w:ascii="Times New Roman" w:hAnsi="Times New Roman" w:cs="Times New Roman"/>
                      <w:sz w:val="21"/>
                      <w:szCs w:val="21"/>
                    </w:rPr>
                  </w:pPr>
                </w:p>
              </w:tc>
              <w:tc>
                <w:tcPr>
                  <w:tcW w:w="551" w:type="pct"/>
                  <w:tcBorders>
                    <w:tl2br w:val="nil"/>
                    <w:tr2bl w:val="nil"/>
                  </w:tcBorders>
                  <w:noWrap w:val="0"/>
                  <w:vAlign w:val="center"/>
                </w:tcPr>
                <w:p w14:paraId="5C5366C5">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上风向</w:t>
                  </w:r>
                </w:p>
              </w:tc>
              <w:tc>
                <w:tcPr>
                  <w:tcW w:w="709" w:type="pct"/>
                  <w:tcBorders>
                    <w:tl2br w:val="nil"/>
                    <w:tr2bl w:val="nil"/>
                  </w:tcBorders>
                  <w:noWrap w:val="0"/>
                  <w:vAlign w:val="center"/>
                </w:tcPr>
                <w:p w14:paraId="52B6F239">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下风向1#</w:t>
                  </w:r>
                </w:p>
              </w:tc>
              <w:tc>
                <w:tcPr>
                  <w:tcW w:w="709" w:type="pct"/>
                  <w:tcBorders>
                    <w:tl2br w:val="nil"/>
                    <w:tr2bl w:val="nil"/>
                  </w:tcBorders>
                  <w:noWrap w:val="0"/>
                  <w:vAlign w:val="center"/>
                </w:tcPr>
                <w:p w14:paraId="02D98BAE">
                  <w:pPr>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下风向2#</w:t>
                  </w:r>
                </w:p>
              </w:tc>
              <w:tc>
                <w:tcPr>
                  <w:tcW w:w="710" w:type="pct"/>
                  <w:tcBorders>
                    <w:tl2br w:val="nil"/>
                    <w:tr2bl w:val="nil"/>
                  </w:tcBorders>
                  <w:noWrap w:val="0"/>
                  <w:vAlign w:val="center"/>
                </w:tcPr>
                <w:p w14:paraId="481AC472">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下风向3#</w:t>
                  </w:r>
                </w:p>
              </w:tc>
            </w:tr>
            <w:tr w14:paraId="1DC2C9C0">
              <w:tblPrEx>
                <w:tblBorders>
                  <w:top w:val="single" w:color="auto" w:sz="4" w:space="0"/>
                  <w:left w:val="single" w:color="auto" w:sz="4" w:space="0"/>
                  <w:bottom w:val="single" w:color="auto" w:sz="4" w:space="0"/>
                  <w:right w:val="single" w:color="auto" w:sz="4" w:space="0"/>
                  <w:insideH w:val="single" w:color="auto" w:sz="4" w:space="0"/>
                  <w:insideV w:val="single" w:color="000000" w:sz="4" w:space="0"/>
                </w:tblBorders>
                <w:tblCellMar>
                  <w:top w:w="0" w:type="dxa"/>
                  <w:left w:w="108" w:type="dxa"/>
                  <w:bottom w:w="0" w:type="dxa"/>
                  <w:right w:w="108" w:type="dxa"/>
                </w:tblCellMar>
              </w:tblPrEx>
              <w:trPr>
                <w:trHeight w:val="510" w:hRule="atLeast"/>
                <w:jc w:val="center"/>
              </w:trPr>
              <w:tc>
                <w:tcPr>
                  <w:tcW w:w="1532" w:type="pct"/>
                  <w:vMerge w:val="restart"/>
                  <w:tcBorders>
                    <w:tl2br w:val="nil"/>
                    <w:tr2bl w:val="nil"/>
                  </w:tcBorders>
                  <w:noWrap w:val="0"/>
                  <w:vAlign w:val="center"/>
                </w:tcPr>
                <w:p w14:paraId="560F088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总悬浮颗粒物（μg/m</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w:t>
                  </w:r>
                </w:p>
              </w:tc>
              <w:tc>
                <w:tcPr>
                  <w:tcW w:w="786" w:type="pct"/>
                  <w:vMerge w:val="restart"/>
                  <w:tcBorders>
                    <w:tl2br w:val="nil"/>
                    <w:tr2bl w:val="nil"/>
                  </w:tcBorders>
                  <w:noWrap w:val="0"/>
                  <w:vAlign w:val="center"/>
                </w:tcPr>
                <w:p w14:paraId="1BC14C43">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2025.04.02</w:t>
                  </w:r>
                </w:p>
              </w:tc>
              <w:tc>
                <w:tcPr>
                  <w:tcW w:w="551" w:type="pct"/>
                  <w:tcBorders>
                    <w:tl2br w:val="nil"/>
                    <w:tr2bl w:val="nil"/>
                  </w:tcBorders>
                  <w:noWrap w:val="0"/>
                  <w:vAlign w:val="center"/>
                </w:tcPr>
                <w:p w14:paraId="001ADDB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180 </w:t>
                  </w:r>
                </w:p>
              </w:tc>
              <w:tc>
                <w:tcPr>
                  <w:tcW w:w="709" w:type="pct"/>
                  <w:tcBorders>
                    <w:tl2br w:val="nil"/>
                    <w:tr2bl w:val="nil"/>
                  </w:tcBorders>
                  <w:noWrap w:val="0"/>
                  <w:vAlign w:val="center"/>
                </w:tcPr>
                <w:p w14:paraId="4A1CDC3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228 </w:t>
                  </w:r>
                </w:p>
              </w:tc>
              <w:tc>
                <w:tcPr>
                  <w:tcW w:w="709" w:type="pct"/>
                  <w:tcBorders>
                    <w:tl2br w:val="nil"/>
                    <w:tr2bl w:val="nil"/>
                  </w:tcBorders>
                  <w:noWrap w:val="0"/>
                  <w:vAlign w:val="center"/>
                </w:tcPr>
                <w:p w14:paraId="309424C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348 </w:t>
                  </w:r>
                </w:p>
              </w:tc>
              <w:tc>
                <w:tcPr>
                  <w:tcW w:w="710" w:type="pct"/>
                  <w:tcBorders>
                    <w:tl2br w:val="nil"/>
                    <w:tr2bl w:val="nil"/>
                  </w:tcBorders>
                  <w:noWrap w:val="0"/>
                  <w:vAlign w:val="center"/>
                </w:tcPr>
                <w:p w14:paraId="58E55A1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312 </w:t>
                  </w:r>
                </w:p>
              </w:tc>
            </w:tr>
            <w:tr w14:paraId="17486711">
              <w:tblPrEx>
                <w:tblBorders>
                  <w:top w:val="single" w:color="auto" w:sz="4" w:space="0"/>
                  <w:left w:val="single" w:color="auto" w:sz="4" w:space="0"/>
                  <w:bottom w:val="single" w:color="auto" w:sz="4" w:space="0"/>
                  <w:right w:val="single" w:color="auto" w:sz="4" w:space="0"/>
                  <w:insideH w:val="single" w:color="auto" w:sz="4" w:space="0"/>
                  <w:insideV w:val="single" w:color="000000" w:sz="4" w:space="0"/>
                </w:tblBorders>
                <w:tblCellMar>
                  <w:top w:w="0" w:type="dxa"/>
                  <w:left w:w="108" w:type="dxa"/>
                  <w:bottom w:w="0" w:type="dxa"/>
                  <w:right w:w="108" w:type="dxa"/>
                </w:tblCellMar>
              </w:tblPrEx>
              <w:trPr>
                <w:trHeight w:val="510" w:hRule="atLeast"/>
                <w:jc w:val="center"/>
              </w:trPr>
              <w:tc>
                <w:tcPr>
                  <w:tcW w:w="1532" w:type="pct"/>
                  <w:vMerge w:val="continue"/>
                  <w:tcBorders>
                    <w:tl2br w:val="nil"/>
                    <w:tr2bl w:val="nil"/>
                  </w:tcBorders>
                  <w:noWrap w:val="0"/>
                  <w:vAlign w:val="center"/>
                </w:tcPr>
                <w:p w14:paraId="0A5AF096">
                  <w:pPr>
                    <w:jc w:val="center"/>
                    <w:rPr>
                      <w:rFonts w:hint="default" w:ascii="Times New Roman" w:hAnsi="Times New Roman" w:eastAsia="宋体" w:cs="Times New Roman"/>
                      <w:sz w:val="21"/>
                      <w:szCs w:val="21"/>
                      <w:lang w:val="en-US" w:eastAsia="zh-CN"/>
                    </w:rPr>
                  </w:pPr>
                </w:p>
              </w:tc>
              <w:tc>
                <w:tcPr>
                  <w:tcW w:w="786" w:type="pct"/>
                  <w:vMerge w:val="continue"/>
                  <w:tcBorders>
                    <w:tl2br w:val="nil"/>
                    <w:tr2bl w:val="nil"/>
                  </w:tcBorders>
                  <w:noWrap w:val="0"/>
                  <w:vAlign w:val="center"/>
                </w:tcPr>
                <w:p w14:paraId="339528E6">
                  <w:pPr>
                    <w:jc w:val="center"/>
                    <w:rPr>
                      <w:rFonts w:hint="default" w:ascii="Times New Roman" w:hAnsi="Times New Roman" w:eastAsia="宋体" w:cs="Times New Roman"/>
                      <w:sz w:val="21"/>
                      <w:szCs w:val="21"/>
                      <w:lang w:val="en-US" w:eastAsia="zh-CN"/>
                    </w:rPr>
                  </w:pPr>
                </w:p>
              </w:tc>
              <w:tc>
                <w:tcPr>
                  <w:tcW w:w="551" w:type="pct"/>
                  <w:tcBorders>
                    <w:tl2br w:val="nil"/>
                    <w:tr2bl w:val="nil"/>
                  </w:tcBorders>
                  <w:noWrap w:val="0"/>
                  <w:vAlign w:val="center"/>
                </w:tcPr>
                <w:p w14:paraId="0EBB663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187 </w:t>
                  </w:r>
                </w:p>
              </w:tc>
              <w:tc>
                <w:tcPr>
                  <w:tcW w:w="709" w:type="pct"/>
                  <w:tcBorders>
                    <w:tl2br w:val="nil"/>
                    <w:tr2bl w:val="nil"/>
                  </w:tcBorders>
                  <w:noWrap w:val="0"/>
                  <w:vAlign w:val="center"/>
                </w:tcPr>
                <w:p w14:paraId="08A4AE8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265 </w:t>
                  </w:r>
                </w:p>
              </w:tc>
              <w:tc>
                <w:tcPr>
                  <w:tcW w:w="709" w:type="pct"/>
                  <w:tcBorders>
                    <w:tl2br w:val="nil"/>
                    <w:tr2bl w:val="nil"/>
                  </w:tcBorders>
                  <w:noWrap w:val="0"/>
                  <w:vAlign w:val="center"/>
                </w:tcPr>
                <w:p w14:paraId="2515220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395 </w:t>
                  </w:r>
                </w:p>
              </w:tc>
              <w:tc>
                <w:tcPr>
                  <w:tcW w:w="710" w:type="pct"/>
                  <w:tcBorders>
                    <w:tl2br w:val="nil"/>
                    <w:tr2bl w:val="nil"/>
                  </w:tcBorders>
                  <w:noWrap w:val="0"/>
                  <w:vAlign w:val="center"/>
                </w:tcPr>
                <w:p w14:paraId="7E65A97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327 </w:t>
                  </w:r>
                </w:p>
              </w:tc>
            </w:tr>
            <w:tr w14:paraId="1C714138">
              <w:tblPrEx>
                <w:tblBorders>
                  <w:top w:val="single" w:color="auto" w:sz="4" w:space="0"/>
                  <w:left w:val="single" w:color="auto" w:sz="4" w:space="0"/>
                  <w:bottom w:val="single" w:color="auto" w:sz="4" w:space="0"/>
                  <w:right w:val="single" w:color="auto" w:sz="4" w:space="0"/>
                  <w:insideH w:val="single" w:color="auto" w:sz="4" w:space="0"/>
                  <w:insideV w:val="single" w:color="000000" w:sz="4" w:space="0"/>
                </w:tblBorders>
                <w:tblCellMar>
                  <w:top w:w="0" w:type="dxa"/>
                  <w:left w:w="108" w:type="dxa"/>
                  <w:bottom w:w="0" w:type="dxa"/>
                  <w:right w:w="108" w:type="dxa"/>
                </w:tblCellMar>
              </w:tblPrEx>
              <w:trPr>
                <w:trHeight w:val="510" w:hRule="atLeast"/>
                <w:jc w:val="center"/>
              </w:trPr>
              <w:tc>
                <w:tcPr>
                  <w:tcW w:w="1532" w:type="pct"/>
                  <w:vMerge w:val="continue"/>
                  <w:tcBorders>
                    <w:tl2br w:val="nil"/>
                    <w:tr2bl w:val="nil"/>
                  </w:tcBorders>
                  <w:noWrap w:val="0"/>
                  <w:vAlign w:val="center"/>
                </w:tcPr>
                <w:p w14:paraId="77C2CDA0">
                  <w:pPr>
                    <w:jc w:val="center"/>
                    <w:rPr>
                      <w:rFonts w:hint="default" w:ascii="Times New Roman" w:hAnsi="Times New Roman" w:eastAsia="宋体" w:cs="Times New Roman"/>
                      <w:sz w:val="21"/>
                      <w:szCs w:val="21"/>
                      <w:lang w:val="en-US" w:eastAsia="zh-CN"/>
                    </w:rPr>
                  </w:pPr>
                </w:p>
              </w:tc>
              <w:tc>
                <w:tcPr>
                  <w:tcW w:w="786" w:type="pct"/>
                  <w:vMerge w:val="continue"/>
                  <w:tcBorders>
                    <w:tl2br w:val="nil"/>
                    <w:tr2bl w:val="nil"/>
                  </w:tcBorders>
                  <w:noWrap w:val="0"/>
                  <w:vAlign w:val="center"/>
                </w:tcPr>
                <w:p w14:paraId="46F25654">
                  <w:pPr>
                    <w:jc w:val="center"/>
                    <w:rPr>
                      <w:rFonts w:hint="default" w:ascii="Times New Roman" w:hAnsi="Times New Roman" w:eastAsia="宋体" w:cs="Times New Roman"/>
                      <w:sz w:val="21"/>
                      <w:szCs w:val="21"/>
                      <w:lang w:val="en-US" w:eastAsia="zh-CN"/>
                    </w:rPr>
                  </w:pPr>
                </w:p>
              </w:tc>
              <w:tc>
                <w:tcPr>
                  <w:tcW w:w="551" w:type="pct"/>
                  <w:tcBorders>
                    <w:tl2br w:val="nil"/>
                    <w:tr2bl w:val="nil"/>
                  </w:tcBorders>
                  <w:noWrap w:val="0"/>
                  <w:vAlign w:val="center"/>
                </w:tcPr>
                <w:p w14:paraId="32FA035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197 </w:t>
                  </w:r>
                </w:p>
              </w:tc>
              <w:tc>
                <w:tcPr>
                  <w:tcW w:w="709" w:type="pct"/>
                  <w:tcBorders>
                    <w:tl2br w:val="nil"/>
                    <w:tr2bl w:val="nil"/>
                  </w:tcBorders>
                  <w:noWrap w:val="0"/>
                  <w:vAlign w:val="center"/>
                </w:tcPr>
                <w:p w14:paraId="1DF6F86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325 </w:t>
                  </w:r>
                </w:p>
              </w:tc>
              <w:tc>
                <w:tcPr>
                  <w:tcW w:w="709" w:type="pct"/>
                  <w:tcBorders>
                    <w:tl2br w:val="nil"/>
                    <w:tr2bl w:val="nil"/>
                  </w:tcBorders>
                  <w:noWrap w:val="0"/>
                  <w:vAlign w:val="center"/>
                </w:tcPr>
                <w:p w14:paraId="24B36DE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363 </w:t>
                  </w:r>
                </w:p>
              </w:tc>
              <w:tc>
                <w:tcPr>
                  <w:tcW w:w="710" w:type="pct"/>
                  <w:tcBorders>
                    <w:tl2br w:val="nil"/>
                    <w:tr2bl w:val="nil"/>
                  </w:tcBorders>
                  <w:noWrap w:val="0"/>
                  <w:vAlign w:val="center"/>
                </w:tcPr>
                <w:p w14:paraId="5E60AD0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282 </w:t>
                  </w:r>
                </w:p>
              </w:tc>
            </w:tr>
            <w:tr w14:paraId="77285D57">
              <w:tblPrEx>
                <w:tblBorders>
                  <w:top w:val="single" w:color="auto" w:sz="4" w:space="0"/>
                  <w:left w:val="single" w:color="auto" w:sz="4" w:space="0"/>
                  <w:bottom w:val="single" w:color="auto" w:sz="4" w:space="0"/>
                  <w:right w:val="single" w:color="auto" w:sz="4" w:space="0"/>
                  <w:insideH w:val="single" w:color="auto" w:sz="4" w:space="0"/>
                  <w:insideV w:val="single" w:color="000000" w:sz="4" w:space="0"/>
                </w:tblBorders>
                <w:tblCellMar>
                  <w:top w:w="0" w:type="dxa"/>
                  <w:left w:w="108" w:type="dxa"/>
                  <w:bottom w:w="0" w:type="dxa"/>
                  <w:right w:w="108" w:type="dxa"/>
                </w:tblCellMar>
              </w:tblPrEx>
              <w:trPr>
                <w:trHeight w:val="510" w:hRule="atLeast"/>
                <w:jc w:val="center"/>
              </w:trPr>
              <w:tc>
                <w:tcPr>
                  <w:tcW w:w="1532" w:type="pct"/>
                  <w:vMerge w:val="restart"/>
                  <w:tcBorders>
                    <w:tl2br w:val="nil"/>
                    <w:tr2bl w:val="nil"/>
                  </w:tcBorders>
                  <w:noWrap w:val="0"/>
                  <w:vAlign w:val="center"/>
                </w:tcPr>
                <w:p w14:paraId="3582CE4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非甲烷总烃（mg/m</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w:t>
                  </w:r>
                </w:p>
              </w:tc>
              <w:tc>
                <w:tcPr>
                  <w:tcW w:w="786" w:type="pct"/>
                  <w:vMerge w:val="restart"/>
                  <w:tcBorders>
                    <w:tl2br w:val="nil"/>
                    <w:tr2bl w:val="nil"/>
                  </w:tcBorders>
                  <w:noWrap w:val="0"/>
                  <w:vAlign w:val="center"/>
                </w:tcPr>
                <w:p w14:paraId="5F026CC1">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2025.04.02</w:t>
                  </w:r>
                </w:p>
              </w:tc>
              <w:tc>
                <w:tcPr>
                  <w:tcW w:w="551" w:type="pct"/>
                  <w:tcBorders>
                    <w:tl2br w:val="nil"/>
                    <w:tr2bl w:val="nil"/>
                  </w:tcBorders>
                  <w:noWrap w:val="0"/>
                  <w:vAlign w:val="center"/>
                </w:tcPr>
                <w:p w14:paraId="1C3DD6F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709" w:type="pct"/>
                  <w:tcBorders>
                    <w:tl2br w:val="nil"/>
                    <w:tr2bl w:val="nil"/>
                  </w:tcBorders>
                  <w:noWrap w:val="0"/>
                  <w:vAlign w:val="center"/>
                </w:tcPr>
                <w:p w14:paraId="4ECE774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0.62</w:t>
                  </w:r>
                </w:p>
              </w:tc>
              <w:tc>
                <w:tcPr>
                  <w:tcW w:w="709" w:type="pct"/>
                  <w:tcBorders>
                    <w:tl2br w:val="nil"/>
                    <w:tr2bl w:val="nil"/>
                  </w:tcBorders>
                  <w:noWrap w:val="0"/>
                  <w:vAlign w:val="center"/>
                </w:tcPr>
                <w:p w14:paraId="54EE6B4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0.74</w:t>
                  </w:r>
                </w:p>
              </w:tc>
              <w:tc>
                <w:tcPr>
                  <w:tcW w:w="710" w:type="pct"/>
                  <w:tcBorders>
                    <w:tl2br w:val="nil"/>
                    <w:tr2bl w:val="nil"/>
                  </w:tcBorders>
                  <w:noWrap w:val="0"/>
                  <w:vAlign w:val="center"/>
                </w:tcPr>
                <w:p w14:paraId="188BA0E3">
                  <w:pPr>
                    <w:keepNext w:val="0"/>
                    <w:keepLines w:val="0"/>
                    <w:widowControl/>
                    <w:suppressLineNumbers w:val="0"/>
                    <w:jc w:val="center"/>
                    <w:textAlignment w:val="center"/>
                    <w:rPr>
                      <w:rFonts w:hint="default" w:ascii="Times New Roman" w:hAnsi="Times New Roman" w:cs="Times New Roman"/>
                      <w:i w:val="0"/>
                      <w:iCs w:val="0"/>
                      <w:color w:val="000000"/>
                      <w:kern w:val="0"/>
                      <w:sz w:val="21"/>
                      <w:szCs w:val="21"/>
                      <w:highlight w:val="none"/>
                      <w:u w:val="none"/>
                      <w:lang w:val="en-US" w:eastAsia="zh-CN" w:bidi="ar"/>
                    </w:rPr>
                  </w:pPr>
                  <w:r>
                    <w:rPr>
                      <w:rFonts w:hint="default" w:ascii="Times New Roman" w:hAnsi="Times New Roman" w:cs="Times New Roman"/>
                      <w:i w:val="0"/>
                      <w:iCs w:val="0"/>
                      <w:color w:val="000000"/>
                      <w:kern w:val="0"/>
                      <w:sz w:val="21"/>
                      <w:szCs w:val="21"/>
                      <w:highlight w:val="none"/>
                      <w:u w:val="none"/>
                      <w:lang w:val="en-US" w:eastAsia="zh-CN" w:bidi="ar"/>
                    </w:rPr>
                    <w:t>0.57</w:t>
                  </w:r>
                </w:p>
              </w:tc>
            </w:tr>
            <w:tr w14:paraId="4548A269">
              <w:tblPrEx>
                <w:tblBorders>
                  <w:top w:val="single" w:color="auto" w:sz="4" w:space="0"/>
                  <w:left w:val="single" w:color="auto" w:sz="4" w:space="0"/>
                  <w:bottom w:val="single" w:color="auto" w:sz="4" w:space="0"/>
                  <w:right w:val="single" w:color="auto" w:sz="4" w:space="0"/>
                  <w:insideH w:val="single" w:color="auto" w:sz="4" w:space="0"/>
                  <w:insideV w:val="single" w:color="000000" w:sz="4" w:space="0"/>
                </w:tblBorders>
                <w:tblCellMar>
                  <w:top w:w="0" w:type="dxa"/>
                  <w:left w:w="108" w:type="dxa"/>
                  <w:bottom w:w="0" w:type="dxa"/>
                  <w:right w:w="108" w:type="dxa"/>
                </w:tblCellMar>
              </w:tblPrEx>
              <w:trPr>
                <w:trHeight w:val="510" w:hRule="atLeast"/>
                <w:jc w:val="center"/>
              </w:trPr>
              <w:tc>
                <w:tcPr>
                  <w:tcW w:w="1532" w:type="pct"/>
                  <w:vMerge w:val="continue"/>
                  <w:tcBorders>
                    <w:tl2br w:val="nil"/>
                    <w:tr2bl w:val="nil"/>
                  </w:tcBorders>
                  <w:noWrap w:val="0"/>
                  <w:vAlign w:val="center"/>
                </w:tcPr>
                <w:p w14:paraId="4E7AD703">
                  <w:pPr>
                    <w:jc w:val="center"/>
                    <w:rPr>
                      <w:rFonts w:hint="default" w:ascii="Times New Roman" w:hAnsi="Times New Roman" w:cs="Times New Roman"/>
                      <w:sz w:val="21"/>
                      <w:szCs w:val="21"/>
                      <w:lang w:eastAsia="zh-CN"/>
                    </w:rPr>
                  </w:pPr>
                </w:p>
              </w:tc>
              <w:tc>
                <w:tcPr>
                  <w:tcW w:w="786" w:type="pct"/>
                  <w:vMerge w:val="continue"/>
                  <w:tcBorders>
                    <w:tl2br w:val="nil"/>
                    <w:tr2bl w:val="nil"/>
                  </w:tcBorders>
                  <w:noWrap w:val="0"/>
                  <w:vAlign w:val="center"/>
                </w:tcPr>
                <w:p w14:paraId="5D823DFF">
                  <w:pPr>
                    <w:jc w:val="center"/>
                    <w:rPr>
                      <w:rFonts w:hint="default" w:ascii="Times New Roman" w:hAnsi="Times New Roman" w:cs="Times New Roman"/>
                      <w:sz w:val="21"/>
                      <w:szCs w:val="21"/>
                      <w:lang w:val="en-US" w:eastAsia="zh-CN"/>
                    </w:rPr>
                  </w:pPr>
                </w:p>
              </w:tc>
              <w:tc>
                <w:tcPr>
                  <w:tcW w:w="551" w:type="pct"/>
                  <w:tcBorders>
                    <w:tl2br w:val="nil"/>
                    <w:tr2bl w:val="nil"/>
                  </w:tcBorders>
                  <w:noWrap w:val="0"/>
                  <w:vAlign w:val="center"/>
                </w:tcPr>
                <w:p w14:paraId="0A56910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0.52</w:t>
                  </w:r>
                </w:p>
              </w:tc>
              <w:tc>
                <w:tcPr>
                  <w:tcW w:w="709" w:type="pct"/>
                  <w:tcBorders>
                    <w:tl2br w:val="nil"/>
                    <w:tr2bl w:val="nil"/>
                  </w:tcBorders>
                  <w:noWrap w:val="0"/>
                  <w:vAlign w:val="center"/>
                </w:tcPr>
                <w:p w14:paraId="4B5158C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0.58</w:t>
                  </w:r>
                </w:p>
              </w:tc>
              <w:tc>
                <w:tcPr>
                  <w:tcW w:w="709" w:type="pct"/>
                  <w:tcBorders>
                    <w:tl2br w:val="nil"/>
                    <w:tr2bl w:val="nil"/>
                  </w:tcBorders>
                  <w:noWrap w:val="0"/>
                  <w:vAlign w:val="center"/>
                </w:tcPr>
                <w:p w14:paraId="718887B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0.79</w:t>
                  </w:r>
                </w:p>
              </w:tc>
              <w:tc>
                <w:tcPr>
                  <w:tcW w:w="710" w:type="pct"/>
                  <w:tcBorders>
                    <w:tl2br w:val="nil"/>
                    <w:tr2bl w:val="nil"/>
                  </w:tcBorders>
                  <w:noWrap w:val="0"/>
                  <w:vAlign w:val="center"/>
                </w:tcPr>
                <w:p w14:paraId="2FFB08F3">
                  <w:pPr>
                    <w:keepNext w:val="0"/>
                    <w:keepLines w:val="0"/>
                    <w:widowControl/>
                    <w:suppressLineNumbers w:val="0"/>
                    <w:jc w:val="center"/>
                    <w:textAlignment w:val="center"/>
                    <w:rPr>
                      <w:rFonts w:hint="default" w:ascii="Times New Roman" w:hAnsi="Times New Roman" w:cs="Times New Roman"/>
                      <w:i w:val="0"/>
                      <w:iCs w:val="0"/>
                      <w:color w:val="000000"/>
                      <w:kern w:val="0"/>
                      <w:sz w:val="21"/>
                      <w:szCs w:val="21"/>
                      <w:highlight w:val="none"/>
                      <w:u w:val="none"/>
                      <w:lang w:val="en-US" w:eastAsia="zh-CN" w:bidi="ar"/>
                    </w:rPr>
                  </w:pPr>
                  <w:r>
                    <w:rPr>
                      <w:rFonts w:hint="default" w:ascii="Times New Roman" w:hAnsi="Times New Roman" w:cs="Times New Roman"/>
                      <w:i w:val="0"/>
                      <w:iCs w:val="0"/>
                      <w:color w:val="000000"/>
                      <w:kern w:val="0"/>
                      <w:sz w:val="21"/>
                      <w:szCs w:val="21"/>
                      <w:highlight w:val="none"/>
                      <w:u w:val="none"/>
                      <w:lang w:val="en-US" w:eastAsia="zh-CN" w:bidi="ar"/>
                    </w:rPr>
                    <w:t>0.62</w:t>
                  </w:r>
                </w:p>
              </w:tc>
            </w:tr>
            <w:tr w14:paraId="61AB7544">
              <w:tblPrEx>
                <w:tblBorders>
                  <w:top w:val="single" w:color="auto" w:sz="4" w:space="0"/>
                  <w:left w:val="single" w:color="auto" w:sz="4" w:space="0"/>
                  <w:bottom w:val="single" w:color="auto" w:sz="4" w:space="0"/>
                  <w:right w:val="single" w:color="auto" w:sz="4" w:space="0"/>
                  <w:insideH w:val="single" w:color="auto" w:sz="4" w:space="0"/>
                  <w:insideV w:val="single" w:color="000000" w:sz="4" w:space="0"/>
                </w:tblBorders>
                <w:tblCellMar>
                  <w:top w:w="0" w:type="dxa"/>
                  <w:left w:w="108" w:type="dxa"/>
                  <w:bottom w:w="0" w:type="dxa"/>
                  <w:right w:w="108" w:type="dxa"/>
                </w:tblCellMar>
              </w:tblPrEx>
              <w:trPr>
                <w:trHeight w:val="510" w:hRule="atLeast"/>
                <w:jc w:val="center"/>
              </w:trPr>
              <w:tc>
                <w:tcPr>
                  <w:tcW w:w="1532" w:type="pct"/>
                  <w:vMerge w:val="continue"/>
                  <w:tcBorders>
                    <w:tl2br w:val="nil"/>
                    <w:tr2bl w:val="nil"/>
                  </w:tcBorders>
                  <w:noWrap w:val="0"/>
                  <w:vAlign w:val="center"/>
                </w:tcPr>
                <w:p w14:paraId="24845246">
                  <w:pPr>
                    <w:jc w:val="center"/>
                    <w:rPr>
                      <w:rFonts w:hint="default" w:ascii="Times New Roman" w:hAnsi="Times New Roman" w:cs="Times New Roman"/>
                      <w:sz w:val="21"/>
                      <w:szCs w:val="21"/>
                      <w:lang w:eastAsia="zh-CN"/>
                    </w:rPr>
                  </w:pPr>
                </w:p>
              </w:tc>
              <w:tc>
                <w:tcPr>
                  <w:tcW w:w="786" w:type="pct"/>
                  <w:vMerge w:val="continue"/>
                  <w:tcBorders>
                    <w:tl2br w:val="nil"/>
                    <w:tr2bl w:val="nil"/>
                  </w:tcBorders>
                  <w:noWrap w:val="0"/>
                  <w:vAlign w:val="center"/>
                </w:tcPr>
                <w:p w14:paraId="27EB36A8">
                  <w:pPr>
                    <w:jc w:val="center"/>
                    <w:rPr>
                      <w:rFonts w:hint="default" w:ascii="Times New Roman" w:hAnsi="Times New Roman" w:cs="Times New Roman"/>
                      <w:sz w:val="21"/>
                      <w:szCs w:val="21"/>
                      <w:lang w:val="en-US" w:eastAsia="zh-CN"/>
                    </w:rPr>
                  </w:pPr>
                </w:p>
              </w:tc>
              <w:tc>
                <w:tcPr>
                  <w:tcW w:w="551" w:type="pct"/>
                  <w:tcBorders>
                    <w:tl2br w:val="nil"/>
                    <w:tr2bl w:val="nil"/>
                  </w:tcBorders>
                  <w:noWrap w:val="0"/>
                  <w:vAlign w:val="center"/>
                </w:tcPr>
                <w:p w14:paraId="613FDAC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709" w:type="pct"/>
                  <w:tcBorders>
                    <w:tl2br w:val="nil"/>
                    <w:tr2bl w:val="nil"/>
                  </w:tcBorders>
                  <w:noWrap w:val="0"/>
                  <w:vAlign w:val="center"/>
                </w:tcPr>
                <w:p w14:paraId="63724DF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0.70</w:t>
                  </w:r>
                </w:p>
              </w:tc>
              <w:tc>
                <w:tcPr>
                  <w:tcW w:w="709" w:type="pct"/>
                  <w:tcBorders>
                    <w:tl2br w:val="nil"/>
                    <w:tr2bl w:val="nil"/>
                  </w:tcBorders>
                  <w:noWrap w:val="0"/>
                  <w:vAlign w:val="center"/>
                </w:tcPr>
                <w:p w14:paraId="0B16FE5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0.76</w:t>
                  </w:r>
                </w:p>
              </w:tc>
              <w:tc>
                <w:tcPr>
                  <w:tcW w:w="710" w:type="pct"/>
                  <w:tcBorders>
                    <w:tl2br w:val="nil"/>
                    <w:tr2bl w:val="nil"/>
                  </w:tcBorders>
                  <w:noWrap w:val="0"/>
                  <w:vAlign w:val="center"/>
                </w:tcPr>
                <w:p w14:paraId="27B7A1CC">
                  <w:pPr>
                    <w:keepNext w:val="0"/>
                    <w:keepLines w:val="0"/>
                    <w:widowControl/>
                    <w:suppressLineNumbers w:val="0"/>
                    <w:jc w:val="center"/>
                    <w:textAlignment w:val="center"/>
                    <w:rPr>
                      <w:rFonts w:hint="default" w:ascii="Times New Roman" w:hAnsi="Times New Roman" w:cs="Times New Roman"/>
                      <w:i w:val="0"/>
                      <w:iCs w:val="0"/>
                      <w:color w:val="000000"/>
                      <w:kern w:val="0"/>
                      <w:sz w:val="21"/>
                      <w:szCs w:val="21"/>
                      <w:highlight w:val="none"/>
                      <w:u w:val="none"/>
                      <w:lang w:val="en-US" w:eastAsia="zh-CN" w:bidi="ar"/>
                    </w:rPr>
                  </w:pPr>
                  <w:r>
                    <w:rPr>
                      <w:rFonts w:hint="default" w:ascii="Times New Roman" w:hAnsi="Times New Roman" w:cs="Times New Roman"/>
                      <w:i w:val="0"/>
                      <w:iCs w:val="0"/>
                      <w:color w:val="000000"/>
                      <w:kern w:val="0"/>
                      <w:sz w:val="21"/>
                      <w:szCs w:val="21"/>
                      <w:highlight w:val="none"/>
                      <w:u w:val="none"/>
                      <w:lang w:val="en-US" w:eastAsia="zh-CN" w:bidi="ar"/>
                    </w:rPr>
                    <w:t>0.65</w:t>
                  </w:r>
                </w:p>
              </w:tc>
            </w:tr>
            <w:tr w14:paraId="5F211010">
              <w:tblPrEx>
                <w:tblBorders>
                  <w:top w:val="single" w:color="auto" w:sz="4" w:space="0"/>
                  <w:left w:val="single" w:color="auto" w:sz="4" w:space="0"/>
                  <w:bottom w:val="single" w:color="auto" w:sz="4" w:space="0"/>
                  <w:right w:val="single" w:color="auto" w:sz="4" w:space="0"/>
                  <w:insideH w:val="single" w:color="auto" w:sz="4" w:space="0"/>
                  <w:insideV w:val="single" w:color="000000" w:sz="4" w:space="0"/>
                </w:tblBorders>
                <w:tblCellMar>
                  <w:top w:w="0" w:type="dxa"/>
                  <w:left w:w="108" w:type="dxa"/>
                  <w:bottom w:w="0" w:type="dxa"/>
                  <w:right w:w="108" w:type="dxa"/>
                </w:tblCellMar>
              </w:tblPrEx>
              <w:trPr>
                <w:trHeight w:val="510" w:hRule="atLeast"/>
                <w:jc w:val="center"/>
              </w:trPr>
              <w:tc>
                <w:tcPr>
                  <w:tcW w:w="5000" w:type="pct"/>
                  <w:gridSpan w:val="6"/>
                  <w:tcBorders>
                    <w:tl2br w:val="nil"/>
                    <w:tr2bl w:val="nil"/>
                  </w:tcBorders>
                  <w:noWrap w:val="0"/>
                  <w:vAlign w:val="center"/>
                </w:tcPr>
                <w:p w14:paraId="3FF25285">
                  <w:pPr>
                    <w:keepNext w:val="0"/>
                    <w:keepLines w:val="0"/>
                    <w:widowControl/>
                    <w:suppressLineNumbers w:val="0"/>
                    <w:jc w:val="center"/>
                    <w:textAlignment w:val="center"/>
                    <w:rPr>
                      <w:rFonts w:hint="default" w:ascii="Times New Roman" w:hAnsi="Times New Roman" w:cs="Times New Roman"/>
                      <w:i w:val="0"/>
                      <w:iCs w:val="0"/>
                      <w:color w:val="000000"/>
                      <w:kern w:val="0"/>
                      <w:sz w:val="21"/>
                      <w:szCs w:val="21"/>
                      <w:highlight w:val="none"/>
                      <w:u w:val="none"/>
                      <w:lang w:val="en-US" w:eastAsia="zh-CN" w:bidi="ar"/>
                    </w:rPr>
                  </w:pPr>
                  <w:r>
                    <w:rPr>
                      <w:rFonts w:hint="default" w:ascii="Times New Roman" w:hAnsi="Times New Roman" w:cs="Times New Roman"/>
                      <w:color w:val="auto"/>
                      <w:sz w:val="21"/>
                      <w:szCs w:val="21"/>
                      <w:lang w:val="en-US" w:eastAsia="zh-CN"/>
                    </w:rPr>
                    <w:t>气象条件：主风向：东北风；风速：1.1~1.5m/s；温度：15.2~21.4℃；压力：100.0~100.4kPa</w:t>
                  </w:r>
                </w:p>
              </w:tc>
            </w:tr>
          </w:tbl>
          <w:p w14:paraId="7A59405D">
            <w:pPr>
              <w:pStyle w:val="17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96" w:firstLineChars="200"/>
              <w:jc w:val="both"/>
              <w:textAlignment w:val="auto"/>
              <w:rPr>
                <w:rFonts w:hint="default" w:ascii="Times New Roman" w:hAnsi="Times New Roman" w:eastAsia="宋体" w:cs="Times New Roman"/>
                <w:color w:val="auto"/>
                <w:spacing w:val="-6"/>
                <w:sz w:val="24"/>
                <w:szCs w:val="24"/>
                <w:highlight w:val="none"/>
                <w:u w:val="none" w:color="auto"/>
              </w:rPr>
            </w:pPr>
            <w:r>
              <w:rPr>
                <w:rFonts w:hint="default" w:ascii="Times New Roman" w:hAnsi="Times New Roman" w:eastAsia="宋体" w:cs="Times New Roman"/>
                <w:color w:val="auto"/>
                <w:spacing w:val="4"/>
                <w:sz w:val="24"/>
                <w:szCs w:val="24"/>
                <w:highlight w:val="none"/>
                <w:u w:val="none" w:color="auto"/>
                <w:lang w:val="en-US" w:eastAsia="zh-CN"/>
              </w:rPr>
              <w:t>根据上表可知</w:t>
            </w:r>
            <w:r>
              <w:rPr>
                <w:rFonts w:hint="default" w:ascii="Times New Roman" w:hAnsi="Times New Roman" w:eastAsia="宋体" w:cs="Times New Roman"/>
                <w:color w:val="auto"/>
                <w:spacing w:val="4"/>
                <w:sz w:val="24"/>
                <w:szCs w:val="24"/>
                <w:highlight w:val="none"/>
                <w:u w:val="none" w:color="auto"/>
                <w:lang w:eastAsia="zh-CN"/>
              </w:rPr>
              <w:t>，</w:t>
            </w:r>
            <w:r>
              <w:rPr>
                <w:rFonts w:hint="default" w:ascii="Times New Roman" w:hAnsi="Times New Roman" w:eastAsia="宋体" w:cs="Times New Roman"/>
                <w:color w:val="auto"/>
                <w:spacing w:val="4"/>
                <w:sz w:val="24"/>
                <w:szCs w:val="24"/>
                <w:highlight w:val="none"/>
                <w:u w:val="none" w:color="auto"/>
              </w:rPr>
              <w:t>现有项目</w:t>
            </w:r>
            <w:r>
              <w:rPr>
                <w:rFonts w:hint="default" w:ascii="Times New Roman" w:hAnsi="Times New Roman" w:eastAsia="宋体" w:cs="Times New Roman"/>
                <w:color w:val="auto"/>
                <w:spacing w:val="1"/>
                <w:sz w:val="24"/>
                <w:szCs w:val="24"/>
                <w:highlight w:val="none"/>
                <w:u w:val="none" w:color="auto"/>
              </w:rPr>
              <w:t>无组织排放</w:t>
            </w:r>
            <w:r>
              <w:rPr>
                <w:rFonts w:hint="default" w:ascii="Times New Roman" w:hAnsi="Times New Roman" w:eastAsia="宋体" w:cs="Times New Roman"/>
                <w:color w:val="auto"/>
                <w:sz w:val="24"/>
                <w:szCs w:val="24"/>
                <w:highlight w:val="none"/>
                <w:u w:val="none" w:color="auto"/>
              </w:rPr>
              <w:t>废气满足《大气污染物综合排放</w:t>
            </w:r>
            <w:r>
              <w:rPr>
                <w:rFonts w:hint="default" w:ascii="Times New Roman" w:hAnsi="Times New Roman" w:eastAsia="宋体" w:cs="Times New Roman"/>
                <w:color w:val="auto"/>
                <w:spacing w:val="-5"/>
                <w:sz w:val="24"/>
                <w:szCs w:val="24"/>
                <w:highlight w:val="none"/>
                <w:u w:val="none" w:color="auto"/>
              </w:rPr>
              <w:t>标准》（GB16297-</w:t>
            </w:r>
            <w:r>
              <w:rPr>
                <w:rFonts w:hint="default" w:ascii="Times New Roman" w:hAnsi="Times New Roman" w:eastAsia="宋体" w:cs="Times New Roman"/>
                <w:color w:val="auto"/>
                <w:spacing w:val="-33"/>
                <w:sz w:val="24"/>
                <w:szCs w:val="24"/>
                <w:highlight w:val="none"/>
                <w:u w:val="none" w:color="auto"/>
              </w:rPr>
              <w:t xml:space="preserve"> </w:t>
            </w:r>
            <w:r>
              <w:rPr>
                <w:rFonts w:hint="default" w:ascii="Times New Roman" w:hAnsi="Times New Roman" w:eastAsia="宋体" w:cs="Times New Roman"/>
                <w:color w:val="auto"/>
                <w:spacing w:val="-5"/>
                <w:sz w:val="24"/>
                <w:szCs w:val="24"/>
                <w:highlight w:val="none"/>
                <w:u w:val="none" w:color="auto"/>
              </w:rPr>
              <w:t>1996）表</w:t>
            </w:r>
            <w:r>
              <w:rPr>
                <w:rFonts w:hint="default" w:ascii="Times New Roman" w:hAnsi="Times New Roman" w:eastAsia="宋体" w:cs="Times New Roman"/>
                <w:color w:val="auto"/>
                <w:spacing w:val="-44"/>
                <w:sz w:val="24"/>
                <w:szCs w:val="24"/>
                <w:highlight w:val="none"/>
                <w:u w:val="none" w:color="auto"/>
              </w:rPr>
              <w:t xml:space="preserve"> </w:t>
            </w:r>
            <w:r>
              <w:rPr>
                <w:rFonts w:hint="default" w:ascii="Times New Roman" w:hAnsi="Times New Roman" w:eastAsia="宋体" w:cs="Times New Roman"/>
                <w:color w:val="auto"/>
                <w:spacing w:val="-5"/>
                <w:sz w:val="24"/>
                <w:szCs w:val="24"/>
                <w:highlight w:val="none"/>
                <w:u w:val="none" w:color="auto"/>
              </w:rPr>
              <w:t>2无组</w:t>
            </w:r>
            <w:r>
              <w:rPr>
                <w:rFonts w:hint="default" w:ascii="Times New Roman" w:hAnsi="Times New Roman" w:eastAsia="宋体" w:cs="Times New Roman"/>
                <w:color w:val="auto"/>
                <w:spacing w:val="-6"/>
                <w:sz w:val="24"/>
                <w:szCs w:val="24"/>
                <w:highlight w:val="none"/>
                <w:u w:val="none" w:color="auto"/>
              </w:rPr>
              <w:t>织排放浓度监控限值，能够达标排放。</w:t>
            </w:r>
          </w:p>
          <w:p w14:paraId="1CE759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highlight w:val="none"/>
                <w:u w:val="none" w:color="auto"/>
                <w:lang w:val="en-US" w:eastAsia="zh-CN"/>
              </w:rPr>
            </w:pPr>
            <w:r>
              <w:rPr>
                <w:rFonts w:hint="default" w:ascii="Times New Roman" w:hAnsi="Times New Roman" w:eastAsia="宋体" w:cs="Times New Roman"/>
                <w:b/>
                <w:bCs/>
                <w:color w:val="auto"/>
                <w:sz w:val="24"/>
                <w:highlight w:val="none"/>
                <w:u w:val="none" w:color="auto"/>
                <w:lang w:val="en-US" w:eastAsia="zh-CN"/>
              </w:rPr>
              <w:t>表2-1</w:t>
            </w:r>
            <w:r>
              <w:rPr>
                <w:rFonts w:hint="eastAsia" w:cs="Times New Roman"/>
                <w:b/>
                <w:bCs/>
                <w:color w:val="auto"/>
                <w:sz w:val="24"/>
                <w:highlight w:val="none"/>
                <w:u w:val="none" w:color="auto"/>
                <w:lang w:val="en-US" w:eastAsia="zh-CN"/>
              </w:rPr>
              <w:t>4</w:t>
            </w:r>
            <w:r>
              <w:rPr>
                <w:rFonts w:hint="default" w:ascii="Times New Roman" w:hAnsi="Times New Roman" w:eastAsia="宋体" w:cs="Times New Roman"/>
                <w:b/>
                <w:bCs/>
                <w:color w:val="auto"/>
                <w:sz w:val="24"/>
                <w:highlight w:val="none"/>
                <w:u w:val="none" w:color="auto"/>
                <w:lang w:val="en-US" w:eastAsia="zh-CN"/>
              </w:rPr>
              <w:t xml:space="preserve">   </w:t>
            </w:r>
            <w:r>
              <w:rPr>
                <w:rFonts w:hint="eastAsia" w:cs="Times New Roman"/>
                <w:b/>
                <w:bCs/>
                <w:color w:val="auto"/>
                <w:sz w:val="24"/>
                <w:highlight w:val="none"/>
                <w:u w:val="none" w:color="auto"/>
                <w:lang w:val="en-US" w:eastAsia="zh-CN"/>
              </w:rPr>
              <w:t>废水</w:t>
            </w:r>
            <w:r>
              <w:rPr>
                <w:rFonts w:hint="default" w:ascii="Times New Roman" w:hAnsi="Times New Roman" w:eastAsia="宋体" w:cs="Times New Roman"/>
                <w:b/>
                <w:bCs/>
                <w:color w:val="auto"/>
                <w:sz w:val="24"/>
                <w:highlight w:val="none"/>
                <w:u w:val="none" w:color="auto"/>
                <w:lang w:val="en-US" w:eastAsia="zh-CN"/>
              </w:rPr>
              <w:t>检测结果</w:t>
            </w:r>
          </w:p>
          <w:tbl>
            <w:tblPr>
              <w:tblStyle w:val="36"/>
              <w:tblW w:w="4999" w:type="pct"/>
              <w:jc w:val="center"/>
              <w:tblBorders>
                <w:top w:val="single" w:color="auto" w:sz="12" w:space="0"/>
                <w:left w:val="none" w:color="auto" w:sz="0" w:space="0"/>
                <w:bottom w:val="single" w:color="000000"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95"/>
              <w:gridCol w:w="759"/>
              <w:gridCol w:w="585"/>
              <w:gridCol w:w="777"/>
              <w:gridCol w:w="868"/>
              <w:gridCol w:w="604"/>
              <w:gridCol w:w="1044"/>
              <w:gridCol w:w="601"/>
              <w:gridCol w:w="1611"/>
            </w:tblGrid>
            <w:tr w14:paraId="1206943F">
              <w:tblPrEx>
                <w:tblBorders>
                  <w:top w:val="single" w:color="auto"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95" w:type="pct"/>
                  <w:vMerge w:val="restart"/>
                  <w:tcBorders>
                    <w:top w:val="single" w:color="auto" w:sz="4" w:space="0"/>
                    <w:left w:val="single" w:color="auto" w:sz="0" w:space="0"/>
                    <w:tl2br w:val="nil"/>
                    <w:tr2bl w:val="nil"/>
                  </w:tcBorders>
                  <w:noWrap w:val="0"/>
                  <w:vAlign w:val="center"/>
                </w:tcPr>
                <w:p w14:paraId="4FFA8A2C">
                  <w:pPr>
                    <w:jc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采样日期</w:t>
                  </w:r>
                </w:p>
              </w:tc>
              <w:tc>
                <w:tcPr>
                  <w:tcW w:w="466" w:type="pct"/>
                  <w:vMerge w:val="restart"/>
                  <w:tcBorders>
                    <w:top w:val="single" w:color="auto" w:sz="4" w:space="0"/>
                    <w:tl2br w:val="nil"/>
                    <w:tr2bl w:val="nil"/>
                  </w:tcBorders>
                  <w:noWrap w:val="0"/>
                  <w:vAlign w:val="center"/>
                </w:tcPr>
                <w:p w14:paraId="168436C5">
                  <w:pPr>
                    <w:jc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采样点位</w:t>
                  </w:r>
                </w:p>
              </w:tc>
              <w:tc>
                <w:tcPr>
                  <w:tcW w:w="3738" w:type="pct"/>
                  <w:gridSpan w:val="7"/>
                  <w:tcBorders>
                    <w:top w:val="single" w:color="auto" w:sz="4" w:space="0"/>
                    <w:right w:val="single" w:color="auto" w:sz="4" w:space="0"/>
                    <w:tl2br w:val="nil"/>
                    <w:tr2bl w:val="nil"/>
                  </w:tcBorders>
                  <w:noWrap w:val="0"/>
                  <w:vAlign w:val="center"/>
                </w:tcPr>
                <w:p w14:paraId="4802905D">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eastAsia="zh-CN"/>
                    </w:rPr>
                    <w:t>检测结果（</w:t>
                  </w:r>
                  <w:r>
                    <w:rPr>
                      <w:rFonts w:hint="default" w:ascii="Times New Roman" w:hAnsi="Times New Roman" w:eastAsia="宋体" w:cs="Times New Roman"/>
                      <w:sz w:val="21"/>
                      <w:szCs w:val="21"/>
                      <w:highlight w:val="none"/>
                      <w:lang w:val="en-US" w:eastAsia="zh-CN"/>
                    </w:rPr>
                    <w:t>mg/L，</w:t>
                  </w:r>
                  <w:r>
                    <w:rPr>
                      <w:rFonts w:hint="default" w:ascii="Times New Roman" w:hAnsi="Times New Roman" w:eastAsia="宋体" w:cs="Times New Roman"/>
                      <w:kern w:val="2"/>
                      <w:sz w:val="21"/>
                      <w:szCs w:val="21"/>
                      <w:highlight w:val="none"/>
                      <w:lang w:val="en-US" w:eastAsia="zh-CN" w:bidi="ar-SA"/>
                    </w:rPr>
                    <w:t>pH值：无量纲</w:t>
                  </w:r>
                  <w:r>
                    <w:rPr>
                      <w:rFonts w:hint="default" w:ascii="Times New Roman" w:hAnsi="Times New Roman" w:eastAsia="宋体" w:cs="Times New Roman"/>
                      <w:sz w:val="21"/>
                      <w:szCs w:val="21"/>
                      <w:highlight w:val="none"/>
                      <w:lang w:eastAsia="zh-CN"/>
                    </w:rPr>
                    <w:t>）</w:t>
                  </w:r>
                </w:p>
              </w:tc>
            </w:tr>
            <w:tr w14:paraId="7871E597">
              <w:tblPrEx>
                <w:tblBorders>
                  <w:top w:val="single" w:color="auto"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95" w:type="pct"/>
                  <w:vMerge w:val="continue"/>
                  <w:tcBorders>
                    <w:left w:val="single" w:color="auto" w:sz="4" w:space="0"/>
                    <w:tl2br w:val="nil"/>
                    <w:tr2bl w:val="nil"/>
                  </w:tcBorders>
                  <w:noWrap w:val="0"/>
                  <w:vAlign w:val="center"/>
                </w:tcPr>
                <w:p w14:paraId="0D52D5AD">
                  <w:pPr>
                    <w:jc w:val="center"/>
                    <w:rPr>
                      <w:rFonts w:hint="default" w:ascii="Times New Roman" w:hAnsi="Times New Roman" w:eastAsia="宋体" w:cs="Times New Roman"/>
                      <w:sz w:val="21"/>
                      <w:szCs w:val="21"/>
                      <w:highlight w:val="none"/>
                    </w:rPr>
                  </w:pPr>
                </w:p>
              </w:tc>
              <w:tc>
                <w:tcPr>
                  <w:tcW w:w="466" w:type="pct"/>
                  <w:vMerge w:val="continue"/>
                  <w:tcBorders>
                    <w:tl2br w:val="nil"/>
                    <w:tr2bl w:val="nil"/>
                  </w:tcBorders>
                  <w:noWrap w:val="0"/>
                  <w:vAlign w:val="center"/>
                </w:tcPr>
                <w:p w14:paraId="2BF39E54">
                  <w:pPr>
                    <w:jc w:val="center"/>
                    <w:rPr>
                      <w:rFonts w:hint="default" w:ascii="Times New Roman" w:hAnsi="Times New Roman" w:eastAsia="宋体" w:cs="Times New Roman"/>
                      <w:sz w:val="21"/>
                      <w:szCs w:val="21"/>
                      <w:highlight w:val="none"/>
                    </w:rPr>
                  </w:pPr>
                </w:p>
              </w:tc>
              <w:tc>
                <w:tcPr>
                  <w:tcW w:w="359" w:type="pct"/>
                  <w:tcBorders>
                    <w:tl2br w:val="nil"/>
                    <w:tr2bl w:val="nil"/>
                  </w:tcBorders>
                  <w:noWrap w:val="0"/>
                  <w:vAlign w:val="center"/>
                </w:tcPr>
                <w:p w14:paraId="7308A118">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z w:val="21"/>
                      <w:szCs w:val="21"/>
                      <w:highlight w:val="none"/>
                      <w:lang w:val="en-US" w:eastAsia="zh-CN"/>
                    </w:rPr>
                    <w:t>pH值</w:t>
                  </w:r>
                </w:p>
              </w:tc>
              <w:tc>
                <w:tcPr>
                  <w:tcW w:w="477" w:type="pct"/>
                  <w:tcBorders>
                    <w:tl2br w:val="nil"/>
                    <w:tr2bl w:val="nil"/>
                  </w:tcBorders>
                  <w:noWrap w:val="0"/>
                  <w:vAlign w:val="center"/>
                </w:tcPr>
                <w:p w14:paraId="3F26EA24">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z w:val="21"/>
                      <w:szCs w:val="21"/>
                      <w:highlight w:val="none"/>
                      <w:lang w:val="en-US" w:eastAsia="zh-CN"/>
                    </w:rPr>
                    <w:t>化学需氧量</w:t>
                  </w:r>
                </w:p>
              </w:tc>
              <w:tc>
                <w:tcPr>
                  <w:tcW w:w="533" w:type="pct"/>
                  <w:tcBorders>
                    <w:tl2br w:val="nil"/>
                    <w:tr2bl w:val="nil"/>
                  </w:tcBorders>
                  <w:noWrap w:val="0"/>
                  <w:vAlign w:val="center"/>
                </w:tcPr>
                <w:p w14:paraId="21CA2755">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动植物油类</w:t>
                  </w:r>
                </w:p>
              </w:tc>
              <w:tc>
                <w:tcPr>
                  <w:tcW w:w="371" w:type="pct"/>
                  <w:tcBorders>
                    <w:tl2br w:val="nil"/>
                    <w:tr2bl w:val="nil"/>
                  </w:tcBorders>
                  <w:noWrap w:val="0"/>
                  <w:vAlign w:val="center"/>
                </w:tcPr>
                <w:p w14:paraId="48435EEB">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kern w:val="2"/>
                      <w:sz w:val="21"/>
                      <w:szCs w:val="21"/>
                      <w:highlight w:val="none"/>
                      <w:lang w:val="en-US" w:eastAsia="zh-CN" w:bidi="ar-SA"/>
                    </w:rPr>
                    <w:t>氨氮</w:t>
                  </w:r>
                </w:p>
              </w:tc>
              <w:tc>
                <w:tcPr>
                  <w:tcW w:w="641" w:type="pct"/>
                  <w:tcBorders>
                    <w:tl2br w:val="nil"/>
                    <w:tr2bl w:val="nil"/>
                  </w:tcBorders>
                  <w:noWrap w:val="0"/>
                  <w:vAlign w:val="center"/>
                </w:tcPr>
                <w:p w14:paraId="025723BF">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五日生化需氧量</w:t>
                  </w:r>
                </w:p>
              </w:tc>
              <w:tc>
                <w:tcPr>
                  <w:tcW w:w="369" w:type="pct"/>
                  <w:tcBorders>
                    <w:tl2br w:val="nil"/>
                    <w:tr2bl w:val="nil"/>
                  </w:tcBorders>
                  <w:noWrap w:val="0"/>
                  <w:vAlign w:val="center"/>
                </w:tcPr>
                <w:p w14:paraId="3A55A04C">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悬浮物</w:t>
                  </w:r>
                </w:p>
              </w:tc>
              <w:tc>
                <w:tcPr>
                  <w:tcW w:w="985" w:type="pct"/>
                  <w:tcBorders>
                    <w:right w:val="single" w:color="auto" w:sz="4" w:space="0"/>
                    <w:tl2br w:val="nil"/>
                    <w:tr2bl w:val="nil"/>
                  </w:tcBorders>
                  <w:noWrap w:val="0"/>
                  <w:vAlign w:val="center"/>
                </w:tcPr>
                <w:p w14:paraId="0272A548">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样品性状</w:t>
                  </w:r>
                </w:p>
              </w:tc>
            </w:tr>
            <w:tr w14:paraId="08031971">
              <w:tblPrEx>
                <w:tblBorders>
                  <w:top w:val="single" w:color="auto"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95" w:type="pct"/>
                  <w:vMerge w:val="restart"/>
                  <w:tcBorders>
                    <w:left w:val="single" w:color="auto" w:sz="4" w:space="0"/>
                    <w:tl2br w:val="nil"/>
                    <w:tr2bl w:val="nil"/>
                  </w:tcBorders>
                  <w:noWrap w:val="0"/>
                  <w:vAlign w:val="center"/>
                </w:tcPr>
                <w:p w14:paraId="61734E61">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2025.04.02</w:t>
                  </w:r>
                </w:p>
              </w:tc>
              <w:tc>
                <w:tcPr>
                  <w:tcW w:w="466" w:type="pct"/>
                  <w:vMerge w:val="restart"/>
                  <w:tcBorders>
                    <w:tl2br w:val="nil"/>
                    <w:tr2bl w:val="nil"/>
                  </w:tcBorders>
                  <w:noWrap w:val="0"/>
                  <w:vAlign w:val="center"/>
                </w:tcPr>
                <w:p w14:paraId="5228BB19">
                  <w:pPr>
                    <w:ind w:left="0" w:leftChars="0"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污水排放口</w:t>
                  </w:r>
                </w:p>
              </w:tc>
              <w:tc>
                <w:tcPr>
                  <w:tcW w:w="359" w:type="pct"/>
                  <w:tcBorders>
                    <w:tl2br w:val="nil"/>
                    <w:tr2bl w:val="nil"/>
                  </w:tcBorders>
                  <w:noWrap w:val="0"/>
                  <w:vAlign w:val="center"/>
                </w:tcPr>
                <w:p w14:paraId="4B53B791">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7.2</w:t>
                  </w:r>
                </w:p>
              </w:tc>
              <w:tc>
                <w:tcPr>
                  <w:tcW w:w="477" w:type="pct"/>
                  <w:tcBorders>
                    <w:tl2br w:val="nil"/>
                    <w:tr2bl w:val="nil"/>
                  </w:tcBorders>
                  <w:noWrap w:val="0"/>
                  <w:vAlign w:val="center"/>
                </w:tcPr>
                <w:p w14:paraId="726A1AC3">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86</w:t>
                  </w:r>
                </w:p>
              </w:tc>
              <w:tc>
                <w:tcPr>
                  <w:tcW w:w="533" w:type="pct"/>
                  <w:tcBorders>
                    <w:tl2br w:val="nil"/>
                    <w:tr2bl w:val="nil"/>
                  </w:tcBorders>
                  <w:noWrap w:val="0"/>
                  <w:vAlign w:val="center"/>
                </w:tcPr>
                <w:p w14:paraId="080C1277">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0.32</w:t>
                  </w:r>
                </w:p>
              </w:tc>
              <w:tc>
                <w:tcPr>
                  <w:tcW w:w="371" w:type="pct"/>
                  <w:tcBorders>
                    <w:tl2br w:val="nil"/>
                    <w:tr2bl w:val="nil"/>
                  </w:tcBorders>
                  <w:noWrap w:val="0"/>
                  <w:vAlign w:val="center"/>
                </w:tcPr>
                <w:p w14:paraId="1B023594">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1.08</w:t>
                  </w:r>
                </w:p>
              </w:tc>
              <w:tc>
                <w:tcPr>
                  <w:tcW w:w="641" w:type="pct"/>
                  <w:tcBorders>
                    <w:tl2br w:val="nil"/>
                    <w:tr2bl w:val="nil"/>
                  </w:tcBorders>
                  <w:noWrap w:val="0"/>
                  <w:vAlign w:val="center"/>
                </w:tcPr>
                <w:p w14:paraId="389E7D59">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26.2</w:t>
                  </w:r>
                </w:p>
              </w:tc>
              <w:tc>
                <w:tcPr>
                  <w:tcW w:w="369" w:type="pct"/>
                  <w:tcBorders>
                    <w:tl2br w:val="nil"/>
                    <w:tr2bl w:val="nil"/>
                  </w:tcBorders>
                  <w:noWrap w:val="0"/>
                  <w:vAlign w:val="center"/>
                </w:tcPr>
                <w:p w14:paraId="51EAD39D">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18</w:t>
                  </w:r>
                </w:p>
              </w:tc>
              <w:tc>
                <w:tcPr>
                  <w:tcW w:w="985" w:type="pct"/>
                  <w:tcBorders>
                    <w:right w:val="single" w:color="auto" w:sz="4" w:space="0"/>
                    <w:tl2br w:val="nil"/>
                    <w:tr2bl w:val="nil"/>
                  </w:tcBorders>
                  <w:noWrap w:val="0"/>
                  <w:vAlign w:val="center"/>
                </w:tcPr>
                <w:p w14:paraId="6AF42E2C">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微黄、微浊、无异味、无浮油</w:t>
                  </w:r>
                </w:p>
              </w:tc>
            </w:tr>
            <w:tr w14:paraId="58411C02">
              <w:tblPrEx>
                <w:tblBorders>
                  <w:top w:val="single" w:color="auto"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95" w:type="pct"/>
                  <w:vMerge w:val="continue"/>
                  <w:tcBorders>
                    <w:left w:val="single" w:color="auto" w:sz="4" w:space="0"/>
                    <w:tl2br w:val="nil"/>
                    <w:tr2bl w:val="nil"/>
                  </w:tcBorders>
                  <w:noWrap w:val="0"/>
                  <w:vAlign w:val="center"/>
                </w:tcPr>
                <w:p w14:paraId="1DD70326">
                  <w:pPr>
                    <w:jc w:val="center"/>
                    <w:rPr>
                      <w:rFonts w:hint="default" w:ascii="Times New Roman" w:hAnsi="Times New Roman" w:eastAsia="宋体" w:cs="Times New Roman"/>
                      <w:sz w:val="21"/>
                      <w:szCs w:val="21"/>
                      <w:highlight w:val="none"/>
                      <w:lang w:val="en-US" w:eastAsia="zh-CN"/>
                    </w:rPr>
                  </w:pPr>
                </w:p>
              </w:tc>
              <w:tc>
                <w:tcPr>
                  <w:tcW w:w="466" w:type="pct"/>
                  <w:vMerge w:val="continue"/>
                  <w:tcBorders>
                    <w:tl2br w:val="nil"/>
                    <w:tr2bl w:val="nil"/>
                  </w:tcBorders>
                  <w:noWrap w:val="0"/>
                  <w:vAlign w:val="center"/>
                </w:tcPr>
                <w:p w14:paraId="4E1E2DDE">
                  <w:pPr>
                    <w:ind w:left="0" w:leftChars="0" w:firstLine="0" w:firstLineChars="0"/>
                    <w:jc w:val="center"/>
                    <w:rPr>
                      <w:rFonts w:hint="default" w:ascii="Times New Roman" w:hAnsi="Times New Roman" w:eastAsia="宋体" w:cs="Times New Roman"/>
                      <w:kern w:val="2"/>
                      <w:sz w:val="21"/>
                      <w:szCs w:val="21"/>
                      <w:highlight w:val="none"/>
                      <w:lang w:val="en-US" w:eastAsia="zh-CN" w:bidi="ar-SA"/>
                    </w:rPr>
                  </w:pPr>
                </w:p>
              </w:tc>
              <w:tc>
                <w:tcPr>
                  <w:tcW w:w="359" w:type="pct"/>
                  <w:tcBorders>
                    <w:tl2br w:val="nil"/>
                    <w:tr2bl w:val="nil"/>
                  </w:tcBorders>
                  <w:noWrap w:val="0"/>
                  <w:vAlign w:val="center"/>
                </w:tcPr>
                <w:p w14:paraId="10289B15">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7.2</w:t>
                  </w:r>
                </w:p>
              </w:tc>
              <w:tc>
                <w:tcPr>
                  <w:tcW w:w="477" w:type="pct"/>
                  <w:tcBorders>
                    <w:tl2br w:val="nil"/>
                    <w:tr2bl w:val="nil"/>
                  </w:tcBorders>
                  <w:noWrap w:val="0"/>
                  <w:vAlign w:val="center"/>
                </w:tcPr>
                <w:p w14:paraId="1BC31154">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79</w:t>
                  </w:r>
                </w:p>
              </w:tc>
              <w:tc>
                <w:tcPr>
                  <w:tcW w:w="533" w:type="pct"/>
                  <w:tcBorders>
                    <w:tl2br w:val="nil"/>
                    <w:tr2bl w:val="nil"/>
                  </w:tcBorders>
                  <w:noWrap w:val="0"/>
                  <w:vAlign w:val="center"/>
                </w:tcPr>
                <w:p w14:paraId="14433EA6">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0.28</w:t>
                  </w:r>
                </w:p>
              </w:tc>
              <w:tc>
                <w:tcPr>
                  <w:tcW w:w="371" w:type="pct"/>
                  <w:tcBorders>
                    <w:tl2br w:val="nil"/>
                    <w:tr2bl w:val="nil"/>
                  </w:tcBorders>
                  <w:noWrap w:val="0"/>
                  <w:vAlign w:val="center"/>
                </w:tcPr>
                <w:p w14:paraId="78F6BCC4">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1.22</w:t>
                  </w:r>
                </w:p>
              </w:tc>
              <w:tc>
                <w:tcPr>
                  <w:tcW w:w="641" w:type="pct"/>
                  <w:tcBorders>
                    <w:tl2br w:val="nil"/>
                    <w:tr2bl w:val="nil"/>
                  </w:tcBorders>
                  <w:noWrap w:val="0"/>
                  <w:vAlign w:val="center"/>
                </w:tcPr>
                <w:p w14:paraId="576E64C7">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22.8</w:t>
                  </w:r>
                </w:p>
              </w:tc>
              <w:tc>
                <w:tcPr>
                  <w:tcW w:w="369" w:type="pct"/>
                  <w:tcBorders>
                    <w:tl2br w:val="nil"/>
                    <w:tr2bl w:val="nil"/>
                  </w:tcBorders>
                  <w:noWrap w:val="0"/>
                  <w:vAlign w:val="center"/>
                </w:tcPr>
                <w:p w14:paraId="4E32C5BE">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22</w:t>
                  </w:r>
                </w:p>
              </w:tc>
              <w:tc>
                <w:tcPr>
                  <w:tcW w:w="985" w:type="pct"/>
                  <w:tcBorders>
                    <w:right w:val="single" w:color="auto" w:sz="4" w:space="0"/>
                    <w:tl2br w:val="nil"/>
                    <w:tr2bl w:val="nil"/>
                  </w:tcBorders>
                  <w:noWrap w:val="0"/>
                  <w:vAlign w:val="center"/>
                </w:tcPr>
                <w:p w14:paraId="33920F54">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微黄、微浊、无异味、无浮油</w:t>
                  </w:r>
                </w:p>
              </w:tc>
            </w:tr>
            <w:tr w14:paraId="62452BCC">
              <w:tblPrEx>
                <w:tblBorders>
                  <w:top w:val="single" w:color="auto"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95" w:type="pct"/>
                  <w:vMerge w:val="continue"/>
                  <w:tcBorders>
                    <w:left w:val="single" w:color="auto" w:sz="4" w:space="0"/>
                    <w:tl2br w:val="nil"/>
                    <w:tr2bl w:val="nil"/>
                  </w:tcBorders>
                  <w:noWrap w:val="0"/>
                  <w:vAlign w:val="center"/>
                </w:tcPr>
                <w:p w14:paraId="2C3C6098">
                  <w:pPr>
                    <w:jc w:val="center"/>
                    <w:rPr>
                      <w:rFonts w:hint="default" w:ascii="Times New Roman" w:hAnsi="Times New Roman" w:eastAsia="宋体" w:cs="Times New Roman"/>
                      <w:sz w:val="21"/>
                      <w:szCs w:val="21"/>
                      <w:highlight w:val="none"/>
                      <w:lang w:val="en-US" w:eastAsia="zh-CN"/>
                    </w:rPr>
                  </w:pPr>
                </w:p>
              </w:tc>
              <w:tc>
                <w:tcPr>
                  <w:tcW w:w="466" w:type="pct"/>
                  <w:vMerge w:val="continue"/>
                  <w:tcBorders>
                    <w:tl2br w:val="nil"/>
                    <w:tr2bl w:val="nil"/>
                  </w:tcBorders>
                  <w:noWrap w:val="0"/>
                  <w:vAlign w:val="center"/>
                </w:tcPr>
                <w:p w14:paraId="345EAC2F">
                  <w:pPr>
                    <w:ind w:left="0" w:leftChars="0" w:firstLine="0" w:firstLineChars="0"/>
                    <w:jc w:val="center"/>
                    <w:rPr>
                      <w:rFonts w:hint="default" w:ascii="Times New Roman" w:hAnsi="Times New Roman" w:eastAsia="宋体" w:cs="Times New Roman"/>
                      <w:kern w:val="2"/>
                      <w:sz w:val="21"/>
                      <w:szCs w:val="21"/>
                      <w:highlight w:val="none"/>
                      <w:lang w:val="en-US" w:eastAsia="zh-CN" w:bidi="ar-SA"/>
                    </w:rPr>
                  </w:pPr>
                </w:p>
              </w:tc>
              <w:tc>
                <w:tcPr>
                  <w:tcW w:w="359" w:type="pct"/>
                  <w:tcBorders>
                    <w:tl2br w:val="nil"/>
                    <w:tr2bl w:val="nil"/>
                  </w:tcBorders>
                  <w:noWrap w:val="0"/>
                  <w:vAlign w:val="center"/>
                </w:tcPr>
                <w:p w14:paraId="4A163710">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7.2</w:t>
                  </w:r>
                </w:p>
              </w:tc>
              <w:tc>
                <w:tcPr>
                  <w:tcW w:w="477" w:type="pct"/>
                  <w:tcBorders>
                    <w:tl2br w:val="nil"/>
                    <w:tr2bl w:val="nil"/>
                  </w:tcBorders>
                  <w:noWrap w:val="0"/>
                  <w:vAlign w:val="center"/>
                </w:tcPr>
                <w:p w14:paraId="5C79F27E">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93</w:t>
                  </w:r>
                </w:p>
              </w:tc>
              <w:tc>
                <w:tcPr>
                  <w:tcW w:w="533" w:type="pct"/>
                  <w:tcBorders>
                    <w:tl2br w:val="nil"/>
                    <w:tr2bl w:val="nil"/>
                  </w:tcBorders>
                  <w:noWrap w:val="0"/>
                  <w:vAlign w:val="center"/>
                </w:tcPr>
                <w:p w14:paraId="4617B83F">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0.22</w:t>
                  </w:r>
                </w:p>
              </w:tc>
              <w:tc>
                <w:tcPr>
                  <w:tcW w:w="371" w:type="pct"/>
                  <w:tcBorders>
                    <w:tl2br w:val="nil"/>
                    <w:tr2bl w:val="nil"/>
                  </w:tcBorders>
                  <w:noWrap w:val="0"/>
                  <w:vAlign w:val="center"/>
                </w:tcPr>
                <w:p w14:paraId="551849BA">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1.36</w:t>
                  </w:r>
                </w:p>
              </w:tc>
              <w:tc>
                <w:tcPr>
                  <w:tcW w:w="641" w:type="pct"/>
                  <w:tcBorders>
                    <w:tl2br w:val="nil"/>
                    <w:tr2bl w:val="nil"/>
                  </w:tcBorders>
                  <w:noWrap w:val="0"/>
                  <w:vAlign w:val="center"/>
                </w:tcPr>
                <w:p w14:paraId="1A3ECEFC">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23.7</w:t>
                  </w:r>
                </w:p>
              </w:tc>
              <w:tc>
                <w:tcPr>
                  <w:tcW w:w="369" w:type="pct"/>
                  <w:tcBorders>
                    <w:tl2br w:val="nil"/>
                    <w:tr2bl w:val="nil"/>
                  </w:tcBorders>
                  <w:noWrap w:val="0"/>
                  <w:vAlign w:val="center"/>
                </w:tcPr>
                <w:p w14:paraId="63BA7480">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26</w:t>
                  </w:r>
                </w:p>
              </w:tc>
              <w:tc>
                <w:tcPr>
                  <w:tcW w:w="985" w:type="pct"/>
                  <w:tcBorders>
                    <w:right w:val="single" w:color="auto" w:sz="4" w:space="0"/>
                    <w:tl2br w:val="nil"/>
                    <w:tr2bl w:val="nil"/>
                  </w:tcBorders>
                  <w:noWrap w:val="0"/>
                  <w:vAlign w:val="center"/>
                </w:tcPr>
                <w:p w14:paraId="7251A98A">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微黄、微浊、无异味、无浮油</w:t>
                  </w:r>
                </w:p>
              </w:tc>
            </w:tr>
            <w:tr w14:paraId="249C22B3">
              <w:tblPrEx>
                <w:tblBorders>
                  <w:top w:val="single" w:color="auto"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261" w:type="pct"/>
                  <w:gridSpan w:val="2"/>
                  <w:tcBorders>
                    <w:left w:val="single" w:color="auto" w:sz="4" w:space="0"/>
                    <w:bottom w:val="single" w:color="auto" w:sz="4" w:space="0"/>
                    <w:tl2br w:val="nil"/>
                    <w:tr2bl w:val="nil"/>
                  </w:tcBorders>
                  <w:noWrap w:val="0"/>
                  <w:vAlign w:val="center"/>
                </w:tcPr>
                <w:p w14:paraId="71D6EE57">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均值</w:t>
                  </w:r>
                </w:p>
              </w:tc>
              <w:tc>
                <w:tcPr>
                  <w:tcW w:w="359" w:type="pct"/>
                  <w:tcBorders>
                    <w:bottom w:val="single" w:color="auto" w:sz="4" w:space="0"/>
                    <w:tl2br w:val="nil"/>
                    <w:tr2bl w:val="nil"/>
                  </w:tcBorders>
                  <w:noWrap w:val="0"/>
                  <w:vAlign w:val="center"/>
                </w:tcPr>
                <w:p w14:paraId="0F3ACB16">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w:t>
                  </w:r>
                </w:p>
              </w:tc>
              <w:tc>
                <w:tcPr>
                  <w:tcW w:w="477" w:type="pct"/>
                  <w:tcBorders>
                    <w:bottom w:val="single" w:color="auto" w:sz="4" w:space="0"/>
                    <w:tl2br w:val="nil"/>
                    <w:tr2bl w:val="nil"/>
                  </w:tcBorders>
                  <w:noWrap w:val="0"/>
                  <w:vAlign w:val="center"/>
                </w:tcPr>
                <w:p w14:paraId="3846A911">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86</w:t>
                  </w:r>
                </w:p>
              </w:tc>
              <w:tc>
                <w:tcPr>
                  <w:tcW w:w="533" w:type="pct"/>
                  <w:tcBorders>
                    <w:bottom w:val="single" w:color="auto" w:sz="4" w:space="0"/>
                    <w:tl2br w:val="nil"/>
                    <w:tr2bl w:val="nil"/>
                  </w:tcBorders>
                  <w:noWrap w:val="0"/>
                  <w:vAlign w:val="center"/>
                </w:tcPr>
                <w:p w14:paraId="6634E0C0">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0.27</w:t>
                  </w:r>
                </w:p>
              </w:tc>
              <w:tc>
                <w:tcPr>
                  <w:tcW w:w="371" w:type="pct"/>
                  <w:tcBorders>
                    <w:bottom w:val="single" w:color="auto" w:sz="4" w:space="0"/>
                    <w:tl2br w:val="nil"/>
                    <w:tr2bl w:val="nil"/>
                  </w:tcBorders>
                  <w:noWrap w:val="0"/>
                  <w:vAlign w:val="center"/>
                </w:tcPr>
                <w:p w14:paraId="6ADEE9F8">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1.22</w:t>
                  </w:r>
                </w:p>
              </w:tc>
              <w:tc>
                <w:tcPr>
                  <w:tcW w:w="641" w:type="pct"/>
                  <w:tcBorders>
                    <w:bottom w:val="single" w:color="auto" w:sz="4" w:space="0"/>
                    <w:tl2br w:val="nil"/>
                    <w:tr2bl w:val="nil"/>
                  </w:tcBorders>
                  <w:noWrap w:val="0"/>
                  <w:vAlign w:val="center"/>
                </w:tcPr>
                <w:p w14:paraId="665FF2D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24.2</w:t>
                  </w:r>
                </w:p>
              </w:tc>
              <w:tc>
                <w:tcPr>
                  <w:tcW w:w="369" w:type="pct"/>
                  <w:tcBorders>
                    <w:bottom w:val="single" w:color="auto" w:sz="4" w:space="0"/>
                    <w:tl2br w:val="nil"/>
                    <w:tr2bl w:val="nil"/>
                  </w:tcBorders>
                  <w:noWrap w:val="0"/>
                  <w:vAlign w:val="center"/>
                </w:tcPr>
                <w:p w14:paraId="5DC02404">
                  <w:pPr>
                    <w:keepNext w:val="0"/>
                    <w:keepLines w:val="0"/>
                    <w:widowControl/>
                    <w:suppressLineNumbers w:val="0"/>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22</w:t>
                  </w:r>
                </w:p>
              </w:tc>
              <w:tc>
                <w:tcPr>
                  <w:tcW w:w="985" w:type="pct"/>
                  <w:tcBorders>
                    <w:bottom w:val="single" w:color="auto" w:sz="4" w:space="0"/>
                    <w:right w:val="single" w:color="auto" w:sz="4" w:space="0"/>
                    <w:tl2br w:val="nil"/>
                    <w:tr2bl w:val="nil"/>
                  </w:tcBorders>
                  <w:noWrap w:val="0"/>
                  <w:vAlign w:val="center"/>
                </w:tcPr>
                <w:p w14:paraId="353D7D01">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bl>
          <w:p w14:paraId="77747749">
            <w:pPr>
              <w:pStyle w:val="17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96" w:firstLineChars="200"/>
              <w:jc w:val="both"/>
              <w:textAlignment w:val="auto"/>
              <w:rPr>
                <w:rFonts w:hint="default" w:ascii="Times New Roman" w:hAnsi="Times New Roman" w:eastAsia="宋体" w:cs="Times New Roman"/>
                <w:color w:val="auto"/>
                <w:spacing w:val="-6"/>
                <w:sz w:val="24"/>
                <w:szCs w:val="24"/>
                <w:highlight w:val="none"/>
                <w:u w:val="none" w:color="auto"/>
              </w:rPr>
            </w:pPr>
            <w:r>
              <w:rPr>
                <w:rFonts w:hint="default" w:ascii="Times New Roman" w:hAnsi="Times New Roman" w:eastAsia="宋体" w:cs="Times New Roman"/>
                <w:color w:val="auto"/>
                <w:spacing w:val="4"/>
                <w:sz w:val="24"/>
                <w:szCs w:val="24"/>
                <w:highlight w:val="none"/>
                <w:u w:val="none" w:color="auto"/>
                <w:lang w:val="en-US" w:eastAsia="zh-CN"/>
              </w:rPr>
              <w:t>根据上表可知</w:t>
            </w:r>
            <w:r>
              <w:rPr>
                <w:rFonts w:hint="default" w:ascii="Times New Roman" w:hAnsi="Times New Roman" w:eastAsia="宋体" w:cs="Times New Roman"/>
                <w:color w:val="auto"/>
                <w:spacing w:val="4"/>
                <w:sz w:val="24"/>
                <w:szCs w:val="24"/>
                <w:highlight w:val="none"/>
                <w:u w:val="none" w:color="auto"/>
                <w:lang w:eastAsia="zh-CN"/>
              </w:rPr>
              <w:t>，</w:t>
            </w:r>
            <w:r>
              <w:rPr>
                <w:rFonts w:hint="default" w:ascii="Times New Roman" w:hAnsi="Times New Roman" w:eastAsia="宋体" w:cs="Times New Roman"/>
                <w:color w:val="auto"/>
                <w:spacing w:val="4"/>
                <w:sz w:val="24"/>
                <w:szCs w:val="24"/>
                <w:highlight w:val="none"/>
                <w:u w:val="none" w:color="auto"/>
              </w:rPr>
              <w:t>现有项目</w:t>
            </w:r>
            <w:r>
              <w:rPr>
                <w:rFonts w:hint="eastAsia" w:ascii="Times New Roman" w:hAnsi="Times New Roman" w:eastAsia="宋体" w:cs="Times New Roman"/>
                <w:color w:val="auto"/>
                <w:spacing w:val="1"/>
                <w:sz w:val="24"/>
                <w:szCs w:val="24"/>
                <w:highlight w:val="none"/>
                <w:u w:val="none" w:color="auto"/>
                <w:lang w:val="en-US" w:eastAsia="zh-CN"/>
              </w:rPr>
              <w:t>废水排放浓度</w:t>
            </w:r>
            <w:r>
              <w:rPr>
                <w:rFonts w:hint="default" w:ascii="Times New Roman" w:hAnsi="Times New Roman" w:eastAsia="宋体" w:cs="Times New Roman"/>
                <w:color w:val="auto"/>
                <w:sz w:val="24"/>
                <w:szCs w:val="24"/>
                <w:highlight w:val="none"/>
                <w:u w:val="none" w:color="auto"/>
              </w:rPr>
              <w:t>满足《污水综合排放标准》（GB8978-1996）表4三级标准及镇平县</w:t>
            </w:r>
            <w:r>
              <w:rPr>
                <w:rFonts w:hint="default" w:ascii="Times New Roman" w:hAnsi="Times New Roman" w:eastAsia="宋体" w:cs="Times New Roman"/>
                <w:color w:val="auto"/>
                <w:sz w:val="24"/>
                <w:szCs w:val="24"/>
                <w:highlight w:val="none"/>
                <w:u w:val="none" w:color="auto"/>
                <w:lang w:val="en-US" w:eastAsia="zh-CN"/>
              </w:rPr>
              <w:t>污水处理中心</w:t>
            </w:r>
            <w:r>
              <w:rPr>
                <w:rFonts w:hint="default" w:ascii="Times New Roman" w:hAnsi="Times New Roman" w:eastAsia="宋体" w:cs="Times New Roman"/>
                <w:color w:val="auto"/>
                <w:sz w:val="24"/>
                <w:szCs w:val="24"/>
                <w:highlight w:val="none"/>
                <w:u w:val="none" w:color="auto"/>
              </w:rPr>
              <w:t>进水水质指标</w:t>
            </w:r>
            <w:r>
              <w:rPr>
                <w:rFonts w:hint="default" w:ascii="Times New Roman" w:hAnsi="Times New Roman" w:eastAsia="宋体" w:cs="Times New Roman"/>
                <w:color w:val="auto"/>
                <w:spacing w:val="-6"/>
                <w:sz w:val="24"/>
                <w:szCs w:val="24"/>
                <w:highlight w:val="none"/>
                <w:u w:val="none" w:color="auto"/>
              </w:rPr>
              <w:t>。</w:t>
            </w:r>
          </w:p>
          <w:p w14:paraId="01A75E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highlight w:val="none"/>
                <w:u w:val="none" w:color="auto"/>
                <w:lang w:val="en-US" w:eastAsia="zh-CN"/>
              </w:rPr>
            </w:pPr>
            <w:r>
              <w:rPr>
                <w:rFonts w:hint="default" w:ascii="Times New Roman" w:hAnsi="Times New Roman" w:eastAsia="宋体" w:cs="Times New Roman"/>
                <w:b/>
                <w:bCs/>
                <w:color w:val="auto"/>
                <w:sz w:val="24"/>
                <w:highlight w:val="none"/>
                <w:u w:val="none" w:color="auto"/>
                <w:lang w:val="en-US" w:eastAsia="zh-CN"/>
              </w:rPr>
              <w:t>表2-1</w:t>
            </w:r>
            <w:r>
              <w:rPr>
                <w:rFonts w:hint="eastAsia" w:cs="Times New Roman"/>
                <w:b/>
                <w:bCs/>
                <w:color w:val="auto"/>
                <w:sz w:val="24"/>
                <w:highlight w:val="none"/>
                <w:u w:val="none" w:color="auto"/>
                <w:lang w:val="en-US" w:eastAsia="zh-CN"/>
              </w:rPr>
              <w:t>5</w:t>
            </w:r>
            <w:r>
              <w:rPr>
                <w:rFonts w:hint="default" w:ascii="Times New Roman" w:hAnsi="Times New Roman" w:eastAsia="宋体" w:cs="Times New Roman"/>
                <w:b/>
                <w:bCs/>
                <w:color w:val="auto"/>
                <w:sz w:val="24"/>
                <w:highlight w:val="none"/>
                <w:u w:val="none" w:color="auto"/>
                <w:lang w:val="en-US" w:eastAsia="zh-CN"/>
              </w:rPr>
              <w:t xml:space="preserve">  现有工程噪声检测结果一览表  单位：dB（A）</w:t>
            </w:r>
          </w:p>
          <w:tbl>
            <w:tblPr>
              <w:tblStyle w:val="3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000000" w:sz="4" w:space="0"/>
              </w:tblBorders>
              <w:tblLayout w:type="autofit"/>
              <w:tblCellMar>
                <w:top w:w="0" w:type="dxa"/>
                <w:left w:w="108" w:type="dxa"/>
                <w:bottom w:w="0" w:type="dxa"/>
                <w:right w:w="108" w:type="dxa"/>
              </w:tblCellMar>
            </w:tblPr>
            <w:tblGrid>
              <w:gridCol w:w="1181"/>
              <w:gridCol w:w="2404"/>
              <w:gridCol w:w="2116"/>
              <w:gridCol w:w="1211"/>
              <w:gridCol w:w="1222"/>
            </w:tblGrid>
            <w:tr w14:paraId="5BB7A07E">
              <w:tblPrEx>
                <w:tblBorders>
                  <w:top w:val="single" w:color="auto" w:sz="4" w:space="0"/>
                  <w:left w:val="single" w:color="auto" w:sz="4" w:space="0"/>
                  <w:bottom w:val="single" w:color="auto" w:sz="4" w:space="0"/>
                  <w:right w:val="single" w:color="auto" w:sz="4" w:space="0"/>
                  <w:insideH w:val="single" w:color="auto" w:sz="4" w:space="0"/>
                  <w:insideV w:val="single" w:color="000000" w:sz="4" w:space="0"/>
                </w:tblBorders>
                <w:tblCellMar>
                  <w:top w:w="0" w:type="dxa"/>
                  <w:left w:w="108" w:type="dxa"/>
                  <w:bottom w:w="0" w:type="dxa"/>
                  <w:right w:w="108" w:type="dxa"/>
                </w:tblCellMar>
              </w:tblPrEx>
              <w:trPr>
                <w:trHeight w:val="567" w:hRule="atLeast"/>
                <w:jc w:val="center"/>
              </w:trPr>
              <w:tc>
                <w:tcPr>
                  <w:tcW w:w="726" w:type="pct"/>
                  <w:vMerge w:val="restart"/>
                  <w:tcBorders>
                    <w:tl2br w:val="nil"/>
                    <w:tr2bl w:val="nil"/>
                  </w:tcBorders>
                  <w:noWrap w:val="0"/>
                  <w:vAlign w:val="center"/>
                </w:tcPr>
                <w:p w14:paraId="7D8E25E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序号</w:t>
                  </w:r>
                </w:p>
              </w:tc>
              <w:tc>
                <w:tcPr>
                  <w:tcW w:w="1477" w:type="pct"/>
                  <w:vMerge w:val="restart"/>
                  <w:tcBorders>
                    <w:tl2br w:val="nil"/>
                    <w:tr2bl w:val="nil"/>
                  </w:tcBorders>
                  <w:noWrap w:val="0"/>
                  <w:vAlign w:val="center"/>
                </w:tcPr>
                <w:p w14:paraId="3C2E2E92">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检测日期</w:t>
                  </w:r>
                </w:p>
              </w:tc>
              <w:tc>
                <w:tcPr>
                  <w:tcW w:w="1300" w:type="pct"/>
                  <w:vMerge w:val="restart"/>
                  <w:tcBorders>
                    <w:tl2br w:val="nil"/>
                    <w:tr2bl w:val="nil"/>
                  </w:tcBorders>
                  <w:noWrap w:val="0"/>
                  <w:vAlign w:val="center"/>
                </w:tcPr>
                <w:p w14:paraId="7154D51E">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检测点位</w:t>
                  </w:r>
                </w:p>
              </w:tc>
              <w:tc>
                <w:tcPr>
                  <w:tcW w:w="1495" w:type="pct"/>
                  <w:gridSpan w:val="2"/>
                  <w:tcBorders>
                    <w:tl2br w:val="nil"/>
                    <w:tr2bl w:val="nil"/>
                  </w:tcBorders>
                  <w:noWrap w:val="0"/>
                  <w:vAlign w:val="center"/>
                </w:tcPr>
                <w:p w14:paraId="41980B4A">
                  <w:pPr>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检测结果dB(A)</w:t>
                  </w:r>
                </w:p>
              </w:tc>
            </w:tr>
            <w:tr w14:paraId="0498CE0C">
              <w:tblPrEx>
                <w:tblBorders>
                  <w:top w:val="single" w:color="auto" w:sz="4" w:space="0"/>
                  <w:left w:val="single" w:color="auto" w:sz="4" w:space="0"/>
                  <w:bottom w:val="single" w:color="auto" w:sz="4" w:space="0"/>
                  <w:right w:val="single" w:color="auto" w:sz="4" w:space="0"/>
                  <w:insideH w:val="single" w:color="auto" w:sz="4" w:space="0"/>
                  <w:insideV w:val="single" w:color="000000" w:sz="4" w:space="0"/>
                </w:tblBorders>
                <w:tblCellMar>
                  <w:top w:w="0" w:type="dxa"/>
                  <w:left w:w="108" w:type="dxa"/>
                  <w:bottom w:w="0" w:type="dxa"/>
                  <w:right w:w="108" w:type="dxa"/>
                </w:tblCellMar>
              </w:tblPrEx>
              <w:trPr>
                <w:trHeight w:val="567" w:hRule="atLeast"/>
                <w:jc w:val="center"/>
              </w:trPr>
              <w:tc>
                <w:tcPr>
                  <w:tcW w:w="726" w:type="pct"/>
                  <w:vMerge w:val="continue"/>
                  <w:tcBorders>
                    <w:tl2br w:val="nil"/>
                    <w:tr2bl w:val="nil"/>
                  </w:tcBorders>
                  <w:noWrap w:val="0"/>
                  <w:vAlign w:val="center"/>
                </w:tcPr>
                <w:p w14:paraId="14527A60">
                  <w:pPr>
                    <w:jc w:val="center"/>
                    <w:rPr>
                      <w:rFonts w:hint="default" w:ascii="Times New Roman" w:hAnsi="Times New Roman" w:eastAsia="宋体" w:cs="Times New Roman"/>
                      <w:color w:val="auto"/>
                      <w:sz w:val="21"/>
                      <w:szCs w:val="21"/>
                      <w:highlight w:val="none"/>
                      <w:lang w:val="en-US" w:eastAsia="zh-CN"/>
                    </w:rPr>
                  </w:pPr>
                </w:p>
              </w:tc>
              <w:tc>
                <w:tcPr>
                  <w:tcW w:w="1477" w:type="pct"/>
                  <w:vMerge w:val="continue"/>
                  <w:tcBorders>
                    <w:tl2br w:val="nil"/>
                    <w:tr2bl w:val="nil"/>
                  </w:tcBorders>
                  <w:noWrap w:val="0"/>
                  <w:vAlign w:val="center"/>
                </w:tcPr>
                <w:p w14:paraId="2CEB3C48">
                  <w:pPr>
                    <w:jc w:val="center"/>
                    <w:rPr>
                      <w:rFonts w:hint="default" w:ascii="Times New Roman" w:hAnsi="Times New Roman" w:eastAsia="宋体" w:cs="Times New Roman"/>
                      <w:color w:val="auto"/>
                      <w:sz w:val="21"/>
                      <w:szCs w:val="21"/>
                      <w:highlight w:val="none"/>
                      <w:lang w:val="en-US" w:eastAsia="zh-CN"/>
                    </w:rPr>
                  </w:pPr>
                </w:p>
              </w:tc>
              <w:tc>
                <w:tcPr>
                  <w:tcW w:w="1300" w:type="pct"/>
                  <w:vMerge w:val="continue"/>
                  <w:tcBorders>
                    <w:tl2br w:val="nil"/>
                    <w:tr2bl w:val="nil"/>
                  </w:tcBorders>
                  <w:noWrap w:val="0"/>
                  <w:vAlign w:val="center"/>
                </w:tcPr>
                <w:p w14:paraId="6EA87A60">
                  <w:pPr>
                    <w:jc w:val="center"/>
                    <w:rPr>
                      <w:rFonts w:hint="default" w:ascii="Times New Roman" w:hAnsi="Times New Roman" w:eastAsia="宋体" w:cs="Times New Roman"/>
                      <w:color w:val="auto"/>
                      <w:sz w:val="21"/>
                      <w:szCs w:val="21"/>
                      <w:highlight w:val="none"/>
                      <w:lang w:val="en-US" w:eastAsia="zh-CN"/>
                    </w:rPr>
                  </w:pPr>
                </w:p>
              </w:tc>
              <w:tc>
                <w:tcPr>
                  <w:tcW w:w="744" w:type="pct"/>
                  <w:tcBorders>
                    <w:tl2br w:val="nil"/>
                    <w:tr2bl w:val="nil"/>
                  </w:tcBorders>
                  <w:noWrap w:val="0"/>
                  <w:vAlign w:val="center"/>
                </w:tcPr>
                <w:p w14:paraId="5A453513">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昼间</w:t>
                  </w:r>
                </w:p>
              </w:tc>
              <w:tc>
                <w:tcPr>
                  <w:tcW w:w="751" w:type="pct"/>
                  <w:tcBorders>
                    <w:tl2br w:val="nil"/>
                    <w:tr2bl w:val="nil"/>
                  </w:tcBorders>
                  <w:noWrap w:val="0"/>
                  <w:vAlign w:val="center"/>
                </w:tcPr>
                <w:p w14:paraId="728932CB">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夜间</w:t>
                  </w:r>
                </w:p>
              </w:tc>
            </w:tr>
            <w:tr w14:paraId="4C5ED503">
              <w:tblPrEx>
                <w:tblBorders>
                  <w:top w:val="single" w:color="auto" w:sz="4" w:space="0"/>
                  <w:left w:val="single" w:color="auto" w:sz="4" w:space="0"/>
                  <w:bottom w:val="single" w:color="auto" w:sz="4" w:space="0"/>
                  <w:right w:val="single" w:color="auto" w:sz="4" w:space="0"/>
                  <w:insideH w:val="single" w:color="auto" w:sz="4" w:space="0"/>
                  <w:insideV w:val="single" w:color="000000" w:sz="4" w:space="0"/>
                </w:tblBorders>
                <w:tblCellMar>
                  <w:top w:w="0" w:type="dxa"/>
                  <w:left w:w="108" w:type="dxa"/>
                  <w:bottom w:w="0" w:type="dxa"/>
                  <w:right w:w="108" w:type="dxa"/>
                </w:tblCellMar>
              </w:tblPrEx>
              <w:trPr>
                <w:trHeight w:val="567" w:hRule="atLeast"/>
                <w:jc w:val="center"/>
              </w:trPr>
              <w:tc>
                <w:tcPr>
                  <w:tcW w:w="726" w:type="pct"/>
                  <w:tcBorders>
                    <w:tl2br w:val="nil"/>
                    <w:tr2bl w:val="nil"/>
                  </w:tcBorders>
                  <w:noWrap w:val="0"/>
                  <w:vAlign w:val="center"/>
                </w:tcPr>
                <w:p w14:paraId="0958DBDA">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477" w:type="pct"/>
                  <w:vMerge w:val="restart"/>
                  <w:tcBorders>
                    <w:tl2br w:val="nil"/>
                    <w:tr2bl w:val="nil"/>
                  </w:tcBorders>
                  <w:noWrap w:val="0"/>
                  <w:vAlign w:val="center"/>
                </w:tcPr>
                <w:p w14:paraId="57037D5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2025.04.02-2025.04.03</w:t>
                  </w:r>
                </w:p>
              </w:tc>
              <w:tc>
                <w:tcPr>
                  <w:tcW w:w="1300" w:type="pct"/>
                  <w:tcBorders>
                    <w:tl2br w:val="nil"/>
                    <w:tr2bl w:val="nil"/>
                  </w:tcBorders>
                  <w:noWrap w:val="0"/>
                  <w:vAlign w:val="center"/>
                </w:tcPr>
                <w:p w14:paraId="19AAF44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东校界外</w:t>
                  </w:r>
                </w:p>
              </w:tc>
              <w:tc>
                <w:tcPr>
                  <w:tcW w:w="744" w:type="pct"/>
                  <w:tcBorders>
                    <w:tl2br w:val="nil"/>
                    <w:tr2bl w:val="nil"/>
                  </w:tcBorders>
                  <w:noWrap w:val="0"/>
                  <w:vAlign w:val="center"/>
                </w:tcPr>
                <w:p w14:paraId="225AEFD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53</w:t>
                  </w:r>
                </w:p>
              </w:tc>
              <w:tc>
                <w:tcPr>
                  <w:tcW w:w="751" w:type="pct"/>
                  <w:tcBorders>
                    <w:tl2br w:val="nil"/>
                    <w:tr2bl w:val="nil"/>
                  </w:tcBorders>
                  <w:noWrap w:val="0"/>
                  <w:vAlign w:val="center"/>
                </w:tcPr>
                <w:p w14:paraId="59FF7607">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45</w:t>
                  </w:r>
                </w:p>
              </w:tc>
            </w:tr>
            <w:tr w14:paraId="3B233957">
              <w:tblPrEx>
                <w:tblBorders>
                  <w:top w:val="single" w:color="auto" w:sz="4" w:space="0"/>
                  <w:left w:val="single" w:color="auto" w:sz="4" w:space="0"/>
                  <w:bottom w:val="single" w:color="auto" w:sz="4" w:space="0"/>
                  <w:right w:val="single" w:color="auto" w:sz="4" w:space="0"/>
                  <w:insideH w:val="single" w:color="auto" w:sz="4" w:space="0"/>
                  <w:insideV w:val="single" w:color="000000" w:sz="4" w:space="0"/>
                </w:tblBorders>
                <w:tblCellMar>
                  <w:top w:w="0" w:type="dxa"/>
                  <w:left w:w="108" w:type="dxa"/>
                  <w:bottom w:w="0" w:type="dxa"/>
                  <w:right w:w="108" w:type="dxa"/>
                </w:tblCellMar>
              </w:tblPrEx>
              <w:trPr>
                <w:trHeight w:val="567" w:hRule="atLeast"/>
                <w:jc w:val="center"/>
              </w:trPr>
              <w:tc>
                <w:tcPr>
                  <w:tcW w:w="726" w:type="pct"/>
                  <w:tcBorders>
                    <w:tl2br w:val="nil"/>
                    <w:tr2bl w:val="nil"/>
                  </w:tcBorders>
                  <w:noWrap w:val="0"/>
                  <w:vAlign w:val="center"/>
                </w:tcPr>
                <w:p w14:paraId="1063D14A">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1477" w:type="pct"/>
                  <w:vMerge w:val="continue"/>
                  <w:tcBorders>
                    <w:tl2br w:val="nil"/>
                    <w:tr2bl w:val="nil"/>
                  </w:tcBorders>
                  <w:noWrap w:val="0"/>
                  <w:vAlign w:val="center"/>
                </w:tcPr>
                <w:p w14:paraId="5FCB1C37">
                  <w:pPr>
                    <w:jc w:val="center"/>
                    <w:rPr>
                      <w:rFonts w:hint="default" w:ascii="Times New Roman" w:hAnsi="Times New Roman" w:eastAsia="宋体" w:cs="Times New Roman"/>
                      <w:color w:val="auto"/>
                      <w:sz w:val="21"/>
                      <w:szCs w:val="21"/>
                      <w:highlight w:val="none"/>
                      <w:lang w:val="en-US" w:eastAsia="zh-CN"/>
                    </w:rPr>
                  </w:pPr>
                </w:p>
              </w:tc>
              <w:tc>
                <w:tcPr>
                  <w:tcW w:w="1300" w:type="pct"/>
                  <w:tcBorders>
                    <w:tl2br w:val="nil"/>
                    <w:tr2bl w:val="nil"/>
                  </w:tcBorders>
                  <w:noWrap w:val="0"/>
                  <w:vAlign w:val="center"/>
                </w:tcPr>
                <w:p w14:paraId="12A73FA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南校界外</w:t>
                  </w:r>
                </w:p>
              </w:tc>
              <w:tc>
                <w:tcPr>
                  <w:tcW w:w="744" w:type="pct"/>
                  <w:tcBorders>
                    <w:tl2br w:val="nil"/>
                    <w:tr2bl w:val="nil"/>
                  </w:tcBorders>
                  <w:noWrap w:val="0"/>
                  <w:vAlign w:val="center"/>
                </w:tcPr>
                <w:p w14:paraId="67C9A5C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56</w:t>
                  </w:r>
                </w:p>
              </w:tc>
              <w:tc>
                <w:tcPr>
                  <w:tcW w:w="751" w:type="pct"/>
                  <w:tcBorders>
                    <w:tl2br w:val="nil"/>
                    <w:tr2bl w:val="nil"/>
                  </w:tcBorders>
                  <w:noWrap w:val="0"/>
                  <w:vAlign w:val="center"/>
                </w:tcPr>
                <w:p w14:paraId="04CA90A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45</w:t>
                  </w:r>
                </w:p>
              </w:tc>
            </w:tr>
            <w:tr w14:paraId="66F01B3E">
              <w:tblPrEx>
                <w:tblBorders>
                  <w:top w:val="single" w:color="auto" w:sz="4" w:space="0"/>
                  <w:left w:val="single" w:color="auto" w:sz="4" w:space="0"/>
                  <w:bottom w:val="single" w:color="auto" w:sz="4" w:space="0"/>
                  <w:right w:val="single" w:color="auto" w:sz="4" w:space="0"/>
                  <w:insideH w:val="single" w:color="auto" w:sz="4" w:space="0"/>
                  <w:insideV w:val="single" w:color="000000" w:sz="4" w:space="0"/>
                </w:tblBorders>
                <w:tblCellMar>
                  <w:top w:w="0" w:type="dxa"/>
                  <w:left w:w="108" w:type="dxa"/>
                  <w:bottom w:w="0" w:type="dxa"/>
                  <w:right w:w="108" w:type="dxa"/>
                </w:tblCellMar>
              </w:tblPrEx>
              <w:trPr>
                <w:trHeight w:val="567" w:hRule="atLeast"/>
                <w:jc w:val="center"/>
              </w:trPr>
              <w:tc>
                <w:tcPr>
                  <w:tcW w:w="726" w:type="pct"/>
                  <w:tcBorders>
                    <w:tl2br w:val="nil"/>
                    <w:tr2bl w:val="nil"/>
                  </w:tcBorders>
                  <w:noWrap w:val="0"/>
                  <w:vAlign w:val="center"/>
                </w:tcPr>
                <w:p w14:paraId="1CC65C09">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1477" w:type="pct"/>
                  <w:vMerge w:val="continue"/>
                  <w:tcBorders>
                    <w:tl2br w:val="nil"/>
                    <w:tr2bl w:val="nil"/>
                  </w:tcBorders>
                  <w:noWrap w:val="0"/>
                  <w:vAlign w:val="center"/>
                </w:tcPr>
                <w:p w14:paraId="31AD2818">
                  <w:pPr>
                    <w:jc w:val="center"/>
                    <w:rPr>
                      <w:rFonts w:hint="default" w:ascii="Times New Roman" w:hAnsi="Times New Roman" w:eastAsia="宋体" w:cs="Times New Roman"/>
                      <w:color w:val="auto"/>
                      <w:sz w:val="21"/>
                      <w:szCs w:val="21"/>
                      <w:highlight w:val="none"/>
                      <w:lang w:val="en-US" w:eastAsia="zh-CN"/>
                    </w:rPr>
                  </w:pPr>
                </w:p>
              </w:tc>
              <w:tc>
                <w:tcPr>
                  <w:tcW w:w="1300" w:type="pct"/>
                  <w:tcBorders>
                    <w:tl2br w:val="nil"/>
                    <w:tr2bl w:val="nil"/>
                  </w:tcBorders>
                  <w:noWrap w:val="0"/>
                  <w:vAlign w:val="center"/>
                </w:tcPr>
                <w:p w14:paraId="1D26F94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西校界外</w:t>
                  </w:r>
                </w:p>
              </w:tc>
              <w:tc>
                <w:tcPr>
                  <w:tcW w:w="744" w:type="pct"/>
                  <w:tcBorders>
                    <w:tl2br w:val="nil"/>
                    <w:tr2bl w:val="nil"/>
                  </w:tcBorders>
                  <w:noWrap w:val="0"/>
                  <w:vAlign w:val="center"/>
                </w:tcPr>
                <w:p w14:paraId="0156CA14">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53</w:t>
                  </w:r>
                </w:p>
              </w:tc>
              <w:tc>
                <w:tcPr>
                  <w:tcW w:w="751" w:type="pct"/>
                  <w:tcBorders>
                    <w:tl2br w:val="nil"/>
                    <w:tr2bl w:val="nil"/>
                  </w:tcBorders>
                  <w:noWrap w:val="0"/>
                  <w:vAlign w:val="center"/>
                </w:tcPr>
                <w:p w14:paraId="27E9438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41</w:t>
                  </w:r>
                </w:p>
              </w:tc>
            </w:tr>
            <w:tr w14:paraId="3DC0A3A9">
              <w:tblPrEx>
                <w:tblBorders>
                  <w:top w:val="single" w:color="auto" w:sz="4" w:space="0"/>
                  <w:left w:val="single" w:color="auto" w:sz="4" w:space="0"/>
                  <w:bottom w:val="single" w:color="auto" w:sz="4" w:space="0"/>
                  <w:right w:val="single" w:color="auto" w:sz="4" w:space="0"/>
                  <w:insideH w:val="single" w:color="auto" w:sz="4" w:space="0"/>
                  <w:insideV w:val="single" w:color="000000" w:sz="4" w:space="0"/>
                </w:tblBorders>
                <w:tblCellMar>
                  <w:top w:w="0" w:type="dxa"/>
                  <w:left w:w="108" w:type="dxa"/>
                  <w:bottom w:w="0" w:type="dxa"/>
                  <w:right w:w="108" w:type="dxa"/>
                </w:tblCellMar>
              </w:tblPrEx>
              <w:trPr>
                <w:trHeight w:val="567" w:hRule="atLeast"/>
                <w:jc w:val="center"/>
              </w:trPr>
              <w:tc>
                <w:tcPr>
                  <w:tcW w:w="726" w:type="pct"/>
                  <w:tcBorders>
                    <w:tl2br w:val="nil"/>
                    <w:tr2bl w:val="nil"/>
                  </w:tcBorders>
                  <w:noWrap w:val="0"/>
                  <w:vAlign w:val="center"/>
                </w:tcPr>
                <w:p w14:paraId="24AA8F62">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1477" w:type="pct"/>
                  <w:vMerge w:val="continue"/>
                  <w:tcBorders>
                    <w:tl2br w:val="nil"/>
                    <w:tr2bl w:val="nil"/>
                  </w:tcBorders>
                  <w:noWrap w:val="0"/>
                  <w:vAlign w:val="center"/>
                </w:tcPr>
                <w:p w14:paraId="548D0537">
                  <w:pPr>
                    <w:jc w:val="center"/>
                    <w:rPr>
                      <w:rFonts w:hint="default" w:ascii="Times New Roman" w:hAnsi="Times New Roman" w:eastAsia="宋体" w:cs="Times New Roman"/>
                      <w:color w:val="auto"/>
                      <w:sz w:val="21"/>
                      <w:szCs w:val="21"/>
                      <w:highlight w:val="none"/>
                      <w:lang w:val="en-US" w:eastAsia="zh-CN"/>
                    </w:rPr>
                  </w:pPr>
                </w:p>
              </w:tc>
              <w:tc>
                <w:tcPr>
                  <w:tcW w:w="1300" w:type="pct"/>
                  <w:tcBorders>
                    <w:tl2br w:val="nil"/>
                    <w:tr2bl w:val="nil"/>
                  </w:tcBorders>
                  <w:noWrap w:val="0"/>
                  <w:vAlign w:val="center"/>
                </w:tcPr>
                <w:p w14:paraId="3E5D23B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北校界外</w:t>
                  </w:r>
                </w:p>
              </w:tc>
              <w:tc>
                <w:tcPr>
                  <w:tcW w:w="744" w:type="pct"/>
                  <w:tcBorders>
                    <w:tl2br w:val="nil"/>
                    <w:tr2bl w:val="nil"/>
                  </w:tcBorders>
                  <w:noWrap w:val="0"/>
                  <w:vAlign w:val="center"/>
                </w:tcPr>
                <w:p w14:paraId="231588E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53</w:t>
                  </w:r>
                </w:p>
              </w:tc>
              <w:tc>
                <w:tcPr>
                  <w:tcW w:w="751" w:type="pct"/>
                  <w:tcBorders>
                    <w:tl2br w:val="nil"/>
                    <w:tr2bl w:val="nil"/>
                  </w:tcBorders>
                  <w:noWrap w:val="0"/>
                  <w:vAlign w:val="center"/>
                </w:tcPr>
                <w:p w14:paraId="05CC78F3">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42</w:t>
                  </w:r>
                </w:p>
              </w:tc>
            </w:tr>
          </w:tbl>
          <w:p w14:paraId="261E5E89">
            <w:pPr>
              <w:pStyle w:val="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96" w:firstLineChars="200"/>
              <w:textAlignment w:val="auto"/>
              <w:rPr>
                <w:rFonts w:hint="default" w:ascii="Times New Roman" w:hAnsi="Times New Roman" w:eastAsia="宋体" w:cs="Times New Roman"/>
                <w:b w:val="0"/>
                <w:bCs/>
                <w:color w:val="auto"/>
                <w:sz w:val="24"/>
                <w:szCs w:val="24"/>
                <w:highlight w:val="none"/>
                <w:u w:val="none" w:color="auto"/>
                <w:lang w:val="en-US" w:eastAsia="zh-CN"/>
              </w:rPr>
            </w:pPr>
            <w:r>
              <w:rPr>
                <w:rFonts w:hint="default" w:ascii="Times New Roman" w:hAnsi="Times New Roman" w:eastAsia="宋体" w:cs="Times New Roman"/>
                <w:color w:val="auto"/>
                <w:spacing w:val="4"/>
                <w:sz w:val="24"/>
                <w:szCs w:val="24"/>
                <w:highlight w:val="none"/>
                <w:u w:val="none" w:color="auto"/>
                <w:lang w:val="en-US" w:eastAsia="zh-CN"/>
              </w:rPr>
              <w:t>根据上表可知，</w:t>
            </w:r>
            <w:r>
              <w:rPr>
                <w:rFonts w:hint="default" w:ascii="Times New Roman" w:hAnsi="Times New Roman" w:eastAsia="宋体" w:cs="Times New Roman"/>
                <w:b w:val="0"/>
                <w:bCs/>
                <w:color w:val="auto"/>
                <w:sz w:val="24"/>
                <w:szCs w:val="24"/>
                <w:highlight w:val="none"/>
                <w:u w:val="none" w:color="auto"/>
                <w:lang w:val="en-US" w:eastAsia="zh-CN"/>
              </w:rPr>
              <w:t>现有工程东、南、西、北</w:t>
            </w:r>
            <w:r>
              <w:rPr>
                <w:rFonts w:hint="eastAsia" w:cs="Times New Roman"/>
                <w:b w:val="0"/>
                <w:bCs/>
                <w:color w:val="auto"/>
                <w:sz w:val="24"/>
                <w:szCs w:val="24"/>
                <w:highlight w:val="none"/>
                <w:u w:val="none" w:color="auto"/>
                <w:lang w:val="en-US" w:eastAsia="zh-CN"/>
              </w:rPr>
              <w:t>校</w:t>
            </w:r>
            <w:r>
              <w:rPr>
                <w:rFonts w:hint="default" w:ascii="Times New Roman" w:hAnsi="Times New Roman" w:eastAsia="宋体" w:cs="Times New Roman"/>
                <w:b w:val="0"/>
                <w:bCs/>
                <w:color w:val="auto"/>
                <w:sz w:val="24"/>
                <w:szCs w:val="24"/>
                <w:highlight w:val="none"/>
                <w:u w:val="none" w:color="auto"/>
                <w:lang w:val="en-US" w:eastAsia="zh-CN"/>
              </w:rPr>
              <w:t>界满足《工业企业厂界环境噪声排放标准》（GB12348-2008）2类标准。</w:t>
            </w:r>
          </w:p>
          <w:p w14:paraId="1A5E84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u w:val="none" w:color="auto"/>
                <w:lang w:eastAsia="zh-CN"/>
              </w:rPr>
            </w:pPr>
            <w:r>
              <w:rPr>
                <w:rFonts w:hint="default" w:ascii="Times New Roman" w:hAnsi="Times New Roman" w:eastAsia="宋体" w:cs="Times New Roman"/>
                <w:color w:val="auto"/>
                <w:sz w:val="24"/>
                <w:szCs w:val="24"/>
                <w:highlight w:val="none"/>
                <w:u w:val="none" w:color="auto"/>
                <w:lang w:val="en-US" w:eastAsia="zh-CN"/>
              </w:rPr>
              <w:t>3、</w:t>
            </w:r>
            <w:r>
              <w:rPr>
                <w:rFonts w:hint="default" w:ascii="Times New Roman" w:hAnsi="Times New Roman" w:eastAsia="宋体" w:cs="Times New Roman"/>
                <w:color w:val="auto"/>
                <w:sz w:val="24"/>
                <w:szCs w:val="24"/>
                <w:highlight w:val="none"/>
                <w:u w:val="none" w:color="auto"/>
                <w:lang w:eastAsia="zh-CN"/>
              </w:rPr>
              <w:t>原有固废及其治理措施</w:t>
            </w:r>
          </w:p>
          <w:p w14:paraId="3BFF81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u w:val="none" w:color="auto"/>
                <w:lang w:eastAsia="zh-CN"/>
              </w:rPr>
            </w:pPr>
            <w:r>
              <w:rPr>
                <w:rFonts w:hint="default" w:ascii="Times New Roman" w:hAnsi="Times New Roman" w:eastAsia="宋体" w:cs="Times New Roman"/>
                <w:color w:val="auto"/>
                <w:sz w:val="24"/>
                <w:szCs w:val="24"/>
                <w:highlight w:val="none"/>
                <w:u w:val="none" w:color="auto"/>
                <w:lang w:eastAsia="zh-CN"/>
              </w:rPr>
              <w:t>现有项目生产过程中</w:t>
            </w:r>
            <w:r>
              <w:rPr>
                <w:rFonts w:hint="default" w:ascii="Times New Roman" w:hAnsi="Times New Roman" w:eastAsia="宋体" w:cs="Times New Roman"/>
                <w:color w:val="auto"/>
                <w:sz w:val="24"/>
                <w:szCs w:val="24"/>
                <w:highlight w:val="none"/>
                <w:u w:val="none" w:color="auto"/>
                <w:lang w:val="en-US" w:eastAsia="zh-CN"/>
              </w:rPr>
              <w:t>教职工及学生日常</w:t>
            </w:r>
            <w:r>
              <w:rPr>
                <w:rFonts w:hint="default" w:ascii="Times New Roman" w:hAnsi="Times New Roman" w:eastAsia="宋体" w:cs="Times New Roman"/>
                <w:color w:val="auto"/>
                <w:sz w:val="24"/>
                <w:szCs w:val="24"/>
                <w:highlight w:val="none"/>
                <w:u w:val="none" w:color="auto"/>
                <w:lang w:eastAsia="zh-CN"/>
              </w:rPr>
              <w:t>生活垃圾产生量为</w:t>
            </w:r>
            <w:r>
              <w:rPr>
                <w:rFonts w:hint="default" w:ascii="Times New Roman" w:hAnsi="Times New Roman" w:eastAsia="宋体" w:cs="Times New Roman"/>
                <w:color w:val="auto"/>
                <w:sz w:val="24"/>
                <w:szCs w:val="24"/>
                <w:highlight w:val="none"/>
                <w:u w:val="none" w:color="auto"/>
                <w:lang w:val="en-US" w:eastAsia="zh-CN"/>
              </w:rPr>
              <w:t>849.3</w:t>
            </w:r>
            <w:r>
              <w:rPr>
                <w:rFonts w:hint="default" w:ascii="Times New Roman" w:hAnsi="Times New Roman" w:eastAsia="宋体" w:cs="Times New Roman"/>
                <w:color w:val="auto"/>
                <w:sz w:val="24"/>
                <w:szCs w:val="24"/>
                <w:highlight w:val="none"/>
                <w:u w:val="none" w:color="auto"/>
                <w:lang w:eastAsia="zh-CN"/>
              </w:rPr>
              <w:t>t/a，分类收集后交由环卫部门运至垃圾中转站处理；</w:t>
            </w:r>
            <w:r>
              <w:rPr>
                <w:rFonts w:hint="default" w:ascii="Times New Roman" w:hAnsi="Times New Roman" w:eastAsia="宋体" w:cs="Times New Roman"/>
                <w:color w:val="auto"/>
                <w:sz w:val="24"/>
                <w:szCs w:val="24"/>
                <w:highlight w:val="none"/>
                <w:u w:val="none" w:color="auto"/>
                <w:lang w:val="en-US" w:eastAsia="zh-CN"/>
              </w:rPr>
              <w:t>化粪池污泥产生量为</w:t>
            </w:r>
            <w:r>
              <w:rPr>
                <w:rFonts w:hint="eastAsia" w:cs="Times New Roman"/>
                <w:color w:val="auto"/>
                <w:sz w:val="24"/>
                <w:szCs w:val="24"/>
                <w:highlight w:val="none"/>
                <w:u w:val="none" w:color="auto"/>
                <w:lang w:val="en-US" w:eastAsia="zh-CN"/>
              </w:rPr>
              <w:t>8</w:t>
            </w:r>
            <w:r>
              <w:rPr>
                <w:rFonts w:hint="default" w:ascii="Times New Roman" w:hAnsi="Times New Roman" w:eastAsia="宋体" w:cs="Times New Roman"/>
                <w:color w:val="auto"/>
                <w:sz w:val="24"/>
                <w:szCs w:val="24"/>
                <w:highlight w:val="none"/>
                <w:u w:val="none" w:color="auto"/>
                <w:lang w:val="en-US" w:eastAsia="zh-CN"/>
              </w:rPr>
              <w:t>t/a，定期清掏交由环卫部门处理；餐厨垃圾产生量</w:t>
            </w:r>
            <w:r>
              <w:rPr>
                <w:rFonts w:hint="default" w:ascii="Times New Roman" w:hAnsi="Times New Roman" w:eastAsia="宋体" w:cs="Times New Roman"/>
                <w:color w:val="auto"/>
                <w:sz w:val="24"/>
                <w:szCs w:val="24"/>
                <w:highlight w:val="none"/>
                <w:u w:val="none" w:color="auto"/>
                <w:lang w:eastAsia="zh-CN"/>
              </w:rPr>
              <w:t>为</w:t>
            </w:r>
            <w:r>
              <w:rPr>
                <w:rFonts w:hint="default" w:ascii="Times New Roman" w:hAnsi="Times New Roman" w:eastAsia="宋体" w:cs="Times New Roman"/>
                <w:color w:val="auto"/>
                <w:sz w:val="24"/>
                <w:szCs w:val="24"/>
                <w:highlight w:val="none"/>
                <w:u w:val="none" w:color="auto"/>
                <w:lang w:val="en-US" w:eastAsia="zh-CN"/>
              </w:rPr>
              <w:t>849.3</w:t>
            </w:r>
            <w:r>
              <w:rPr>
                <w:rFonts w:hint="default" w:ascii="Times New Roman" w:hAnsi="Times New Roman" w:eastAsia="宋体" w:cs="Times New Roman"/>
                <w:color w:val="auto"/>
                <w:sz w:val="24"/>
                <w:szCs w:val="24"/>
                <w:highlight w:val="none"/>
                <w:u w:val="none" w:color="auto"/>
                <w:lang w:eastAsia="zh-CN"/>
              </w:rPr>
              <w:t>t/a，分类收集后交由环卫部门运至垃圾中转站进行处理；隔油池废油脂产生量为</w:t>
            </w:r>
            <w:r>
              <w:rPr>
                <w:rFonts w:hint="eastAsia" w:cs="Times New Roman"/>
                <w:color w:val="auto"/>
                <w:sz w:val="24"/>
                <w:szCs w:val="24"/>
                <w:highlight w:val="none"/>
                <w:u w:val="none" w:color="auto"/>
                <w:lang w:val="en-US" w:eastAsia="zh-CN"/>
              </w:rPr>
              <w:t>4</w:t>
            </w:r>
            <w:r>
              <w:rPr>
                <w:rFonts w:hint="default" w:ascii="Times New Roman" w:hAnsi="Times New Roman" w:eastAsia="宋体" w:cs="Times New Roman"/>
                <w:color w:val="auto"/>
                <w:sz w:val="24"/>
                <w:szCs w:val="24"/>
                <w:highlight w:val="none"/>
                <w:u w:val="none" w:color="auto"/>
                <w:lang w:eastAsia="zh-CN"/>
              </w:rPr>
              <w:t>t/a，及时清掏后交由环卫部门处理处理。</w:t>
            </w:r>
          </w:p>
          <w:p w14:paraId="6DE7FA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u w:val="none" w:color="auto"/>
                <w:lang w:eastAsia="zh-CN"/>
              </w:rPr>
            </w:pPr>
            <w:r>
              <w:rPr>
                <w:rFonts w:hint="default" w:ascii="Times New Roman" w:hAnsi="Times New Roman" w:eastAsia="宋体" w:cs="Times New Roman"/>
                <w:color w:val="auto"/>
                <w:sz w:val="24"/>
                <w:szCs w:val="24"/>
                <w:highlight w:val="none"/>
                <w:u w:val="none" w:color="auto"/>
                <w:lang w:eastAsia="zh-CN"/>
              </w:rPr>
              <w:t>五、现有项目污染物排放情况一览表</w:t>
            </w:r>
          </w:p>
          <w:p w14:paraId="6B7423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highlight w:val="none"/>
                <w:u w:val="none" w:color="auto"/>
                <w:lang w:val="en-US" w:eastAsia="zh-CN"/>
              </w:rPr>
            </w:pPr>
            <w:r>
              <w:rPr>
                <w:rFonts w:hint="default" w:ascii="Times New Roman" w:hAnsi="Times New Roman" w:eastAsia="宋体" w:cs="Times New Roman"/>
                <w:b/>
                <w:bCs/>
                <w:color w:val="auto"/>
                <w:sz w:val="24"/>
                <w:highlight w:val="none"/>
                <w:u w:val="none" w:color="auto"/>
                <w:lang w:val="en-US" w:eastAsia="zh-CN"/>
              </w:rPr>
              <w:t>表2-1</w:t>
            </w:r>
            <w:r>
              <w:rPr>
                <w:rFonts w:hint="eastAsia" w:cs="Times New Roman"/>
                <w:b/>
                <w:bCs/>
                <w:color w:val="auto"/>
                <w:sz w:val="24"/>
                <w:highlight w:val="none"/>
                <w:u w:val="none" w:color="auto"/>
                <w:lang w:val="en-US" w:eastAsia="zh-CN"/>
              </w:rPr>
              <w:t>6</w:t>
            </w:r>
            <w:r>
              <w:rPr>
                <w:rFonts w:hint="default" w:ascii="Times New Roman" w:hAnsi="Times New Roman" w:eastAsia="宋体" w:cs="Times New Roman"/>
                <w:b/>
                <w:bCs/>
                <w:color w:val="auto"/>
                <w:sz w:val="24"/>
                <w:highlight w:val="none"/>
                <w:u w:val="none" w:color="auto"/>
                <w:lang w:val="en-US" w:eastAsia="zh-CN"/>
              </w:rPr>
              <w:t xml:space="preserve">          现有项目污染物排放情况一览表</w:t>
            </w:r>
          </w:p>
          <w:tbl>
            <w:tblPr>
              <w:tblStyle w:val="3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9"/>
              <w:gridCol w:w="1618"/>
              <w:gridCol w:w="1056"/>
              <w:gridCol w:w="1501"/>
              <w:gridCol w:w="2018"/>
              <w:gridCol w:w="1501"/>
            </w:tblGrid>
            <w:tr w14:paraId="1CA1F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0" w:type="pct"/>
                  <w:noWrap w:val="0"/>
                  <w:vAlign w:val="center"/>
                </w:tcPr>
                <w:p w14:paraId="35DDA68C">
                  <w:pPr>
                    <w:pStyle w:val="170"/>
                    <w:keepNext w:val="0"/>
                    <w:keepLines w:val="0"/>
                    <w:pageBreakBefore w:val="0"/>
                    <w:widowControl w:val="0"/>
                    <w:suppressLineNumbers w:val="0"/>
                    <w:kinsoku/>
                    <w:wordWrap/>
                    <w:overflowPunct/>
                    <w:topLinePunct w:val="0"/>
                    <w:autoSpaceDE/>
                    <w:autoSpaceDN/>
                    <w:bidi w:val="0"/>
                    <w:spacing w:beforeAutospacing="0" w:afterAutospacing="0" w:line="240" w:lineRule="auto"/>
                    <w:ind w:left="0" w:leftChars="0" w:right="0" w:firstLine="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highlight w:val="none"/>
                      <w:u w:val="none" w:color="auto"/>
                      <w:vertAlign w:val="baseline"/>
                      <w:lang w:eastAsia="zh-CN"/>
                    </w:rPr>
                    <w:t>污染因素</w:t>
                  </w:r>
                </w:p>
              </w:tc>
              <w:tc>
                <w:tcPr>
                  <w:tcW w:w="994" w:type="pct"/>
                  <w:noWrap w:val="0"/>
                  <w:vAlign w:val="center"/>
                </w:tcPr>
                <w:p w14:paraId="0954D9FD">
                  <w:pPr>
                    <w:pStyle w:val="170"/>
                    <w:keepNext w:val="0"/>
                    <w:keepLines w:val="0"/>
                    <w:pageBreakBefore w:val="0"/>
                    <w:widowControl w:val="0"/>
                    <w:suppressLineNumbers w:val="0"/>
                    <w:kinsoku/>
                    <w:wordWrap/>
                    <w:overflowPunct/>
                    <w:topLinePunct w:val="0"/>
                    <w:autoSpaceDE/>
                    <w:autoSpaceDN/>
                    <w:bidi w:val="0"/>
                    <w:spacing w:beforeAutospacing="0" w:afterAutospacing="0" w:line="240" w:lineRule="auto"/>
                    <w:ind w:left="0" w:leftChars="0" w:right="0" w:firstLine="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pacing w:val="-1"/>
                      <w:sz w:val="21"/>
                      <w:szCs w:val="21"/>
                      <w:highlight w:val="none"/>
                      <w:u w:val="none" w:color="auto"/>
                    </w:rPr>
                    <w:t>产污环节</w:t>
                  </w:r>
                </w:p>
              </w:tc>
              <w:tc>
                <w:tcPr>
                  <w:tcW w:w="649" w:type="pct"/>
                  <w:noWrap w:val="0"/>
                  <w:vAlign w:val="center"/>
                </w:tcPr>
                <w:p w14:paraId="269ED12C">
                  <w:pPr>
                    <w:pStyle w:val="170"/>
                    <w:keepNext w:val="0"/>
                    <w:keepLines w:val="0"/>
                    <w:pageBreakBefore w:val="0"/>
                    <w:widowControl w:val="0"/>
                    <w:suppressLineNumbers w:val="0"/>
                    <w:kinsoku/>
                    <w:wordWrap/>
                    <w:overflowPunct/>
                    <w:topLinePunct w:val="0"/>
                    <w:autoSpaceDE/>
                    <w:autoSpaceDN/>
                    <w:bidi w:val="0"/>
                    <w:spacing w:beforeAutospacing="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highlight w:val="none"/>
                      <w:u w:val="none" w:color="auto"/>
                      <w:vertAlign w:val="baseline"/>
                      <w:lang w:eastAsia="zh-CN"/>
                    </w:rPr>
                    <w:t>污染物</w:t>
                  </w:r>
                </w:p>
              </w:tc>
              <w:tc>
                <w:tcPr>
                  <w:tcW w:w="922" w:type="pct"/>
                  <w:noWrap w:val="0"/>
                  <w:vAlign w:val="center"/>
                </w:tcPr>
                <w:p w14:paraId="5FFD91BA">
                  <w:pPr>
                    <w:pStyle w:val="170"/>
                    <w:keepNext w:val="0"/>
                    <w:keepLines w:val="0"/>
                    <w:pageBreakBefore w:val="0"/>
                    <w:widowControl w:val="0"/>
                    <w:suppressLineNumbers w:val="0"/>
                    <w:kinsoku/>
                    <w:wordWrap/>
                    <w:overflowPunct/>
                    <w:topLinePunct w:val="0"/>
                    <w:autoSpaceDE/>
                    <w:autoSpaceDN/>
                    <w:bidi w:val="0"/>
                    <w:spacing w:beforeAutospacing="0" w:afterAutospacing="0" w:line="240" w:lineRule="auto"/>
                    <w:ind w:left="0" w:leftChars="0" w:right="0" w:firstLine="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pacing w:val="-2"/>
                      <w:sz w:val="21"/>
                      <w:szCs w:val="21"/>
                      <w:highlight w:val="none"/>
                      <w:u w:val="none" w:color="auto"/>
                    </w:rPr>
                    <w:t>产生量</w:t>
                  </w:r>
                </w:p>
              </w:tc>
              <w:tc>
                <w:tcPr>
                  <w:tcW w:w="1240" w:type="pct"/>
                  <w:noWrap w:val="0"/>
                  <w:vAlign w:val="center"/>
                </w:tcPr>
                <w:p w14:paraId="5F558B10">
                  <w:pPr>
                    <w:pStyle w:val="170"/>
                    <w:keepNext w:val="0"/>
                    <w:keepLines w:val="0"/>
                    <w:pageBreakBefore w:val="0"/>
                    <w:widowControl w:val="0"/>
                    <w:suppressLineNumbers w:val="0"/>
                    <w:kinsoku/>
                    <w:wordWrap/>
                    <w:overflowPunct/>
                    <w:topLinePunct w:val="0"/>
                    <w:autoSpaceDE/>
                    <w:autoSpaceDN/>
                    <w:bidi w:val="0"/>
                    <w:spacing w:beforeAutospacing="0" w:afterAutospacing="0" w:line="240" w:lineRule="auto"/>
                    <w:ind w:left="0" w:leftChars="0" w:right="0" w:firstLine="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pacing w:val="-2"/>
                      <w:sz w:val="21"/>
                      <w:szCs w:val="21"/>
                      <w:highlight w:val="none"/>
                      <w:u w:val="none" w:color="auto"/>
                    </w:rPr>
                    <w:t>处理措施</w:t>
                  </w:r>
                </w:p>
              </w:tc>
              <w:tc>
                <w:tcPr>
                  <w:tcW w:w="922" w:type="pct"/>
                  <w:noWrap w:val="0"/>
                  <w:vAlign w:val="center"/>
                </w:tcPr>
                <w:p w14:paraId="55FDF0BB">
                  <w:pPr>
                    <w:pStyle w:val="170"/>
                    <w:keepNext w:val="0"/>
                    <w:keepLines w:val="0"/>
                    <w:pageBreakBefore w:val="0"/>
                    <w:widowControl w:val="0"/>
                    <w:suppressLineNumbers w:val="0"/>
                    <w:kinsoku/>
                    <w:wordWrap/>
                    <w:overflowPunct/>
                    <w:topLinePunct w:val="0"/>
                    <w:autoSpaceDE/>
                    <w:autoSpaceDN/>
                    <w:bidi w:val="0"/>
                    <w:spacing w:beforeAutospacing="0" w:afterAutospacing="0" w:line="240" w:lineRule="auto"/>
                    <w:ind w:left="0" w:leftChars="0" w:right="0" w:firstLine="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pacing w:val="-2"/>
                      <w:sz w:val="21"/>
                      <w:szCs w:val="21"/>
                      <w:highlight w:val="none"/>
                      <w:u w:val="none" w:color="auto"/>
                    </w:rPr>
                    <w:t>排放量</w:t>
                  </w:r>
                </w:p>
              </w:tc>
            </w:tr>
            <w:tr w14:paraId="7BE61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0" w:type="pct"/>
                  <w:vMerge w:val="restart"/>
                  <w:noWrap w:val="0"/>
                  <w:vAlign w:val="center"/>
                </w:tcPr>
                <w:p w14:paraId="50D4BF72">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eastAsia="宋体" w:cs="Times New Roman"/>
                      <w:color w:val="auto"/>
                      <w:sz w:val="21"/>
                      <w:szCs w:val="21"/>
                      <w:highlight w:val="none"/>
                      <w:u w:val="none" w:color="auto"/>
                      <w:vertAlign w:val="baseline"/>
                      <w:lang w:val="en-US" w:eastAsia="zh-CN"/>
                    </w:rPr>
                    <w:t>废水</w:t>
                  </w:r>
                </w:p>
              </w:tc>
              <w:tc>
                <w:tcPr>
                  <w:tcW w:w="994" w:type="pct"/>
                  <w:noWrap w:val="0"/>
                  <w:vAlign w:val="center"/>
                </w:tcPr>
                <w:p w14:paraId="4C481CA1">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bCs/>
                      <w:color w:val="auto"/>
                      <w:sz w:val="21"/>
                      <w:szCs w:val="21"/>
                      <w:u w:val="none" w:color="auto"/>
                      <w:lang w:val="en-US" w:eastAsia="zh-CN"/>
                    </w:rPr>
                    <w:t>师生日常生活污水</w:t>
                  </w:r>
                </w:p>
              </w:tc>
              <w:tc>
                <w:tcPr>
                  <w:tcW w:w="649" w:type="pct"/>
                  <w:noWrap w:val="0"/>
                  <w:vAlign w:val="center"/>
                </w:tcPr>
                <w:p w14:paraId="7C1527BC">
                  <w:pPr>
                    <w:keepNext w:val="0"/>
                    <w:keepLines w:val="0"/>
                    <w:pageBreakBefore w:val="0"/>
                    <w:wordWrap/>
                    <w:overflowPunct/>
                    <w:topLinePunct w:val="0"/>
                    <w:bidi w:val="0"/>
                    <w:spacing w:line="240" w:lineRule="auto"/>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eastAsia="宋体" w:cs="Times New Roman"/>
                      <w:color w:val="auto"/>
                      <w:sz w:val="21"/>
                      <w:szCs w:val="21"/>
                      <w:u w:val="none" w:color="auto"/>
                    </w:rPr>
                    <w:t>COD、BOD</w:t>
                  </w:r>
                  <w:r>
                    <w:rPr>
                      <w:rFonts w:hint="default" w:ascii="Times New Roman" w:hAnsi="Times New Roman" w:eastAsia="宋体" w:cs="Times New Roman"/>
                      <w:color w:val="auto"/>
                      <w:sz w:val="21"/>
                      <w:szCs w:val="21"/>
                      <w:u w:val="none" w:color="auto"/>
                      <w:vertAlign w:val="subscript"/>
                    </w:rPr>
                    <w:t>5</w:t>
                  </w:r>
                  <w:r>
                    <w:rPr>
                      <w:rFonts w:hint="default" w:ascii="Times New Roman" w:hAnsi="Times New Roman" w:eastAsia="宋体" w:cs="Times New Roman"/>
                      <w:color w:val="auto"/>
                      <w:sz w:val="21"/>
                      <w:szCs w:val="21"/>
                      <w:u w:val="none" w:color="auto"/>
                    </w:rPr>
                    <w:t>、NH</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rPr>
                    <w:t>-N、SS、pH</w:t>
                  </w:r>
                </w:p>
              </w:tc>
              <w:tc>
                <w:tcPr>
                  <w:tcW w:w="922" w:type="pct"/>
                  <w:noWrap w:val="0"/>
                  <w:vAlign w:val="center"/>
                </w:tcPr>
                <w:p w14:paraId="7D8EF42F">
                  <w:pPr>
                    <w:keepNext w:val="0"/>
                    <w:keepLines w:val="0"/>
                    <w:pageBreakBefore w:val="0"/>
                    <w:widowControl w:val="0"/>
                    <w:suppressLineNumbers w:val="0"/>
                    <w:kinsoku/>
                    <w:wordWrap/>
                    <w:overflowPunct/>
                    <w:topLinePunct w:val="0"/>
                    <w:autoSpaceDE/>
                    <w:autoSpaceDN/>
                    <w:bidi w:val="0"/>
                    <w:spacing w:beforeAutospacing="0" w:afterAutospacing="0" w:line="240" w:lineRule="auto"/>
                    <w:ind w:left="0" w:leftChars="0" w:right="0" w:firstLine="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u w:val="none" w:color="auto"/>
                      <w:lang w:val="en-US" w:eastAsia="zh-CN"/>
                    </w:rPr>
                    <w:t>339.72m</w:t>
                  </w:r>
                  <w:r>
                    <w:rPr>
                      <w:rFonts w:hint="default" w:ascii="Times New Roman" w:hAnsi="Times New Roman" w:eastAsia="宋体" w:cs="Times New Roman"/>
                      <w:color w:val="auto"/>
                      <w:sz w:val="21"/>
                      <w:szCs w:val="21"/>
                      <w:u w:val="none" w:color="auto"/>
                      <w:vertAlign w:val="superscript"/>
                      <w:lang w:val="en-US" w:eastAsia="zh-CN"/>
                    </w:rPr>
                    <w:t>3</w:t>
                  </w:r>
                  <w:r>
                    <w:rPr>
                      <w:rFonts w:hint="default" w:ascii="Times New Roman" w:hAnsi="Times New Roman" w:eastAsia="宋体" w:cs="Times New Roman"/>
                      <w:color w:val="auto"/>
                      <w:sz w:val="21"/>
                      <w:szCs w:val="21"/>
                      <w:u w:val="none" w:color="auto"/>
                      <w:lang w:val="en-US" w:eastAsia="zh-CN"/>
                    </w:rPr>
                    <w:t>/d</w:t>
                  </w:r>
                </w:p>
              </w:tc>
              <w:tc>
                <w:tcPr>
                  <w:tcW w:w="1240" w:type="pct"/>
                  <w:vMerge w:val="restart"/>
                  <w:noWrap w:val="0"/>
                  <w:vAlign w:val="center"/>
                </w:tcPr>
                <w:p w14:paraId="6B190AA1">
                  <w:pPr>
                    <w:pStyle w:val="170"/>
                    <w:keepNext w:val="0"/>
                    <w:keepLines w:val="0"/>
                    <w:pageBreakBefore w:val="0"/>
                    <w:widowControl w:val="0"/>
                    <w:suppressLineNumbers w:val="0"/>
                    <w:kinsoku/>
                    <w:wordWrap/>
                    <w:overflowPunct/>
                    <w:topLinePunct w:val="0"/>
                    <w:autoSpaceDE/>
                    <w:autoSpaceDN/>
                    <w:bidi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u w:val="none" w:color="auto"/>
                      <w:lang w:val="en-US" w:eastAsia="zh-CN"/>
                    </w:rPr>
                    <w:t>师生日常生活污水与经现有地埋式隔油池（1座，地埋式，容积230m</w:t>
                  </w:r>
                  <w:r>
                    <w:rPr>
                      <w:rFonts w:hint="default" w:ascii="Times New Roman" w:hAnsi="Times New Roman" w:eastAsia="宋体" w:cs="Times New Roman"/>
                      <w:color w:val="auto"/>
                      <w:sz w:val="21"/>
                      <w:szCs w:val="21"/>
                      <w:u w:val="none" w:color="auto"/>
                      <w:vertAlign w:val="superscript"/>
                      <w:lang w:val="en-US" w:eastAsia="zh-CN"/>
                    </w:rPr>
                    <w:t>3</w:t>
                  </w:r>
                  <w:r>
                    <w:rPr>
                      <w:rFonts w:hint="default" w:ascii="Times New Roman" w:hAnsi="Times New Roman" w:eastAsia="宋体" w:cs="Times New Roman"/>
                      <w:color w:val="auto"/>
                      <w:sz w:val="21"/>
                      <w:szCs w:val="21"/>
                      <w:u w:val="none" w:color="auto"/>
                      <w:lang w:val="en-US" w:eastAsia="zh-CN"/>
                    </w:rPr>
                    <w:t>）处理后的餐厅废水一起进入现有地埋式化粪池（1座，地埋式，现有容积650m</w:t>
                  </w:r>
                  <w:r>
                    <w:rPr>
                      <w:rFonts w:hint="default" w:ascii="Times New Roman" w:hAnsi="Times New Roman" w:eastAsia="宋体" w:cs="Times New Roman"/>
                      <w:color w:val="auto"/>
                      <w:sz w:val="21"/>
                      <w:szCs w:val="21"/>
                      <w:u w:val="none" w:color="auto"/>
                      <w:vertAlign w:val="superscript"/>
                      <w:lang w:val="en-US" w:eastAsia="zh-CN"/>
                    </w:rPr>
                    <w:t>3</w:t>
                  </w:r>
                  <w:r>
                    <w:rPr>
                      <w:rFonts w:hint="default" w:ascii="Times New Roman" w:hAnsi="Times New Roman" w:eastAsia="宋体" w:cs="Times New Roman"/>
                      <w:color w:val="auto"/>
                      <w:sz w:val="21"/>
                      <w:szCs w:val="21"/>
                      <w:u w:val="none" w:color="auto"/>
                      <w:lang w:val="en-US" w:eastAsia="zh-CN"/>
                    </w:rPr>
                    <w:t>）处理后</w:t>
                  </w:r>
                  <w:r>
                    <w:rPr>
                      <w:rFonts w:hint="default" w:ascii="Times New Roman" w:hAnsi="Times New Roman" w:eastAsia="宋体" w:cs="Times New Roman"/>
                      <w:color w:val="auto"/>
                      <w:kern w:val="0"/>
                      <w:sz w:val="21"/>
                      <w:szCs w:val="21"/>
                      <w:u w:val="none" w:color="auto"/>
                    </w:rPr>
                    <w:t>满足《污水综合排放标准》（GB8978-1996）表4三级标准及镇平县</w:t>
                  </w:r>
                  <w:r>
                    <w:rPr>
                      <w:rFonts w:hint="default" w:ascii="Times New Roman" w:hAnsi="Times New Roman" w:eastAsia="宋体" w:cs="Times New Roman"/>
                      <w:color w:val="auto"/>
                      <w:kern w:val="0"/>
                      <w:sz w:val="21"/>
                      <w:szCs w:val="21"/>
                      <w:u w:val="none" w:color="auto"/>
                      <w:lang w:val="en-US" w:eastAsia="zh-CN"/>
                    </w:rPr>
                    <w:t>污水处理中心</w:t>
                  </w:r>
                  <w:r>
                    <w:rPr>
                      <w:rFonts w:hint="default" w:ascii="Times New Roman" w:hAnsi="Times New Roman" w:eastAsia="宋体" w:cs="Times New Roman"/>
                      <w:color w:val="auto"/>
                      <w:kern w:val="0"/>
                      <w:sz w:val="21"/>
                      <w:szCs w:val="21"/>
                      <w:u w:val="none" w:color="auto"/>
                    </w:rPr>
                    <w:t>进水水质指标后经市政污水管网进入镇平县</w:t>
                  </w:r>
                  <w:r>
                    <w:rPr>
                      <w:rFonts w:hint="default" w:ascii="Times New Roman" w:hAnsi="Times New Roman" w:eastAsia="宋体" w:cs="Times New Roman"/>
                      <w:color w:val="auto"/>
                      <w:kern w:val="0"/>
                      <w:sz w:val="21"/>
                      <w:szCs w:val="21"/>
                      <w:u w:val="none" w:color="auto"/>
                      <w:lang w:val="en-US" w:eastAsia="zh-CN"/>
                    </w:rPr>
                    <w:t>污水处理中心</w:t>
                  </w:r>
                  <w:r>
                    <w:rPr>
                      <w:rFonts w:hint="default" w:ascii="Times New Roman" w:hAnsi="Times New Roman" w:eastAsia="宋体" w:cs="Times New Roman"/>
                      <w:color w:val="auto"/>
                      <w:kern w:val="0"/>
                      <w:sz w:val="21"/>
                      <w:szCs w:val="21"/>
                      <w:u w:val="none" w:color="auto"/>
                    </w:rPr>
                    <w:t>进一步处理达到《城镇污水处理厂污染物排放标准》（GB18918-2002）一级A标准后</w:t>
                  </w:r>
                  <w:r>
                    <w:rPr>
                      <w:rFonts w:hint="default" w:ascii="Times New Roman" w:hAnsi="Times New Roman" w:eastAsia="宋体" w:cs="Times New Roman"/>
                      <w:color w:val="auto"/>
                      <w:sz w:val="21"/>
                      <w:szCs w:val="21"/>
                      <w:u w:val="none" w:color="auto"/>
                    </w:rPr>
                    <w:t>排入</w:t>
                  </w:r>
                  <w:r>
                    <w:rPr>
                      <w:rFonts w:hint="default" w:ascii="Times New Roman" w:hAnsi="Times New Roman" w:eastAsia="宋体" w:cs="Times New Roman"/>
                      <w:color w:val="auto"/>
                      <w:sz w:val="21"/>
                      <w:szCs w:val="21"/>
                      <w:u w:val="none" w:color="auto"/>
                      <w:lang w:val="en-US" w:eastAsia="zh-CN"/>
                    </w:rPr>
                    <w:t>西三里河</w:t>
                  </w:r>
                </w:p>
              </w:tc>
              <w:tc>
                <w:tcPr>
                  <w:tcW w:w="922" w:type="pct"/>
                  <w:noWrap w:val="0"/>
                  <w:vAlign w:val="center"/>
                </w:tcPr>
                <w:p w14:paraId="57770238">
                  <w:pPr>
                    <w:keepNext w:val="0"/>
                    <w:keepLines w:val="0"/>
                    <w:pageBreakBefore w:val="0"/>
                    <w:widowControl w:val="0"/>
                    <w:suppressLineNumbers w:val="0"/>
                    <w:kinsoku/>
                    <w:wordWrap/>
                    <w:overflowPunct/>
                    <w:topLinePunct w:val="0"/>
                    <w:autoSpaceDE/>
                    <w:autoSpaceDN/>
                    <w:bidi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u w:val="none" w:color="auto"/>
                      <w:lang w:val="en-US" w:eastAsia="zh-CN"/>
                    </w:rPr>
                    <w:t>339.72m</w:t>
                  </w:r>
                  <w:r>
                    <w:rPr>
                      <w:rFonts w:hint="default" w:ascii="Times New Roman" w:hAnsi="Times New Roman" w:eastAsia="宋体" w:cs="Times New Roman"/>
                      <w:color w:val="auto"/>
                      <w:sz w:val="21"/>
                      <w:szCs w:val="21"/>
                      <w:u w:val="none" w:color="auto"/>
                      <w:vertAlign w:val="superscript"/>
                      <w:lang w:val="en-US" w:eastAsia="zh-CN"/>
                    </w:rPr>
                    <w:t>3</w:t>
                  </w:r>
                  <w:r>
                    <w:rPr>
                      <w:rFonts w:hint="default" w:ascii="Times New Roman" w:hAnsi="Times New Roman" w:eastAsia="宋体" w:cs="Times New Roman"/>
                      <w:color w:val="auto"/>
                      <w:sz w:val="21"/>
                      <w:szCs w:val="21"/>
                      <w:u w:val="none" w:color="auto"/>
                      <w:lang w:val="en-US" w:eastAsia="zh-CN"/>
                    </w:rPr>
                    <w:t>/d</w:t>
                  </w:r>
                </w:p>
              </w:tc>
            </w:tr>
            <w:tr w14:paraId="1430A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0" w:type="pct"/>
                  <w:vMerge w:val="continue"/>
                  <w:noWrap w:val="0"/>
                  <w:vAlign w:val="center"/>
                </w:tcPr>
                <w:p w14:paraId="25742936">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p>
              </w:tc>
              <w:tc>
                <w:tcPr>
                  <w:tcW w:w="994" w:type="pct"/>
                  <w:noWrap w:val="0"/>
                  <w:vAlign w:val="center"/>
                </w:tcPr>
                <w:p w14:paraId="3DD6061A">
                  <w:pPr>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eastAsia="宋体" w:cs="Times New Roman"/>
                      <w:bCs/>
                      <w:color w:val="auto"/>
                      <w:sz w:val="21"/>
                      <w:szCs w:val="21"/>
                      <w:u w:val="none" w:color="auto"/>
                      <w:lang w:val="en-US" w:eastAsia="zh-CN"/>
                    </w:rPr>
                    <w:t>餐厅废水</w:t>
                  </w:r>
                </w:p>
              </w:tc>
              <w:tc>
                <w:tcPr>
                  <w:tcW w:w="649" w:type="pct"/>
                  <w:noWrap w:val="0"/>
                  <w:vAlign w:val="center"/>
                </w:tcPr>
                <w:p w14:paraId="3F9BB890">
                  <w:pPr>
                    <w:keepNext w:val="0"/>
                    <w:keepLines w:val="0"/>
                    <w:pageBreakBefore w:val="0"/>
                    <w:wordWrap/>
                    <w:overflowPunct/>
                    <w:topLinePunct w:val="0"/>
                    <w:bidi w:val="0"/>
                    <w:spacing w:line="240" w:lineRule="auto"/>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u w:val="none" w:color="auto"/>
                    </w:rPr>
                    <w:t>COD、BOD</w:t>
                  </w:r>
                  <w:r>
                    <w:rPr>
                      <w:rFonts w:hint="default" w:ascii="Times New Roman" w:hAnsi="Times New Roman" w:eastAsia="宋体" w:cs="Times New Roman"/>
                      <w:color w:val="auto"/>
                      <w:sz w:val="21"/>
                      <w:szCs w:val="21"/>
                      <w:u w:val="none" w:color="auto"/>
                      <w:vertAlign w:val="subscript"/>
                    </w:rPr>
                    <w:t>5</w:t>
                  </w:r>
                  <w:r>
                    <w:rPr>
                      <w:rFonts w:hint="default" w:ascii="Times New Roman" w:hAnsi="Times New Roman" w:eastAsia="宋体" w:cs="Times New Roman"/>
                      <w:color w:val="auto"/>
                      <w:sz w:val="21"/>
                      <w:szCs w:val="21"/>
                      <w:u w:val="none" w:color="auto"/>
                    </w:rPr>
                    <w:t>、NH</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rPr>
                    <w:t>-N、SS、pH</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动植物油</w:t>
                  </w:r>
                </w:p>
              </w:tc>
              <w:tc>
                <w:tcPr>
                  <w:tcW w:w="922" w:type="pct"/>
                  <w:noWrap w:val="0"/>
                  <w:vAlign w:val="center"/>
                </w:tcPr>
                <w:p w14:paraId="6FF296B5">
                  <w:pPr>
                    <w:keepNext w:val="0"/>
                    <w:keepLines w:val="0"/>
                    <w:pageBreakBefore w:val="0"/>
                    <w:widowControl w:val="0"/>
                    <w:suppressLineNumbers w:val="0"/>
                    <w:kinsoku/>
                    <w:wordWrap/>
                    <w:overflowPunct/>
                    <w:topLinePunct w:val="0"/>
                    <w:autoSpaceDE/>
                    <w:autoSpaceDN/>
                    <w:bidi w:val="0"/>
                    <w:spacing w:beforeAutospacing="0" w:afterAutospacing="0" w:line="240" w:lineRule="auto"/>
                    <w:ind w:left="0" w:leftChars="0" w:right="0" w:firstLine="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u w:val="none" w:color="auto"/>
                      <w:lang w:val="en-US" w:eastAsia="zh-CN"/>
                    </w:rPr>
                    <w:t>181.376m</w:t>
                  </w:r>
                  <w:r>
                    <w:rPr>
                      <w:rFonts w:hint="default" w:ascii="Times New Roman" w:hAnsi="Times New Roman" w:eastAsia="宋体" w:cs="Times New Roman"/>
                      <w:color w:val="auto"/>
                      <w:sz w:val="21"/>
                      <w:szCs w:val="21"/>
                      <w:u w:val="none" w:color="auto"/>
                      <w:vertAlign w:val="superscript"/>
                      <w:lang w:val="en-US" w:eastAsia="zh-CN"/>
                    </w:rPr>
                    <w:t>3</w:t>
                  </w:r>
                  <w:r>
                    <w:rPr>
                      <w:rFonts w:hint="default" w:ascii="Times New Roman" w:hAnsi="Times New Roman" w:eastAsia="宋体" w:cs="Times New Roman"/>
                      <w:color w:val="auto"/>
                      <w:sz w:val="21"/>
                      <w:szCs w:val="21"/>
                      <w:u w:val="none" w:color="auto"/>
                      <w:lang w:val="en-US" w:eastAsia="zh-CN"/>
                    </w:rPr>
                    <w:t>/d</w:t>
                  </w:r>
                </w:p>
              </w:tc>
              <w:tc>
                <w:tcPr>
                  <w:tcW w:w="1240" w:type="pct"/>
                  <w:vMerge w:val="continue"/>
                  <w:noWrap w:val="0"/>
                  <w:vAlign w:val="center"/>
                </w:tcPr>
                <w:p w14:paraId="7328883A">
                  <w:pPr>
                    <w:pStyle w:val="170"/>
                    <w:keepNext w:val="0"/>
                    <w:keepLines w:val="0"/>
                    <w:pageBreakBefore w:val="0"/>
                    <w:widowControl w:val="0"/>
                    <w:suppressLineNumbers w:val="0"/>
                    <w:kinsoku/>
                    <w:wordWrap/>
                    <w:overflowPunct/>
                    <w:topLinePunct w:val="0"/>
                    <w:autoSpaceDE/>
                    <w:autoSpaceDN/>
                    <w:bidi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p>
              </w:tc>
              <w:tc>
                <w:tcPr>
                  <w:tcW w:w="922" w:type="pct"/>
                  <w:noWrap w:val="0"/>
                  <w:vAlign w:val="center"/>
                </w:tcPr>
                <w:p w14:paraId="07EBD951">
                  <w:pPr>
                    <w:keepNext w:val="0"/>
                    <w:keepLines w:val="0"/>
                    <w:pageBreakBefore w:val="0"/>
                    <w:widowControl w:val="0"/>
                    <w:suppressLineNumbers w:val="0"/>
                    <w:kinsoku/>
                    <w:wordWrap/>
                    <w:overflowPunct/>
                    <w:topLinePunct w:val="0"/>
                    <w:autoSpaceDE/>
                    <w:autoSpaceDN/>
                    <w:bidi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u w:val="none" w:color="auto"/>
                      <w:lang w:val="en-US" w:eastAsia="zh-CN"/>
                    </w:rPr>
                    <w:t>181.376m</w:t>
                  </w:r>
                  <w:r>
                    <w:rPr>
                      <w:rFonts w:hint="default" w:ascii="Times New Roman" w:hAnsi="Times New Roman" w:eastAsia="宋体" w:cs="Times New Roman"/>
                      <w:color w:val="auto"/>
                      <w:sz w:val="21"/>
                      <w:szCs w:val="21"/>
                      <w:u w:val="none" w:color="auto"/>
                      <w:vertAlign w:val="superscript"/>
                      <w:lang w:val="en-US" w:eastAsia="zh-CN"/>
                    </w:rPr>
                    <w:t>3</w:t>
                  </w:r>
                  <w:r>
                    <w:rPr>
                      <w:rFonts w:hint="default" w:ascii="Times New Roman" w:hAnsi="Times New Roman" w:eastAsia="宋体" w:cs="Times New Roman"/>
                      <w:color w:val="auto"/>
                      <w:sz w:val="21"/>
                      <w:szCs w:val="21"/>
                      <w:u w:val="none" w:color="auto"/>
                      <w:lang w:val="en-US" w:eastAsia="zh-CN"/>
                    </w:rPr>
                    <w:t>/d</w:t>
                  </w:r>
                </w:p>
              </w:tc>
            </w:tr>
            <w:tr w14:paraId="69BAD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0" w:type="pct"/>
                  <w:noWrap w:val="0"/>
                  <w:vAlign w:val="center"/>
                </w:tcPr>
                <w:p w14:paraId="78F02835">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eastAsia="宋体" w:cs="Times New Roman"/>
                      <w:color w:val="auto"/>
                      <w:sz w:val="21"/>
                      <w:szCs w:val="21"/>
                      <w:highlight w:val="none"/>
                      <w:u w:val="none" w:color="auto"/>
                      <w:vertAlign w:val="baseline"/>
                      <w:lang w:val="en-US" w:eastAsia="zh-CN"/>
                    </w:rPr>
                    <w:t>废气</w:t>
                  </w:r>
                </w:p>
              </w:tc>
              <w:tc>
                <w:tcPr>
                  <w:tcW w:w="994" w:type="pct"/>
                  <w:noWrap w:val="0"/>
                  <w:vAlign w:val="center"/>
                </w:tcPr>
                <w:p w14:paraId="08CC28DE">
                  <w:pPr>
                    <w:keepNext w:val="0"/>
                    <w:keepLines w:val="0"/>
                    <w:pageBreakBefore w:val="0"/>
                    <w:wordWrap/>
                    <w:overflowPunct/>
                    <w:topLinePunct w:val="0"/>
                    <w:bidi w:val="0"/>
                    <w:spacing w:line="240" w:lineRule="auto"/>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eastAsia="宋体" w:cs="Times New Roman"/>
                      <w:color w:val="auto"/>
                      <w:sz w:val="21"/>
                      <w:szCs w:val="21"/>
                      <w:highlight w:val="none"/>
                      <w:u w:val="none" w:color="auto"/>
                      <w:lang w:eastAsia="zh-CN" w:bidi="ar"/>
                    </w:rPr>
                    <w:t>餐厅</w:t>
                  </w:r>
                  <w:r>
                    <w:rPr>
                      <w:rFonts w:hint="default" w:ascii="Times New Roman" w:hAnsi="Times New Roman" w:eastAsia="宋体" w:cs="Times New Roman"/>
                      <w:color w:val="auto"/>
                      <w:sz w:val="21"/>
                      <w:szCs w:val="21"/>
                      <w:highlight w:val="none"/>
                      <w:u w:val="none" w:color="auto"/>
                      <w:lang w:val="en-US" w:eastAsia="zh-CN" w:bidi="ar"/>
                    </w:rPr>
                    <w:t>废气</w:t>
                  </w:r>
                </w:p>
              </w:tc>
              <w:tc>
                <w:tcPr>
                  <w:tcW w:w="649" w:type="pct"/>
                  <w:noWrap w:val="0"/>
                  <w:vAlign w:val="center"/>
                </w:tcPr>
                <w:p w14:paraId="0FA25707">
                  <w:pPr>
                    <w:pStyle w:val="171"/>
                    <w:keepNext w:val="0"/>
                    <w:keepLines w:val="0"/>
                    <w:pageBreakBefore w:val="0"/>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highlight w:val="none"/>
                      <w:u w:val="none" w:color="auto"/>
                      <w:lang w:val="en-US" w:eastAsia="zh-CN"/>
                    </w:rPr>
                    <w:t>油烟</w:t>
                  </w:r>
                </w:p>
              </w:tc>
              <w:tc>
                <w:tcPr>
                  <w:tcW w:w="922" w:type="pct"/>
                  <w:noWrap w:val="0"/>
                  <w:vAlign w:val="center"/>
                </w:tcPr>
                <w:p w14:paraId="3C5EDC9C">
                  <w:pPr>
                    <w:keepNext w:val="0"/>
                    <w:keepLines w:val="0"/>
                    <w:pageBreakBefore w:val="0"/>
                    <w:widowControl w:val="0"/>
                    <w:suppressLineNumbers w:val="0"/>
                    <w:kinsoku/>
                    <w:wordWrap/>
                    <w:overflowPunct/>
                    <w:topLinePunct w:val="0"/>
                    <w:autoSpaceDE/>
                    <w:autoSpaceDN/>
                    <w:bidi w:val="0"/>
                    <w:spacing w:beforeAutospacing="0" w:afterAutospacing="0" w:line="240" w:lineRule="auto"/>
                    <w:ind w:left="0" w:leftChars="0" w:right="0" w:firstLine="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snapToGrid w:val="0"/>
                      <w:color w:val="auto"/>
                      <w:kern w:val="21"/>
                      <w:sz w:val="21"/>
                      <w:szCs w:val="21"/>
                      <w:u w:val="none" w:color="auto"/>
                      <w:lang w:val="en-US" w:eastAsia="zh-CN"/>
                    </w:rPr>
                    <w:t>104.33</w:t>
                  </w:r>
                  <w:r>
                    <w:rPr>
                      <w:rFonts w:hint="default" w:ascii="Times New Roman" w:hAnsi="Times New Roman" w:eastAsia="宋体" w:cs="Times New Roman"/>
                      <w:i w:val="0"/>
                      <w:iCs w:val="0"/>
                      <w:color w:val="auto"/>
                      <w:kern w:val="0"/>
                      <w:sz w:val="21"/>
                      <w:szCs w:val="21"/>
                      <w:highlight w:val="none"/>
                      <w:u w:val="none" w:color="auto"/>
                      <w:lang w:val="en-US" w:eastAsia="zh-CN" w:bidi="ar"/>
                    </w:rPr>
                    <w:t>kg/a</w:t>
                  </w:r>
                </w:p>
              </w:tc>
              <w:tc>
                <w:tcPr>
                  <w:tcW w:w="1240" w:type="pct"/>
                  <w:noWrap w:val="0"/>
                  <w:vAlign w:val="center"/>
                </w:tcPr>
                <w:p w14:paraId="0B8FAFBF">
                  <w:pPr>
                    <w:pStyle w:val="170"/>
                    <w:keepNext w:val="0"/>
                    <w:keepLines w:val="0"/>
                    <w:pageBreakBefore w:val="0"/>
                    <w:widowControl w:val="0"/>
                    <w:suppressLineNumbers w:val="0"/>
                    <w:kinsoku/>
                    <w:wordWrap/>
                    <w:overflowPunct/>
                    <w:topLinePunct w:val="0"/>
                    <w:autoSpaceDE/>
                    <w:autoSpaceDN/>
                    <w:bidi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highlight w:val="none"/>
                      <w:u w:val="none" w:color="auto"/>
                      <w:lang w:val="en-US" w:eastAsia="zh-CN"/>
                    </w:rPr>
                    <w:t>经现有8套油烟净化器处理后以无组织的形式排放</w:t>
                  </w:r>
                </w:p>
              </w:tc>
              <w:tc>
                <w:tcPr>
                  <w:tcW w:w="922" w:type="pct"/>
                  <w:noWrap w:val="0"/>
                  <w:vAlign w:val="center"/>
                </w:tcPr>
                <w:p w14:paraId="1A91533D">
                  <w:pPr>
                    <w:keepNext w:val="0"/>
                    <w:keepLines w:val="0"/>
                    <w:pageBreakBefore w:val="0"/>
                    <w:widowControl w:val="0"/>
                    <w:suppressLineNumbers w:val="0"/>
                    <w:kinsoku/>
                    <w:wordWrap/>
                    <w:overflowPunct/>
                    <w:topLinePunct w:val="0"/>
                    <w:autoSpaceDE/>
                    <w:autoSpaceDN/>
                    <w:bidi w:val="0"/>
                    <w:spacing w:beforeAutospacing="0" w:afterAutospacing="0" w:line="240" w:lineRule="auto"/>
                    <w:ind w:left="0" w:leftChars="0" w:right="0" w:firstLine="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snapToGrid w:val="0"/>
                      <w:color w:val="auto"/>
                      <w:kern w:val="21"/>
                      <w:sz w:val="21"/>
                      <w:szCs w:val="21"/>
                      <w:u w:val="none" w:color="auto"/>
                      <w:lang w:val="en-US" w:eastAsia="zh-CN"/>
                    </w:rPr>
                    <w:t>104.33</w:t>
                  </w:r>
                  <w:r>
                    <w:rPr>
                      <w:rFonts w:hint="default" w:ascii="Times New Roman" w:hAnsi="Times New Roman" w:eastAsia="宋体" w:cs="Times New Roman"/>
                      <w:i w:val="0"/>
                      <w:iCs w:val="0"/>
                      <w:color w:val="auto"/>
                      <w:kern w:val="0"/>
                      <w:sz w:val="21"/>
                      <w:szCs w:val="21"/>
                      <w:highlight w:val="none"/>
                      <w:u w:val="none" w:color="auto"/>
                      <w:lang w:val="en-US" w:eastAsia="zh-CN" w:bidi="ar"/>
                    </w:rPr>
                    <w:t>kg/a</w:t>
                  </w:r>
                </w:p>
              </w:tc>
            </w:tr>
            <w:tr w14:paraId="2BF50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0" w:type="pct"/>
                  <w:noWrap w:val="0"/>
                  <w:vAlign w:val="center"/>
                </w:tcPr>
                <w:p w14:paraId="1F9FA089">
                  <w:pPr>
                    <w:pStyle w:val="170"/>
                    <w:keepNext w:val="0"/>
                    <w:keepLines w:val="0"/>
                    <w:pageBreakBefore w:val="0"/>
                    <w:widowControl w:val="0"/>
                    <w:suppressLineNumbers w:val="0"/>
                    <w:kinsoku/>
                    <w:wordWrap/>
                    <w:overflowPunct/>
                    <w:topLinePunct w:val="0"/>
                    <w:autoSpaceDE/>
                    <w:autoSpaceDN/>
                    <w:bidi w:val="0"/>
                    <w:spacing w:beforeAutospacing="0" w:afterAutospacing="0" w:line="240" w:lineRule="auto"/>
                    <w:ind w:left="0" w:leftChars="0" w:right="0" w:firstLine="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pacing w:val="-4"/>
                      <w:sz w:val="21"/>
                      <w:szCs w:val="21"/>
                      <w:highlight w:val="none"/>
                      <w:u w:val="none" w:color="auto"/>
                    </w:rPr>
                    <w:t>噪声</w:t>
                  </w:r>
                </w:p>
              </w:tc>
              <w:tc>
                <w:tcPr>
                  <w:tcW w:w="994" w:type="pct"/>
                  <w:noWrap w:val="0"/>
                  <w:vAlign w:val="center"/>
                </w:tcPr>
                <w:p w14:paraId="548E6045">
                  <w:pPr>
                    <w:pStyle w:val="170"/>
                    <w:keepNext w:val="0"/>
                    <w:keepLines w:val="0"/>
                    <w:pageBreakBefore w:val="0"/>
                    <w:widowControl w:val="0"/>
                    <w:suppressLineNumbers w:val="0"/>
                    <w:kinsoku/>
                    <w:wordWrap/>
                    <w:overflowPunct/>
                    <w:topLinePunct w:val="0"/>
                    <w:autoSpaceDE/>
                    <w:autoSpaceDN/>
                    <w:bidi w:val="0"/>
                    <w:spacing w:beforeAutospacing="0" w:afterAutospacing="0" w:line="240" w:lineRule="auto"/>
                    <w:ind w:left="0" w:leftChars="0" w:right="0" w:firstLine="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pacing w:val="-2"/>
                      <w:sz w:val="21"/>
                      <w:szCs w:val="21"/>
                      <w:highlight w:val="none"/>
                      <w:u w:val="none" w:color="auto"/>
                    </w:rPr>
                    <w:t>生产过程</w:t>
                  </w:r>
                </w:p>
              </w:tc>
              <w:tc>
                <w:tcPr>
                  <w:tcW w:w="649" w:type="pct"/>
                  <w:noWrap w:val="0"/>
                  <w:vAlign w:val="center"/>
                </w:tcPr>
                <w:p w14:paraId="24043F38">
                  <w:pPr>
                    <w:pStyle w:val="170"/>
                    <w:keepNext w:val="0"/>
                    <w:keepLines w:val="0"/>
                    <w:pageBreakBefore w:val="0"/>
                    <w:widowControl w:val="0"/>
                    <w:suppressLineNumbers w:val="0"/>
                    <w:kinsoku/>
                    <w:wordWrap/>
                    <w:overflowPunct/>
                    <w:topLinePunct w:val="0"/>
                    <w:autoSpaceDE/>
                    <w:autoSpaceDN/>
                    <w:bidi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pacing w:val="-3"/>
                      <w:sz w:val="21"/>
                      <w:szCs w:val="21"/>
                      <w:highlight w:val="none"/>
                      <w:u w:val="none" w:color="auto"/>
                    </w:rPr>
                    <w:t>设备噪</w:t>
                  </w:r>
                  <w:r>
                    <w:rPr>
                      <w:rFonts w:hint="default" w:ascii="Times New Roman" w:hAnsi="Times New Roman" w:eastAsia="宋体" w:cs="Times New Roman"/>
                      <w:color w:val="auto"/>
                      <w:sz w:val="21"/>
                      <w:szCs w:val="21"/>
                      <w:highlight w:val="none"/>
                      <w:u w:val="none" w:color="auto"/>
                    </w:rPr>
                    <w:t>声</w:t>
                  </w:r>
                </w:p>
              </w:tc>
              <w:tc>
                <w:tcPr>
                  <w:tcW w:w="922" w:type="pct"/>
                  <w:noWrap w:val="0"/>
                  <w:vAlign w:val="center"/>
                </w:tcPr>
                <w:p w14:paraId="1D328E1D">
                  <w:pPr>
                    <w:keepNext w:val="0"/>
                    <w:keepLines w:val="0"/>
                    <w:pageBreakBefore w:val="0"/>
                    <w:widowControl w:val="0"/>
                    <w:suppressLineNumbers w:val="0"/>
                    <w:kinsoku/>
                    <w:wordWrap/>
                    <w:overflowPunct/>
                    <w:topLinePunct w:val="0"/>
                    <w:autoSpaceDE/>
                    <w:autoSpaceDN/>
                    <w:bidi w:val="0"/>
                    <w:spacing w:beforeAutospacing="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1"/>
                      <w:position w:val="11"/>
                      <w:sz w:val="21"/>
                      <w:szCs w:val="21"/>
                      <w:highlight w:val="none"/>
                      <w:u w:val="none" w:color="auto"/>
                    </w:rPr>
                    <w:t>75-95dB</w:t>
                  </w:r>
                </w:p>
                <w:p w14:paraId="2177EB18">
                  <w:pPr>
                    <w:pStyle w:val="170"/>
                    <w:keepNext w:val="0"/>
                    <w:keepLines w:val="0"/>
                    <w:pageBreakBefore w:val="0"/>
                    <w:widowControl w:val="0"/>
                    <w:suppressLineNumbers w:val="0"/>
                    <w:kinsoku/>
                    <w:wordWrap/>
                    <w:overflowPunct/>
                    <w:topLinePunct w:val="0"/>
                    <w:autoSpaceDE/>
                    <w:autoSpaceDN/>
                    <w:bidi w:val="0"/>
                    <w:spacing w:beforeAutospacing="0" w:afterAutospacing="0" w:line="240" w:lineRule="auto"/>
                    <w:ind w:left="0" w:leftChars="0" w:right="0" w:firstLine="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pacing w:val="-5"/>
                      <w:sz w:val="21"/>
                      <w:szCs w:val="21"/>
                      <w:highlight w:val="none"/>
                      <w:u w:val="none" w:color="auto"/>
                    </w:rPr>
                    <w:t>（A）</w:t>
                  </w:r>
                </w:p>
              </w:tc>
              <w:tc>
                <w:tcPr>
                  <w:tcW w:w="1240" w:type="pct"/>
                  <w:noWrap w:val="0"/>
                  <w:vAlign w:val="center"/>
                </w:tcPr>
                <w:p w14:paraId="7DC26245">
                  <w:pPr>
                    <w:pStyle w:val="170"/>
                    <w:keepNext w:val="0"/>
                    <w:keepLines w:val="0"/>
                    <w:pageBreakBefore w:val="0"/>
                    <w:widowControl w:val="0"/>
                    <w:suppressLineNumbers w:val="0"/>
                    <w:kinsoku/>
                    <w:wordWrap/>
                    <w:overflowPunct/>
                    <w:topLinePunct w:val="0"/>
                    <w:autoSpaceDE/>
                    <w:autoSpaceDN/>
                    <w:bidi w:val="0"/>
                    <w:spacing w:beforeAutospacing="0" w:afterAutospacing="0" w:line="240" w:lineRule="auto"/>
                    <w:ind w:left="0" w:leftChars="0" w:right="0" w:firstLine="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highlight w:val="none"/>
                      <w:u w:val="none" w:color="auto"/>
                    </w:rPr>
                    <w:t>高噪设备采取基础减振、厂房隔声等降噪措施；设备定期维护</w:t>
                  </w:r>
                </w:p>
              </w:tc>
              <w:tc>
                <w:tcPr>
                  <w:tcW w:w="922" w:type="pct"/>
                  <w:noWrap w:val="0"/>
                  <w:vAlign w:val="center"/>
                </w:tcPr>
                <w:p w14:paraId="3DB21B44">
                  <w:pPr>
                    <w:keepNext w:val="0"/>
                    <w:keepLines w:val="0"/>
                    <w:pageBreakBefore w:val="0"/>
                    <w:widowControl w:val="0"/>
                    <w:suppressLineNumbers w:val="0"/>
                    <w:kinsoku/>
                    <w:wordWrap/>
                    <w:overflowPunct/>
                    <w:topLinePunct w:val="0"/>
                    <w:autoSpaceDE/>
                    <w:autoSpaceDN/>
                    <w:bidi w:val="0"/>
                    <w:spacing w:beforeAutospacing="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pacing w:val="-1"/>
                      <w:position w:val="11"/>
                      <w:sz w:val="21"/>
                      <w:szCs w:val="21"/>
                      <w:highlight w:val="none"/>
                      <w:u w:val="none" w:color="auto"/>
                      <w:lang w:val="en-US" w:eastAsia="zh-CN"/>
                    </w:rPr>
                    <w:t>41-56</w:t>
                  </w:r>
                  <w:r>
                    <w:rPr>
                      <w:rFonts w:hint="default" w:ascii="Times New Roman" w:hAnsi="Times New Roman" w:eastAsia="宋体" w:cs="Times New Roman"/>
                      <w:color w:val="auto"/>
                      <w:spacing w:val="-1"/>
                      <w:position w:val="11"/>
                      <w:sz w:val="21"/>
                      <w:szCs w:val="21"/>
                      <w:highlight w:val="none"/>
                      <w:u w:val="none" w:color="auto"/>
                    </w:rPr>
                    <w:t>dB</w:t>
                  </w:r>
                </w:p>
                <w:p w14:paraId="446B8204">
                  <w:pPr>
                    <w:pStyle w:val="170"/>
                    <w:keepNext w:val="0"/>
                    <w:keepLines w:val="0"/>
                    <w:pageBreakBefore w:val="0"/>
                    <w:widowControl w:val="0"/>
                    <w:suppressLineNumbers w:val="0"/>
                    <w:kinsoku/>
                    <w:wordWrap/>
                    <w:overflowPunct/>
                    <w:topLinePunct w:val="0"/>
                    <w:autoSpaceDE/>
                    <w:autoSpaceDN/>
                    <w:bidi w:val="0"/>
                    <w:spacing w:beforeAutospacing="0" w:afterAutospacing="0" w:line="240" w:lineRule="auto"/>
                    <w:ind w:left="0" w:leftChars="0" w:right="0" w:firstLine="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eastAsia="宋体" w:cs="Times New Roman"/>
                      <w:color w:val="auto"/>
                      <w:spacing w:val="-5"/>
                      <w:sz w:val="21"/>
                      <w:szCs w:val="21"/>
                      <w:highlight w:val="none"/>
                      <w:u w:val="none" w:color="auto"/>
                    </w:rPr>
                    <w:t>（A）</w:t>
                  </w:r>
                </w:p>
              </w:tc>
            </w:tr>
            <w:tr w14:paraId="4C069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0" w:type="pct"/>
                  <w:vMerge w:val="restart"/>
                  <w:noWrap w:val="0"/>
                  <w:vAlign w:val="center"/>
                </w:tcPr>
                <w:p w14:paraId="4E5E20C3">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eastAsia="宋体" w:cs="Times New Roman"/>
                      <w:color w:val="auto"/>
                      <w:sz w:val="21"/>
                      <w:szCs w:val="21"/>
                      <w:highlight w:val="none"/>
                      <w:u w:val="none" w:color="auto"/>
                      <w:vertAlign w:val="baseline"/>
                      <w:lang w:val="en-US" w:eastAsia="zh-CN"/>
                    </w:rPr>
                    <w:t>固废</w:t>
                  </w:r>
                </w:p>
              </w:tc>
              <w:tc>
                <w:tcPr>
                  <w:tcW w:w="994" w:type="pct"/>
                  <w:noWrap w:val="0"/>
                  <w:vAlign w:val="center"/>
                </w:tcPr>
                <w:p w14:paraId="6A4F7702">
                  <w:pPr>
                    <w:keepNext w:val="0"/>
                    <w:keepLines w:val="0"/>
                    <w:pageBreakBefore w:val="0"/>
                    <w:wordWrap/>
                    <w:overflowPunct/>
                    <w:topLinePunct w:val="0"/>
                    <w:bidi w:val="0"/>
                    <w:spacing w:line="240" w:lineRule="auto"/>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bCs/>
                      <w:color w:val="auto"/>
                      <w:kern w:val="0"/>
                      <w:sz w:val="21"/>
                      <w:szCs w:val="21"/>
                      <w:u w:val="none" w:color="auto"/>
                      <w:lang w:val="en-US" w:eastAsia="zh-CN"/>
                    </w:rPr>
                    <w:t>教职工及学生日常</w:t>
                  </w:r>
                  <w:r>
                    <w:rPr>
                      <w:rFonts w:hint="default" w:ascii="Times New Roman" w:hAnsi="Times New Roman" w:eastAsia="宋体" w:cs="Times New Roman"/>
                      <w:bCs/>
                      <w:color w:val="auto"/>
                      <w:kern w:val="0"/>
                      <w:sz w:val="21"/>
                      <w:szCs w:val="21"/>
                      <w:u w:val="none" w:color="auto"/>
                    </w:rPr>
                    <w:t>生活</w:t>
                  </w:r>
                </w:p>
              </w:tc>
              <w:tc>
                <w:tcPr>
                  <w:tcW w:w="649" w:type="pct"/>
                  <w:noWrap w:val="0"/>
                  <w:vAlign w:val="center"/>
                </w:tcPr>
                <w:p w14:paraId="32EB433F">
                  <w:pPr>
                    <w:keepNext w:val="0"/>
                    <w:keepLines w:val="0"/>
                    <w:pageBreakBefore w:val="0"/>
                    <w:wordWrap/>
                    <w:overflowPunct/>
                    <w:topLinePunct w:val="0"/>
                    <w:bidi w:val="0"/>
                    <w:spacing w:line="240" w:lineRule="auto"/>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bCs/>
                      <w:color w:val="auto"/>
                      <w:kern w:val="0"/>
                      <w:sz w:val="21"/>
                      <w:szCs w:val="21"/>
                      <w:u w:val="none" w:color="auto"/>
                      <w:lang w:val="en-US" w:eastAsia="zh-CN"/>
                    </w:rPr>
                    <w:t>教职工及学生日常</w:t>
                  </w:r>
                  <w:r>
                    <w:rPr>
                      <w:rFonts w:hint="default" w:ascii="Times New Roman" w:hAnsi="Times New Roman" w:eastAsia="宋体" w:cs="Times New Roman"/>
                      <w:bCs/>
                      <w:color w:val="auto"/>
                      <w:kern w:val="0"/>
                      <w:sz w:val="21"/>
                      <w:szCs w:val="21"/>
                      <w:u w:val="none" w:color="auto"/>
                    </w:rPr>
                    <w:t>生活垃圾</w:t>
                  </w:r>
                </w:p>
              </w:tc>
              <w:tc>
                <w:tcPr>
                  <w:tcW w:w="922" w:type="pct"/>
                  <w:noWrap w:val="0"/>
                  <w:vAlign w:val="center"/>
                </w:tcPr>
                <w:p w14:paraId="1C1AE54A">
                  <w:pPr>
                    <w:pStyle w:val="78"/>
                    <w:keepNext w:val="0"/>
                    <w:keepLines w:val="0"/>
                    <w:pageBreakBefore w:val="0"/>
                    <w:widowControl w:val="0"/>
                    <w:kinsoku/>
                    <w:wordWrap/>
                    <w:overflowPunct/>
                    <w:topLinePunct w:val="0"/>
                    <w:bidi w:val="0"/>
                    <w:spacing w:beforeLines="0" w:afterLines="0" w:line="240" w:lineRule="auto"/>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snapToGrid w:val="0"/>
                      <w:color w:val="auto"/>
                      <w:kern w:val="21"/>
                      <w:sz w:val="21"/>
                      <w:szCs w:val="21"/>
                      <w:u w:val="none" w:color="auto"/>
                      <w:lang w:val="en-US" w:eastAsia="zh-CN"/>
                    </w:rPr>
                    <w:t>849.3</w:t>
                  </w:r>
                  <w:r>
                    <w:rPr>
                      <w:rFonts w:hint="default" w:ascii="Times New Roman" w:hAnsi="Times New Roman" w:eastAsia="宋体" w:cs="Times New Roman"/>
                      <w:bCs/>
                      <w:color w:val="auto"/>
                      <w:kern w:val="0"/>
                      <w:sz w:val="21"/>
                      <w:szCs w:val="21"/>
                      <w:u w:val="none" w:color="auto"/>
                    </w:rPr>
                    <w:t>t/a</w:t>
                  </w:r>
                </w:p>
              </w:tc>
              <w:tc>
                <w:tcPr>
                  <w:tcW w:w="1240" w:type="pct"/>
                  <w:noWrap w:val="0"/>
                  <w:vAlign w:val="center"/>
                </w:tcPr>
                <w:p w14:paraId="71B53D65">
                  <w:pPr>
                    <w:keepNext w:val="0"/>
                    <w:keepLines w:val="0"/>
                    <w:pageBreakBefore w:val="0"/>
                    <w:wordWrap/>
                    <w:overflowPunct/>
                    <w:topLinePunct w:val="0"/>
                    <w:bidi w:val="0"/>
                    <w:spacing w:line="240" w:lineRule="auto"/>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bCs/>
                      <w:color w:val="auto"/>
                      <w:kern w:val="0"/>
                      <w:sz w:val="21"/>
                      <w:szCs w:val="21"/>
                      <w:u w:val="none" w:color="auto"/>
                    </w:rPr>
                    <w:t>分类收集后交由环卫部门运至垃圾中转站处理</w:t>
                  </w:r>
                </w:p>
              </w:tc>
              <w:tc>
                <w:tcPr>
                  <w:tcW w:w="922" w:type="pct"/>
                  <w:noWrap w:val="0"/>
                  <w:vAlign w:val="center"/>
                </w:tcPr>
                <w:p w14:paraId="6B722A69">
                  <w:pPr>
                    <w:pStyle w:val="78"/>
                    <w:keepNext w:val="0"/>
                    <w:keepLines w:val="0"/>
                    <w:pageBreakBefore w:val="0"/>
                    <w:widowControl w:val="0"/>
                    <w:kinsoku/>
                    <w:wordWrap/>
                    <w:overflowPunct/>
                    <w:topLinePunct w:val="0"/>
                    <w:bidi w:val="0"/>
                    <w:spacing w:beforeLines="0" w:afterLines="0" w:line="240" w:lineRule="auto"/>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snapToGrid w:val="0"/>
                      <w:color w:val="auto"/>
                      <w:kern w:val="21"/>
                      <w:sz w:val="21"/>
                      <w:szCs w:val="21"/>
                      <w:u w:val="none" w:color="auto"/>
                      <w:lang w:val="en-US" w:eastAsia="zh-CN"/>
                    </w:rPr>
                    <w:t>849.3</w:t>
                  </w:r>
                  <w:r>
                    <w:rPr>
                      <w:rFonts w:hint="default" w:ascii="Times New Roman" w:hAnsi="Times New Roman" w:eastAsia="宋体" w:cs="Times New Roman"/>
                      <w:bCs/>
                      <w:color w:val="auto"/>
                      <w:kern w:val="0"/>
                      <w:sz w:val="21"/>
                      <w:szCs w:val="21"/>
                      <w:u w:val="none" w:color="auto"/>
                    </w:rPr>
                    <w:t>t/a</w:t>
                  </w:r>
                </w:p>
              </w:tc>
            </w:tr>
            <w:tr w14:paraId="2EF69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0" w:type="pct"/>
                  <w:vMerge w:val="continue"/>
                  <w:noWrap w:val="0"/>
                  <w:vAlign w:val="center"/>
                </w:tcPr>
                <w:p w14:paraId="2296E59A">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p>
              </w:tc>
              <w:tc>
                <w:tcPr>
                  <w:tcW w:w="994" w:type="pct"/>
                  <w:noWrap w:val="0"/>
                  <w:vAlign w:val="center"/>
                </w:tcPr>
                <w:p w14:paraId="62002CFF">
                  <w:pPr>
                    <w:keepNext w:val="0"/>
                    <w:keepLines w:val="0"/>
                    <w:pageBreakBefore w:val="0"/>
                    <w:wordWrap/>
                    <w:overflowPunct/>
                    <w:topLinePunct w:val="0"/>
                    <w:bidi w:val="0"/>
                    <w:spacing w:line="240" w:lineRule="auto"/>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bCs/>
                      <w:color w:val="auto"/>
                      <w:kern w:val="0"/>
                      <w:sz w:val="21"/>
                      <w:szCs w:val="21"/>
                      <w:u w:val="none" w:color="auto"/>
                    </w:rPr>
                    <w:t>化粪池</w:t>
                  </w:r>
                </w:p>
              </w:tc>
              <w:tc>
                <w:tcPr>
                  <w:tcW w:w="649" w:type="pct"/>
                  <w:noWrap w:val="0"/>
                  <w:vAlign w:val="center"/>
                </w:tcPr>
                <w:p w14:paraId="33D60A68">
                  <w:pPr>
                    <w:keepNext w:val="0"/>
                    <w:keepLines w:val="0"/>
                    <w:pageBreakBefore w:val="0"/>
                    <w:wordWrap/>
                    <w:overflowPunct/>
                    <w:topLinePunct w:val="0"/>
                    <w:bidi w:val="0"/>
                    <w:spacing w:line="240" w:lineRule="auto"/>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bCs/>
                      <w:color w:val="auto"/>
                      <w:kern w:val="0"/>
                      <w:sz w:val="21"/>
                      <w:szCs w:val="21"/>
                      <w:u w:val="none" w:color="auto"/>
                    </w:rPr>
                    <w:t>化粪池污泥</w:t>
                  </w:r>
                </w:p>
              </w:tc>
              <w:tc>
                <w:tcPr>
                  <w:tcW w:w="922" w:type="pct"/>
                  <w:noWrap w:val="0"/>
                  <w:vAlign w:val="center"/>
                </w:tcPr>
                <w:p w14:paraId="088143F9">
                  <w:pPr>
                    <w:pStyle w:val="78"/>
                    <w:keepNext w:val="0"/>
                    <w:keepLines w:val="0"/>
                    <w:pageBreakBefore w:val="0"/>
                    <w:widowControl w:val="0"/>
                    <w:kinsoku/>
                    <w:wordWrap/>
                    <w:overflowPunct/>
                    <w:topLinePunct w:val="0"/>
                    <w:bidi w:val="0"/>
                    <w:spacing w:beforeLines="0" w:afterLines="0" w:line="240" w:lineRule="auto"/>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snapToGrid w:val="0"/>
                      <w:color w:val="auto"/>
                      <w:kern w:val="21"/>
                      <w:sz w:val="21"/>
                      <w:szCs w:val="21"/>
                      <w:u w:val="none" w:color="auto"/>
                      <w:lang w:val="en-US" w:eastAsia="zh-CN"/>
                    </w:rPr>
                    <w:t>8</w:t>
                  </w:r>
                  <w:r>
                    <w:rPr>
                      <w:rFonts w:hint="default" w:ascii="Times New Roman" w:hAnsi="Times New Roman" w:eastAsia="宋体" w:cs="Times New Roman"/>
                      <w:bCs/>
                      <w:color w:val="auto"/>
                      <w:kern w:val="0"/>
                      <w:sz w:val="21"/>
                      <w:szCs w:val="21"/>
                      <w:u w:val="none" w:color="auto"/>
                    </w:rPr>
                    <w:t>t/a</w:t>
                  </w:r>
                </w:p>
              </w:tc>
              <w:tc>
                <w:tcPr>
                  <w:tcW w:w="1240" w:type="pct"/>
                  <w:noWrap w:val="0"/>
                  <w:vAlign w:val="center"/>
                </w:tcPr>
                <w:p w14:paraId="7482B489">
                  <w:pPr>
                    <w:keepNext w:val="0"/>
                    <w:keepLines w:val="0"/>
                    <w:pageBreakBefore w:val="0"/>
                    <w:wordWrap/>
                    <w:overflowPunct/>
                    <w:topLinePunct w:val="0"/>
                    <w:bidi w:val="0"/>
                    <w:spacing w:line="240" w:lineRule="auto"/>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bCs/>
                      <w:color w:val="auto"/>
                      <w:kern w:val="0"/>
                      <w:sz w:val="21"/>
                      <w:szCs w:val="21"/>
                      <w:u w:val="none" w:color="auto"/>
                    </w:rPr>
                    <w:t>定期清掏交由环卫部门处理</w:t>
                  </w:r>
                </w:p>
              </w:tc>
              <w:tc>
                <w:tcPr>
                  <w:tcW w:w="922" w:type="pct"/>
                  <w:noWrap w:val="0"/>
                  <w:vAlign w:val="center"/>
                </w:tcPr>
                <w:p w14:paraId="5928EF22">
                  <w:pPr>
                    <w:pStyle w:val="78"/>
                    <w:keepNext w:val="0"/>
                    <w:keepLines w:val="0"/>
                    <w:pageBreakBefore w:val="0"/>
                    <w:widowControl w:val="0"/>
                    <w:kinsoku/>
                    <w:wordWrap/>
                    <w:overflowPunct/>
                    <w:topLinePunct w:val="0"/>
                    <w:bidi w:val="0"/>
                    <w:spacing w:beforeLines="0" w:afterLines="0" w:line="240" w:lineRule="auto"/>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snapToGrid w:val="0"/>
                      <w:color w:val="auto"/>
                      <w:kern w:val="21"/>
                      <w:sz w:val="21"/>
                      <w:szCs w:val="21"/>
                      <w:u w:val="none" w:color="auto"/>
                      <w:lang w:val="en-US" w:eastAsia="zh-CN"/>
                    </w:rPr>
                    <w:t>8</w:t>
                  </w:r>
                  <w:r>
                    <w:rPr>
                      <w:rFonts w:hint="default" w:ascii="Times New Roman" w:hAnsi="Times New Roman" w:eastAsia="宋体" w:cs="Times New Roman"/>
                      <w:bCs/>
                      <w:color w:val="auto"/>
                      <w:kern w:val="0"/>
                      <w:sz w:val="21"/>
                      <w:szCs w:val="21"/>
                      <w:u w:val="none" w:color="auto"/>
                    </w:rPr>
                    <w:t>t/a</w:t>
                  </w:r>
                </w:p>
              </w:tc>
            </w:tr>
            <w:tr w14:paraId="5EA74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0" w:type="pct"/>
                  <w:vMerge w:val="continue"/>
                  <w:noWrap w:val="0"/>
                  <w:vAlign w:val="center"/>
                </w:tcPr>
                <w:p w14:paraId="508EF7CC">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p>
              </w:tc>
              <w:tc>
                <w:tcPr>
                  <w:tcW w:w="994" w:type="pct"/>
                  <w:noWrap w:val="0"/>
                  <w:vAlign w:val="center"/>
                </w:tcPr>
                <w:p w14:paraId="3CB49AA5">
                  <w:pPr>
                    <w:keepNext w:val="0"/>
                    <w:keepLines w:val="0"/>
                    <w:pageBreakBefore w:val="0"/>
                    <w:wordWrap/>
                    <w:overflowPunct/>
                    <w:topLinePunct w:val="0"/>
                    <w:bidi w:val="0"/>
                    <w:spacing w:line="240" w:lineRule="auto"/>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u w:val="none" w:color="auto"/>
                      <w:lang w:eastAsia="zh-CN"/>
                    </w:rPr>
                    <w:t>餐厅</w:t>
                  </w:r>
                </w:p>
              </w:tc>
              <w:tc>
                <w:tcPr>
                  <w:tcW w:w="649" w:type="pct"/>
                  <w:noWrap w:val="0"/>
                  <w:vAlign w:val="center"/>
                </w:tcPr>
                <w:p w14:paraId="2050CD75">
                  <w:pPr>
                    <w:keepNext w:val="0"/>
                    <w:keepLines w:val="0"/>
                    <w:pageBreakBefore w:val="0"/>
                    <w:wordWrap/>
                    <w:overflowPunct/>
                    <w:topLinePunct w:val="0"/>
                    <w:bidi w:val="0"/>
                    <w:spacing w:line="240" w:lineRule="auto"/>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Style w:val="42"/>
                      <w:rFonts w:hint="default" w:ascii="Times New Roman" w:hAnsi="Times New Roman" w:eastAsia="宋体" w:cs="Times New Roman"/>
                      <w:color w:val="auto"/>
                      <w:kern w:val="0"/>
                      <w:sz w:val="21"/>
                      <w:szCs w:val="21"/>
                      <w:u w:val="none" w:color="auto"/>
                    </w:rPr>
                    <w:t>餐厨垃圾</w:t>
                  </w:r>
                </w:p>
              </w:tc>
              <w:tc>
                <w:tcPr>
                  <w:tcW w:w="922" w:type="pct"/>
                  <w:noWrap w:val="0"/>
                  <w:vAlign w:val="center"/>
                </w:tcPr>
                <w:p w14:paraId="4D7497E2">
                  <w:pPr>
                    <w:pStyle w:val="78"/>
                    <w:keepNext w:val="0"/>
                    <w:keepLines w:val="0"/>
                    <w:pageBreakBefore w:val="0"/>
                    <w:widowControl w:val="0"/>
                    <w:kinsoku/>
                    <w:wordWrap/>
                    <w:overflowPunct/>
                    <w:topLinePunct w:val="0"/>
                    <w:bidi w:val="0"/>
                    <w:spacing w:beforeLines="0" w:afterLines="0" w:line="240" w:lineRule="auto"/>
                    <w:textAlignment w:val="auto"/>
                    <w:rPr>
                      <w:rFonts w:hint="default" w:ascii="Times New Roman" w:hAnsi="Times New Roman" w:eastAsia="宋体" w:cs="Times New Roman"/>
                      <w:b/>
                      <w:bCs w:val="0"/>
                      <w:color w:val="auto"/>
                      <w:sz w:val="21"/>
                      <w:szCs w:val="21"/>
                      <w:highlight w:val="none"/>
                      <w:u w:val="none" w:color="auto"/>
                      <w:vertAlign w:val="baseline"/>
                      <w:lang w:eastAsia="zh-CN"/>
                    </w:rPr>
                  </w:pPr>
                  <w:r>
                    <w:rPr>
                      <w:rFonts w:hint="eastAsia" w:ascii="Times New Roman" w:cs="Times New Roman"/>
                      <w:snapToGrid w:val="0"/>
                      <w:color w:val="auto"/>
                      <w:kern w:val="21"/>
                      <w:sz w:val="21"/>
                      <w:szCs w:val="21"/>
                      <w:u w:val="none" w:color="auto"/>
                      <w:lang w:val="en-US" w:eastAsia="zh-CN"/>
                    </w:rPr>
                    <w:t>599.58</w:t>
                  </w:r>
                  <w:r>
                    <w:rPr>
                      <w:rFonts w:hint="default" w:ascii="Times New Roman" w:hAnsi="Times New Roman" w:eastAsia="宋体" w:cs="Times New Roman"/>
                      <w:bCs/>
                      <w:color w:val="auto"/>
                      <w:kern w:val="0"/>
                      <w:sz w:val="21"/>
                      <w:szCs w:val="21"/>
                      <w:u w:val="none" w:color="auto"/>
                    </w:rPr>
                    <w:t>t/a</w:t>
                  </w:r>
                </w:p>
              </w:tc>
              <w:tc>
                <w:tcPr>
                  <w:tcW w:w="1240" w:type="pct"/>
                  <w:noWrap w:val="0"/>
                  <w:vAlign w:val="center"/>
                </w:tcPr>
                <w:p w14:paraId="5E162278">
                  <w:pPr>
                    <w:keepNext w:val="0"/>
                    <w:keepLines w:val="0"/>
                    <w:pageBreakBefore w:val="0"/>
                    <w:wordWrap/>
                    <w:overflowPunct/>
                    <w:topLinePunct w:val="0"/>
                    <w:bidi w:val="0"/>
                    <w:spacing w:line="240" w:lineRule="auto"/>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bCs/>
                      <w:color w:val="auto"/>
                      <w:kern w:val="0"/>
                      <w:sz w:val="21"/>
                      <w:szCs w:val="21"/>
                      <w:u w:val="none" w:color="auto"/>
                    </w:rPr>
                    <w:t>分类收集后交由环卫部门运至垃圾中转站进行处理</w:t>
                  </w:r>
                </w:p>
              </w:tc>
              <w:tc>
                <w:tcPr>
                  <w:tcW w:w="922" w:type="pct"/>
                  <w:noWrap w:val="0"/>
                  <w:vAlign w:val="center"/>
                </w:tcPr>
                <w:p w14:paraId="4B8A1BFC">
                  <w:pPr>
                    <w:pStyle w:val="78"/>
                    <w:keepNext w:val="0"/>
                    <w:keepLines w:val="0"/>
                    <w:pageBreakBefore w:val="0"/>
                    <w:widowControl w:val="0"/>
                    <w:kinsoku/>
                    <w:wordWrap/>
                    <w:overflowPunct/>
                    <w:topLinePunct w:val="0"/>
                    <w:bidi w:val="0"/>
                    <w:spacing w:beforeLines="0" w:afterLines="0" w:line="240" w:lineRule="auto"/>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eastAsia" w:ascii="Times New Roman" w:cs="Times New Roman"/>
                      <w:snapToGrid w:val="0"/>
                      <w:color w:val="auto"/>
                      <w:kern w:val="21"/>
                      <w:sz w:val="21"/>
                      <w:szCs w:val="21"/>
                      <w:u w:val="none" w:color="auto"/>
                      <w:lang w:val="en-US" w:eastAsia="zh-CN"/>
                    </w:rPr>
                    <w:t>599.58</w:t>
                  </w:r>
                  <w:r>
                    <w:rPr>
                      <w:rFonts w:hint="default" w:ascii="Times New Roman" w:hAnsi="Times New Roman" w:eastAsia="宋体" w:cs="Times New Roman"/>
                      <w:bCs/>
                      <w:color w:val="auto"/>
                      <w:kern w:val="0"/>
                      <w:sz w:val="21"/>
                      <w:szCs w:val="21"/>
                      <w:u w:val="none" w:color="auto"/>
                    </w:rPr>
                    <w:t>t/a</w:t>
                  </w:r>
                </w:p>
              </w:tc>
            </w:tr>
            <w:tr w14:paraId="4EDD4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0" w:type="pct"/>
                  <w:vMerge w:val="continue"/>
                  <w:noWrap w:val="0"/>
                  <w:vAlign w:val="center"/>
                </w:tcPr>
                <w:p w14:paraId="2A865B59">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right="0" w:firstLine="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p>
              </w:tc>
              <w:tc>
                <w:tcPr>
                  <w:tcW w:w="994" w:type="pct"/>
                  <w:noWrap w:val="0"/>
                  <w:vAlign w:val="center"/>
                </w:tcPr>
                <w:p w14:paraId="05E55966">
                  <w:pPr>
                    <w:keepNext w:val="0"/>
                    <w:keepLines w:val="0"/>
                    <w:pageBreakBefore w:val="0"/>
                    <w:wordWrap/>
                    <w:overflowPunct/>
                    <w:topLinePunct w:val="0"/>
                    <w:bidi w:val="0"/>
                    <w:spacing w:line="240" w:lineRule="auto"/>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eastAsia="宋体" w:cs="Times New Roman"/>
                      <w:color w:val="auto"/>
                      <w:sz w:val="21"/>
                      <w:szCs w:val="21"/>
                      <w:u w:val="none" w:color="auto"/>
                    </w:rPr>
                    <w:t>隔油池</w:t>
                  </w:r>
                </w:p>
              </w:tc>
              <w:tc>
                <w:tcPr>
                  <w:tcW w:w="649" w:type="pct"/>
                  <w:noWrap w:val="0"/>
                  <w:vAlign w:val="center"/>
                </w:tcPr>
                <w:p w14:paraId="1047AD84">
                  <w:pPr>
                    <w:keepNext w:val="0"/>
                    <w:keepLines w:val="0"/>
                    <w:pageBreakBefore w:val="0"/>
                    <w:wordWrap/>
                    <w:overflowPunct/>
                    <w:topLinePunct w:val="0"/>
                    <w:bidi w:val="0"/>
                    <w:spacing w:line="240" w:lineRule="auto"/>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Style w:val="42"/>
                      <w:rFonts w:hint="default" w:ascii="Times New Roman" w:hAnsi="Times New Roman" w:eastAsia="宋体" w:cs="Times New Roman"/>
                      <w:color w:val="auto"/>
                      <w:kern w:val="0"/>
                      <w:sz w:val="21"/>
                      <w:szCs w:val="21"/>
                      <w:u w:val="none" w:color="auto"/>
                    </w:rPr>
                    <w:t>隔油池废油脂</w:t>
                  </w:r>
                </w:p>
              </w:tc>
              <w:tc>
                <w:tcPr>
                  <w:tcW w:w="922" w:type="pct"/>
                  <w:noWrap w:val="0"/>
                  <w:vAlign w:val="center"/>
                </w:tcPr>
                <w:p w14:paraId="67EA7047">
                  <w:pPr>
                    <w:pStyle w:val="78"/>
                    <w:keepNext w:val="0"/>
                    <w:keepLines w:val="0"/>
                    <w:pageBreakBefore w:val="0"/>
                    <w:widowControl w:val="0"/>
                    <w:kinsoku/>
                    <w:wordWrap/>
                    <w:overflowPunct/>
                    <w:topLinePunct w:val="0"/>
                    <w:bidi w:val="0"/>
                    <w:spacing w:beforeLines="0" w:afterLines="0" w:line="240" w:lineRule="auto"/>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eastAsia="宋体" w:cs="Times New Roman"/>
                      <w:snapToGrid w:val="0"/>
                      <w:color w:val="auto"/>
                      <w:kern w:val="21"/>
                      <w:sz w:val="21"/>
                      <w:szCs w:val="21"/>
                      <w:u w:val="none" w:color="auto"/>
                      <w:lang w:val="en-US" w:eastAsia="zh-CN"/>
                    </w:rPr>
                    <w:t>4</w:t>
                  </w:r>
                  <w:r>
                    <w:rPr>
                      <w:rFonts w:hint="default" w:ascii="Times New Roman" w:hAnsi="Times New Roman" w:eastAsia="宋体" w:cs="Times New Roman"/>
                      <w:bCs/>
                      <w:color w:val="auto"/>
                      <w:kern w:val="0"/>
                      <w:sz w:val="21"/>
                      <w:szCs w:val="21"/>
                      <w:u w:val="none" w:color="auto"/>
                    </w:rPr>
                    <w:t>t/a</w:t>
                  </w:r>
                </w:p>
              </w:tc>
              <w:tc>
                <w:tcPr>
                  <w:tcW w:w="1240" w:type="pct"/>
                  <w:noWrap w:val="0"/>
                  <w:vAlign w:val="center"/>
                </w:tcPr>
                <w:p w14:paraId="3EA97166">
                  <w:pPr>
                    <w:keepNext w:val="0"/>
                    <w:keepLines w:val="0"/>
                    <w:pageBreakBefore w:val="0"/>
                    <w:wordWrap/>
                    <w:overflowPunct/>
                    <w:topLinePunct w:val="0"/>
                    <w:bidi w:val="0"/>
                    <w:spacing w:line="240" w:lineRule="auto"/>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u w:val="none" w:color="auto"/>
                    </w:rPr>
                    <w:t>及时清掏后交由环卫部门处理处理</w:t>
                  </w:r>
                </w:p>
              </w:tc>
              <w:tc>
                <w:tcPr>
                  <w:tcW w:w="922" w:type="pct"/>
                  <w:noWrap w:val="0"/>
                  <w:vAlign w:val="center"/>
                </w:tcPr>
                <w:p w14:paraId="29705B85">
                  <w:pPr>
                    <w:pStyle w:val="78"/>
                    <w:keepNext w:val="0"/>
                    <w:keepLines w:val="0"/>
                    <w:pageBreakBefore w:val="0"/>
                    <w:widowControl w:val="0"/>
                    <w:kinsoku/>
                    <w:wordWrap/>
                    <w:overflowPunct/>
                    <w:topLinePunct w:val="0"/>
                    <w:bidi w:val="0"/>
                    <w:spacing w:beforeLines="0" w:afterLines="0" w:line="240" w:lineRule="auto"/>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snapToGrid w:val="0"/>
                      <w:color w:val="auto"/>
                      <w:kern w:val="21"/>
                      <w:sz w:val="21"/>
                      <w:szCs w:val="21"/>
                      <w:u w:val="none" w:color="auto"/>
                      <w:lang w:val="en-US" w:eastAsia="zh-CN"/>
                    </w:rPr>
                    <w:t>4</w:t>
                  </w:r>
                  <w:r>
                    <w:rPr>
                      <w:rFonts w:hint="default" w:ascii="Times New Roman" w:hAnsi="Times New Roman" w:eastAsia="宋体" w:cs="Times New Roman"/>
                      <w:bCs/>
                      <w:color w:val="auto"/>
                      <w:kern w:val="0"/>
                      <w:sz w:val="21"/>
                      <w:szCs w:val="21"/>
                      <w:u w:val="none" w:color="auto"/>
                    </w:rPr>
                    <w:t>t/a</w:t>
                  </w:r>
                </w:p>
              </w:tc>
            </w:tr>
          </w:tbl>
          <w:p w14:paraId="4D48CC67">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szCs w:val="24"/>
                <w:highlight w:val="none"/>
                <w:u w:val="none" w:color="auto"/>
                <w:lang w:eastAsia="zh-CN"/>
              </w:rPr>
              <w:t>六、</w:t>
            </w:r>
            <w:r>
              <w:rPr>
                <w:rFonts w:hint="default" w:ascii="Times New Roman" w:hAnsi="Times New Roman" w:eastAsia="宋体" w:cs="Times New Roman"/>
                <w:b/>
                <w:bCs/>
                <w:color w:val="auto"/>
                <w:sz w:val="24"/>
                <w:highlight w:val="none"/>
                <w:u w:val="none" w:color="auto"/>
              </w:rPr>
              <w:t>现有工程具体整改要求</w:t>
            </w:r>
          </w:p>
          <w:p w14:paraId="117A148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根据上表分析，环评对现有工程提出以下整改措施：</w:t>
            </w:r>
          </w:p>
          <w:p w14:paraId="49BC2168">
            <w:pPr>
              <w:keepNext w:val="0"/>
              <w:keepLines w:val="0"/>
              <w:pageBreakBefore w:val="0"/>
              <w:widowControl w:val="0"/>
              <w:numPr>
                <w:ilvl w:val="0"/>
                <w:numId w:val="0"/>
              </w:numPr>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highlight w:val="none"/>
                <w:u w:val="none" w:color="auto"/>
                <w:lang w:val="en-US" w:eastAsia="zh-CN"/>
              </w:rPr>
            </w:pPr>
            <w:r>
              <w:rPr>
                <w:rFonts w:hint="default" w:ascii="Times New Roman" w:hAnsi="Times New Roman" w:eastAsia="宋体" w:cs="Times New Roman"/>
                <w:color w:val="auto"/>
                <w:kern w:val="2"/>
                <w:sz w:val="24"/>
                <w:szCs w:val="24"/>
                <w:u w:color="auto"/>
                <w:lang w:val="en-US" w:eastAsia="zh-CN" w:bidi="ar-SA"/>
              </w:rPr>
              <w:t>1、</w:t>
            </w:r>
            <w:r>
              <w:rPr>
                <w:rFonts w:hint="default" w:ascii="Times New Roman" w:hAnsi="Times New Roman" w:eastAsia="宋体" w:cs="Times New Roman"/>
                <w:color w:val="auto"/>
                <w:sz w:val="24"/>
                <w:highlight w:val="none"/>
                <w:u w:val="none" w:color="auto"/>
                <w:lang w:eastAsia="zh-CN"/>
              </w:rPr>
              <w:t>餐厅</w:t>
            </w:r>
            <w:r>
              <w:rPr>
                <w:rFonts w:hint="default" w:ascii="Times New Roman" w:hAnsi="Times New Roman" w:eastAsia="宋体" w:cs="Times New Roman"/>
                <w:color w:val="auto"/>
                <w:sz w:val="24"/>
                <w:highlight w:val="none"/>
                <w:u w:val="none" w:color="auto"/>
                <w:lang w:val="en-US" w:eastAsia="zh-CN"/>
              </w:rPr>
              <w:t>废气按规划要求设置废气排气筒，经整改后排气筒出口废气排放浓度可以满足《餐饮业油烟污染物排放标准》（DB41/1604-2018）表1中相关排放限值要求。</w:t>
            </w:r>
          </w:p>
          <w:p w14:paraId="3BEFA831">
            <w:pPr>
              <w:pStyle w:val="64"/>
              <w:keepNext w:val="0"/>
              <w:keepLines w:val="0"/>
              <w:pageBreakBefore w:val="0"/>
              <w:widowControl w:val="0"/>
              <w:kinsoku/>
              <w:wordWrap/>
              <w:overflowPunct/>
              <w:topLinePunct w:val="0"/>
              <w:bidi w:val="0"/>
              <w:adjustRightInd w:val="0"/>
              <w:spacing w:line="360" w:lineRule="auto"/>
              <w:ind w:firstLine="480" w:firstLineChars="200"/>
              <w:textAlignment w:val="auto"/>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sz w:val="24"/>
                <w:highlight w:val="none"/>
                <w:u w:val="none" w:color="auto"/>
              </w:rPr>
              <w:t>以上整改措施在本项目“三同时”验收前完成。</w:t>
            </w:r>
          </w:p>
          <w:p w14:paraId="3A9D7ACB">
            <w:pPr>
              <w:pStyle w:val="64"/>
              <w:spacing w:line="360" w:lineRule="auto"/>
              <w:ind w:firstLine="480" w:firstLineChars="200"/>
              <w:rPr>
                <w:rFonts w:hint="default" w:ascii="Times New Roman" w:hAnsi="Times New Roman" w:eastAsia="宋体" w:cs="Times New Roman"/>
                <w:color w:val="auto"/>
                <w:highlight w:val="none"/>
                <w:u w:val="none" w:color="auto"/>
              </w:rPr>
            </w:pPr>
          </w:p>
          <w:p w14:paraId="6AD349A9">
            <w:pPr>
              <w:pStyle w:val="64"/>
              <w:rPr>
                <w:rFonts w:hint="default" w:ascii="Times New Roman" w:hAnsi="Times New Roman" w:eastAsia="宋体" w:cs="Times New Roman"/>
                <w:color w:val="auto"/>
                <w:highlight w:val="none"/>
                <w:u w:val="none" w:color="auto"/>
              </w:rPr>
            </w:pPr>
          </w:p>
          <w:p w14:paraId="62C6A407">
            <w:pPr>
              <w:pStyle w:val="64"/>
              <w:rPr>
                <w:rFonts w:hint="default" w:ascii="Times New Roman" w:hAnsi="Times New Roman" w:eastAsia="宋体" w:cs="Times New Roman"/>
                <w:color w:val="auto"/>
                <w:highlight w:val="none"/>
                <w:u w:val="none" w:color="auto"/>
              </w:rPr>
            </w:pPr>
          </w:p>
          <w:p w14:paraId="1A0DB087">
            <w:pPr>
              <w:pStyle w:val="64"/>
              <w:rPr>
                <w:rFonts w:hint="default" w:ascii="Times New Roman" w:hAnsi="Times New Roman" w:eastAsia="宋体" w:cs="Times New Roman"/>
                <w:color w:val="auto"/>
                <w:highlight w:val="none"/>
                <w:u w:val="none" w:color="auto"/>
              </w:rPr>
            </w:pPr>
          </w:p>
        </w:tc>
      </w:tr>
    </w:tbl>
    <w:p w14:paraId="7436977F">
      <w:pPr>
        <w:pStyle w:val="32"/>
        <w:jc w:val="both"/>
        <w:rPr>
          <w:rFonts w:hint="default" w:ascii="Times New Roman" w:hAnsi="Times New Roman" w:eastAsia="黑体" w:cs="Times New Roman"/>
          <w:snapToGrid w:val="0"/>
          <w:color w:val="auto"/>
          <w:sz w:val="30"/>
          <w:szCs w:val="30"/>
          <w:highlight w:val="none"/>
          <w:u w:val="none" w:color="auto"/>
        </w:rPr>
        <w:sectPr>
          <w:footerReference r:id="rId6" w:type="default"/>
          <w:pgSz w:w="11907" w:h="16840"/>
          <w:pgMar w:top="1701" w:right="1531" w:bottom="2127" w:left="1531" w:header="851" w:footer="851" w:gutter="0"/>
          <w:cols w:space="720" w:num="1"/>
          <w:docGrid w:linePitch="312" w:charSpace="0"/>
        </w:sectPr>
      </w:pPr>
    </w:p>
    <w:p w14:paraId="78C00F6B">
      <w:pPr>
        <w:pStyle w:val="2"/>
        <w:ind w:left="0" w:firstLine="0"/>
        <w:rPr>
          <w:rFonts w:hint="default" w:ascii="Times New Roman" w:hAnsi="Times New Roman" w:cs="Times New Roman"/>
          <w:color w:val="auto"/>
          <w:highlight w:val="none"/>
          <w:u w:val="none" w:color="auto"/>
        </w:rPr>
      </w:pPr>
      <w:bookmarkStart w:id="16" w:name="_Toc16748"/>
      <w:bookmarkStart w:id="17" w:name="_Toc23590"/>
      <w:bookmarkStart w:id="18" w:name="_Toc8939"/>
      <w:bookmarkStart w:id="19" w:name="_Toc26913"/>
      <w:bookmarkStart w:id="20" w:name="_Toc25052"/>
      <w:bookmarkStart w:id="21" w:name="_Toc20053"/>
      <w:r>
        <w:rPr>
          <w:rFonts w:hint="default" w:ascii="Times New Roman" w:hAnsi="Times New Roman" w:cs="Times New Roman"/>
          <w:color w:val="auto"/>
          <w:highlight w:val="none"/>
          <w:u w:val="none" w:color="auto"/>
        </w:rPr>
        <w:t>三、区域环境质量现状、环境保护目标及评价标准</w:t>
      </w:r>
      <w:bookmarkEnd w:id="16"/>
      <w:bookmarkEnd w:id="17"/>
      <w:bookmarkEnd w:id="18"/>
      <w:bookmarkEnd w:id="19"/>
      <w:bookmarkEnd w:id="20"/>
      <w:bookmarkEnd w:id="21"/>
    </w:p>
    <w:tbl>
      <w:tblPr>
        <w:tblStyle w:val="3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07"/>
        <w:gridCol w:w="8454"/>
      </w:tblGrid>
      <w:tr w14:paraId="1221DB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386" w:type="pct"/>
            <w:noWrap w:val="0"/>
            <w:vAlign w:val="center"/>
          </w:tcPr>
          <w:p w14:paraId="21923AC1">
            <w:pPr>
              <w:adjustRightInd w:val="0"/>
              <w:snapToGrid w:val="0"/>
              <w:jc w:val="center"/>
              <w:rPr>
                <w:rFonts w:hint="default" w:ascii="Times New Roman" w:hAnsi="Times New Roman" w:cs="Times New Roman"/>
                <w:color w:val="auto"/>
                <w:kern w:val="0"/>
                <w:sz w:val="24"/>
                <w:highlight w:val="none"/>
                <w:u w:val="none" w:color="auto"/>
              </w:rPr>
            </w:pPr>
            <w:r>
              <w:rPr>
                <w:rFonts w:hint="default" w:ascii="Times New Roman" w:hAnsi="Times New Roman" w:cs="Times New Roman"/>
                <w:color w:val="auto"/>
                <w:kern w:val="0"/>
                <w:sz w:val="24"/>
                <w:highlight w:val="none"/>
                <w:u w:val="none" w:color="auto"/>
              </w:rPr>
              <w:t>区域</w:t>
            </w:r>
          </w:p>
          <w:p w14:paraId="7F2EC62B">
            <w:pPr>
              <w:adjustRightInd w:val="0"/>
              <w:snapToGrid w:val="0"/>
              <w:jc w:val="center"/>
              <w:rPr>
                <w:rFonts w:hint="default" w:ascii="Times New Roman" w:hAnsi="Times New Roman" w:cs="Times New Roman"/>
                <w:color w:val="auto"/>
                <w:kern w:val="0"/>
                <w:sz w:val="24"/>
                <w:highlight w:val="none"/>
                <w:u w:val="none" w:color="auto"/>
              </w:rPr>
            </w:pPr>
            <w:r>
              <w:rPr>
                <w:rFonts w:hint="default" w:ascii="Times New Roman" w:hAnsi="Times New Roman" w:cs="Times New Roman"/>
                <w:color w:val="auto"/>
                <w:kern w:val="0"/>
                <w:sz w:val="24"/>
                <w:highlight w:val="none"/>
                <w:u w:val="none" w:color="auto"/>
              </w:rPr>
              <w:t>环境</w:t>
            </w:r>
          </w:p>
          <w:p w14:paraId="1FB65D67">
            <w:pPr>
              <w:adjustRightInd w:val="0"/>
              <w:snapToGrid w:val="0"/>
              <w:jc w:val="center"/>
              <w:rPr>
                <w:rFonts w:hint="default" w:ascii="Times New Roman" w:hAnsi="Times New Roman" w:cs="Times New Roman"/>
                <w:color w:val="auto"/>
                <w:kern w:val="0"/>
                <w:sz w:val="24"/>
                <w:highlight w:val="none"/>
                <w:u w:val="none" w:color="auto"/>
              </w:rPr>
            </w:pPr>
            <w:r>
              <w:rPr>
                <w:rFonts w:hint="default" w:ascii="Times New Roman" w:hAnsi="Times New Roman" w:cs="Times New Roman"/>
                <w:color w:val="auto"/>
                <w:kern w:val="0"/>
                <w:sz w:val="24"/>
                <w:highlight w:val="none"/>
                <w:u w:val="none" w:color="auto"/>
              </w:rPr>
              <w:t>质量</w:t>
            </w:r>
          </w:p>
          <w:p w14:paraId="61E16E33">
            <w:pPr>
              <w:adjustRightInd w:val="0"/>
              <w:snapToGrid w:val="0"/>
              <w:jc w:val="center"/>
              <w:rPr>
                <w:rFonts w:hint="default" w:ascii="Times New Roman" w:hAnsi="Times New Roman" w:cs="Times New Roman"/>
                <w:color w:val="auto"/>
                <w:kern w:val="0"/>
                <w:sz w:val="24"/>
                <w:highlight w:val="none"/>
                <w:u w:val="none" w:color="auto"/>
              </w:rPr>
            </w:pPr>
            <w:r>
              <w:rPr>
                <w:rFonts w:hint="default" w:ascii="Times New Roman" w:hAnsi="Times New Roman" w:cs="Times New Roman"/>
                <w:color w:val="auto"/>
                <w:kern w:val="0"/>
                <w:sz w:val="24"/>
                <w:highlight w:val="none"/>
                <w:u w:val="none" w:color="auto"/>
              </w:rPr>
              <w:t>现状</w:t>
            </w:r>
          </w:p>
        </w:tc>
        <w:tc>
          <w:tcPr>
            <w:tcW w:w="4613" w:type="pct"/>
            <w:noWrap w:val="0"/>
            <w:vAlign w:val="center"/>
          </w:tcPr>
          <w:p w14:paraId="279D0093">
            <w:pPr>
              <w:tabs>
                <w:tab w:val="left" w:pos="1081"/>
              </w:tabs>
              <w:adjustRightInd w:val="0"/>
              <w:snapToGrid w:val="0"/>
              <w:spacing w:line="360" w:lineRule="auto"/>
              <w:ind w:firstLine="482" w:firstLineChars="200"/>
              <w:rPr>
                <w:rFonts w:hint="default" w:ascii="Times New Roman" w:hAnsi="Times New Roman" w:cs="Times New Roman"/>
                <w:b/>
                <w:bCs w:val="0"/>
                <w:color w:val="auto"/>
                <w:sz w:val="24"/>
                <w:u w:val="none" w:color="auto"/>
              </w:rPr>
            </w:pPr>
            <w:r>
              <w:rPr>
                <w:rFonts w:hint="default" w:ascii="Times New Roman" w:hAnsi="Times New Roman" w:cs="Times New Roman"/>
                <w:b/>
                <w:bCs w:val="0"/>
                <w:color w:val="auto"/>
                <w:sz w:val="24"/>
                <w:u w:val="none" w:color="auto"/>
              </w:rPr>
              <w:t>1、大气环境</w:t>
            </w:r>
          </w:p>
          <w:p w14:paraId="74288305">
            <w:pPr>
              <w:tabs>
                <w:tab w:val="left" w:pos="1081"/>
              </w:tabs>
              <w:adjustRightInd w:val="0"/>
              <w:snapToGrid w:val="0"/>
              <w:spacing w:line="360" w:lineRule="auto"/>
              <w:ind w:firstLine="480" w:firstLineChars="200"/>
              <w:rPr>
                <w:rFonts w:hint="default" w:ascii="Times New Roman" w:hAnsi="Times New Roman" w:cs="Times New Roman"/>
                <w:bCs/>
                <w:color w:val="auto"/>
                <w:sz w:val="24"/>
                <w:highlight w:val="none"/>
                <w:u w:val="none" w:color="auto"/>
              </w:rPr>
            </w:pPr>
            <w:r>
              <w:rPr>
                <w:rFonts w:hint="default" w:ascii="Times New Roman" w:hAnsi="Times New Roman" w:cs="Times New Roman"/>
                <w:bCs/>
                <w:color w:val="auto"/>
                <w:sz w:val="24"/>
                <w:u w:val="none" w:color="auto"/>
              </w:rPr>
              <w:t>本项目位于</w:t>
            </w:r>
            <w:r>
              <w:rPr>
                <w:rFonts w:hint="default" w:ascii="Times New Roman" w:hAnsi="Times New Roman" w:cs="Times New Roman"/>
                <w:bCs/>
                <w:color w:val="auto"/>
                <w:sz w:val="24"/>
                <w:u w:val="none" w:color="auto"/>
                <w:lang w:val="en-US" w:eastAsia="zh-CN"/>
              </w:rPr>
              <w:t>镇平县涅阳街道中山街东段北侧，镇平县雪枫中学西侧</w:t>
            </w:r>
            <w:r>
              <w:rPr>
                <w:rFonts w:hint="default" w:ascii="Times New Roman" w:hAnsi="Times New Roman" w:cs="Times New Roman"/>
                <w:bCs/>
                <w:color w:val="auto"/>
                <w:sz w:val="24"/>
                <w:u w:val="none" w:color="auto"/>
              </w:rPr>
              <w:t>，</w:t>
            </w:r>
            <w:r>
              <w:rPr>
                <w:rFonts w:hint="default" w:ascii="Times New Roman" w:hAnsi="Times New Roman" w:cs="Times New Roman"/>
                <w:color w:val="auto"/>
                <w:sz w:val="24"/>
                <w:highlight w:val="none"/>
                <w:u w:val="none" w:color="auto"/>
              </w:rPr>
              <w:t>根据环境空气质量功能区划分原则，项目所在区域为二类功能区，环境空气质量应执行《环境空气质量标准》（GB3095-2012）中的二级标准。</w:t>
            </w:r>
            <w:r>
              <w:rPr>
                <w:rFonts w:hint="default" w:ascii="Times New Roman" w:hAnsi="Times New Roman" w:cs="Times New Roman"/>
                <w:bCs/>
                <w:color w:val="auto"/>
                <w:sz w:val="24"/>
                <w:highlight w:val="none"/>
                <w:u w:val="none" w:color="auto"/>
              </w:rPr>
              <w:t>本次评价采用《2023年河南省南阳市生态环境质量报告》中“2023年南阳市各县（市、区）环境空气主要项目监测结果统计”中镇平县的数据，详见下表。</w:t>
            </w:r>
          </w:p>
          <w:p w14:paraId="2FC7D7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highlight w:val="none"/>
                <w:u w:val="none" w:color="auto"/>
              </w:rPr>
            </w:pPr>
            <w:r>
              <w:rPr>
                <w:rFonts w:hint="default" w:ascii="Times New Roman" w:hAnsi="Times New Roman" w:eastAsia="宋体" w:cs="Times New Roman"/>
                <w:b/>
                <w:bCs/>
                <w:color w:val="auto"/>
                <w:sz w:val="24"/>
                <w:highlight w:val="none"/>
                <w:u w:val="none" w:color="auto"/>
                <w:lang w:val="en-GB"/>
              </w:rPr>
              <w:t>表3-1</w:t>
            </w:r>
            <w:r>
              <w:rPr>
                <w:rFonts w:hint="default" w:ascii="Times New Roman" w:hAnsi="Times New Roman" w:eastAsia="宋体" w:cs="Times New Roman"/>
                <w:b/>
                <w:bCs/>
                <w:color w:val="auto"/>
                <w:sz w:val="24"/>
                <w:highlight w:val="none"/>
                <w:u w:val="none" w:color="auto"/>
                <w:lang w:val="en-US" w:eastAsia="zh-CN"/>
              </w:rPr>
              <w:t xml:space="preserve">    </w:t>
            </w:r>
            <w:r>
              <w:rPr>
                <w:rFonts w:hint="default" w:ascii="Times New Roman" w:hAnsi="Times New Roman" w:eastAsia="宋体" w:cs="Times New Roman"/>
                <w:b/>
                <w:bCs/>
                <w:color w:val="auto"/>
                <w:sz w:val="24"/>
                <w:highlight w:val="none"/>
                <w:u w:val="none" w:color="auto"/>
                <w:lang w:val="en-GB"/>
              </w:rPr>
              <w:t>镇平县202</w:t>
            </w:r>
            <w:r>
              <w:rPr>
                <w:rFonts w:hint="default" w:ascii="Times New Roman" w:hAnsi="Times New Roman" w:eastAsia="宋体" w:cs="Times New Roman"/>
                <w:b/>
                <w:bCs/>
                <w:color w:val="auto"/>
                <w:sz w:val="24"/>
                <w:highlight w:val="none"/>
                <w:u w:val="none" w:color="auto"/>
              </w:rPr>
              <w:t>3</w:t>
            </w:r>
            <w:r>
              <w:rPr>
                <w:rFonts w:hint="default" w:ascii="Times New Roman" w:hAnsi="Times New Roman" w:eastAsia="宋体" w:cs="Times New Roman"/>
                <w:b/>
                <w:bCs/>
                <w:color w:val="auto"/>
                <w:sz w:val="24"/>
                <w:highlight w:val="none"/>
                <w:u w:val="none" w:color="auto"/>
                <w:lang w:val="en-GB"/>
              </w:rPr>
              <w:t>年环境空气监测及评价结果</w:t>
            </w:r>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80"/>
              <w:gridCol w:w="3161"/>
              <w:gridCol w:w="1150"/>
              <w:gridCol w:w="1167"/>
              <w:gridCol w:w="1050"/>
              <w:gridCol w:w="917"/>
            </w:tblGrid>
            <w:tr w14:paraId="6D1E0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4" w:type="pct"/>
                  <w:tcBorders>
                    <w:top w:val="single" w:color="auto" w:sz="4" w:space="0"/>
                    <w:left w:val="single" w:color="auto" w:sz="4" w:space="0"/>
                    <w:bottom w:val="single" w:color="auto" w:sz="4" w:space="0"/>
                    <w:right w:val="single" w:color="auto" w:sz="4" w:space="0"/>
                  </w:tcBorders>
                  <w:noWrap w:val="0"/>
                  <w:vAlign w:val="center"/>
                </w:tcPr>
                <w:p w14:paraId="65162F96">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污染物</w:t>
                  </w:r>
                </w:p>
              </w:tc>
              <w:tc>
                <w:tcPr>
                  <w:tcW w:w="1921" w:type="pct"/>
                  <w:tcBorders>
                    <w:top w:val="single" w:color="auto" w:sz="4" w:space="0"/>
                    <w:left w:val="nil"/>
                    <w:bottom w:val="single" w:color="auto" w:sz="4" w:space="0"/>
                    <w:right w:val="single" w:color="auto" w:sz="4" w:space="0"/>
                  </w:tcBorders>
                  <w:noWrap w:val="0"/>
                  <w:vAlign w:val="center"/>
                </w:tcPr>
                <w:p w14:paraId="00B4D1C8">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年评价指标</w:t>
                  </w:r>
                </w:p>
              </w:tc>
              <w:tc>
                <w:tcPr>
                  <w:tcW w:w="699" w:type="pct"/>
                  <w:tcBorders>
                    <w:top w:val="single" w:color="auto" w:sz="4" w:space="0"/>
                    <w:left w:val="nil"/>
                    <w:bottom w:val="single" w:color="auto" w:sz="4" w:space="0"/>
                    <w:right w:val="single" w:color="auto" w:sz="4" w:space="0"/>
                  </w:tcBorders>
                  <w:noWrap w:val="0"/>
                  <w:vAlign w:val="center"/>
                </w:tcPr>
                <w:p w14:paraId="160A43BE">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现状浓度</w:t>
                  </w:r>
                </w:p>
                <w:p w14:paraId="00C567E2">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（μg/m</w:t>
                  </w:r>
                  <w:r>
                    <w:rPr>
                      <w:rFonts w:hint="default" w:ascii="Times New Roman" w:hAnsi="Times New Roman" w:cs="Times New Roman"/>
                      <w:bCs/>
                      <w:color w:val="auto"/>
                      <w:szCs w:val="21"/>
                      <w:highlight w:val="none"/>
                      <w:u w:val="none" w:color="auto"/>
                      <w:vertAlign w:val="superscript"/>
                    </w:rPr>
                    <w:t>3</w:t>
                  </w:r>
                  <w:r>
                    <w:rPr>
                      <w:rFonts w:hint="default" w:ascii="Times New Roman" w:hAnsi="Times New Roman" w:cs="Times New Roman"/>
                      <w:bCs/>
                      <w:color w:val="auto"/>
                      <w:szCs w:val="21"/>
                      <w:highlight w:val="none"/>
                      <w:u w:val="none" w:color="auto"/>
                    </w:rPr>
                    <w:t>）</w:t>
                  </w:r>
                </w:p>
              </w:tc>
              <w:tc>
                <w:tcPr>
                  <w:tcW w:w="709" w:type="pct"/>
                  <w:tcBorders>
                    <w:top w:val="single" w:color="auto" w:sz="4" w:space="0"/>
                    <w:left w:val="nil"/>
                    <w:bottom w:val="single" w:color="auto" w:sz="4" w:space="0"/>
                    <w:right w:val="single" w:color="auto" w:sz="4" w:space="0"/>
                  </w:tcBorders>
                  <w:noWrap w:val="0"/>
                  <w:vAlign w:val="center"/>
                </w:tcPr>
                <w:p w14:paraId="08038E23">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标准值</w:t>
                  </w:r>
                </w:p>
                <w:p w14:paraId="3016AC1B">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（μg/m</w:t>
                  </w:r>
                  <w:r>
                    <w:rPr>
                      <w:rFonts w:hint="default" w:ascii="Times New Roman" w:hAnsi="Times New Roman" w:cs="Times New Roman"/>
                      <w:bCs/>
                      <w:color w:val="auto"/>
                      <w:szCs w:val="21"/>
                      <w:highlight w:val="none"/>
                      <w:u w:val="none" w:color="auto"/>
                      <w:vertAlign w:val="superscript"/>
                    </w:rPr>
                    <w:t>3</w:t>
                  </w:r>
                  <w:r>
                    <w:rPr>
                      <w:rFonts w:hint="default" w:ascii="Times New Roman" w:hAnsi="Times New Roman" w:cs="Times New Roman"/>
                      <w:bCs/>
                      <w:color w:val="auto"/>
                      <w:szCs w:val="21"/>
                      <w:highlight w:val="none"/>
                      <w:u w:val="none" w:color="auto"/>
                    </w:rPr>
                    <w:t>）</w:t>
                  </w:r>
                </w:p>
              </w:tc>
              <w:tc>
                <w:tcPr>
                  <w:tcW w:w="638" w:type="pct"/>
                  <w:tcBorders>
                    <w:top w:val="single" w:color="auto" w:sz="4" w:space="0"/>
                    <w:left w:val="nil"/>
                    <w:bottom w:val="single" w:color="auto" w:sz="4" w:space="0"/>
                    <w:right w:val="single" w:color="auto" w:sz="4" w:space="0"/>
                  </w:tcBorders>
                  <w:noWrap w:val="0"/>
                  <w:vAlign w:val="center"/>
                </w:tcPr>
                <w:p w14:paraId="7F32E02C">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占标率%</w:t>
                  </w:r>
                </w:p>
              </w:tc>
              <w:tc>
                <w:tcPr>
                  <w:tcW w:w="557" w:type="pct"/>
                  <w:tcBorders>
                    <w:top w:val="single" w:color="auto" w:sz="4" w:space="0"/>
                    <w:left w:val="nil"/>
                    <w:bottom w:val="single" w:color="auto" w:sz="4" w:space="0"/>
                    <w:right w:val="single" w:color="auto" w:sz="4" w:space="0"/>
                  </w:tcBorders>
                  <w:noWrap w:val="0"/>
                  <w:vAlign w:val="center"/>
                </w:tcPr>
                <w:p w14:paraId="309818C6">
                  <w:pPr>
                    <w:tabs>
                      <w:tab w:val="left" w:pos="1081"/>
                    </w:tabs>
                    <w:adjustRightInd w:val="0"/>
                    <w:snapToGrid w:val="0"/>
                    <w:jc w:val="center"/>
                    <w:rPr>
                      <w:rFonts w:hint="default" w:ascii="Times New Roman" w:hAnsi="Times New Roman" w:cs="Times New Roman"/>
                      <w:bCs/>
                      <w:color w:val="auto"/>
                      <w:szCs w:val="21"/>
                      <w:highlight w:val="none"/>
                      <w:u w:val="none" w:color="auto"/>
                    </w:rPr>
                  </w:pPr>
                </w:p>
                <w:p w14:paraId="643751B3">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达标情况</w:t>
                  </w:r>
                </w:p>
              </w:tc>
            </w:tr>
            <w:tr w14:paraId="4AD6A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4" w:type="pct"/>
                  <w:tcBorders>
                    <w:top w:val="nil"/>
                    <w:left w:val="single" w:color="auto" w:sz="4" w:space="0"/>
                    <w:bottom w:val="single" w:color="auto" w:sz="4" w:space="0"/>
                    <w:right w:val="single" w:color="auto" w:sz="4" w:space="0"/>
                  </w:tcBorders>
                  <w:noWrap w:val="0"/>
                  <w:vAlign w:val="center"/>
                </w:tcPr>
                <w:p w14:paraId="56468E51">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SO</w:t>
                  </w:r>
                  <w:r>
                    <w:rPr>
                      <w:rFonts w:hint="default" w:ascii="Times New Roman" w:hAnsi="Times New Roman" w:cs="Times New Roman"/>
                      <w:bCs/>
                      <w:color w:val="auto"/>
                      <w:szCs w:val="21"/>
                      <w:highlight w:val="none"/>
                      <w:u w:val="none" w:color="auto"/>
                      <w:vertAlign w:val="subscript"/>
                    </w:rPr>
                    <w:t>2</w:t>
                  </w:r>
                </w:p>
              </w:tc>
              <w:tc>
                <w:tcPr>
                  <w:tcW w:w="1921" w:type="pct"/>
                  <w:tcBorders>
                    <w:top w:val="single" w:color="auto" w:sz="4" w:space="0"/>
                    <w:left w:val="nil"/>
                    <w:bottom w:val="single" w:color="auto" w:sz="4" w:space="0"/>
                    <w:right w:val="single" w:color="auto" w:sz="4" w:space="0"/>
                  </w:tcBorders>
                  <w:noWrap w:val="0"/>
                  <w:vAlign w:val="center"/>
                </w:tcPr>
                <w:p w14:paraId="423C8F50">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年平均质量浓度</w:t>
                  </w:r>
                </w:p>
              </w:tc>
              <w:tc>
                <w:tcPr>
                  <w:tcW w:w="699" w:type="pct"/>
                  <w:tcBorders>
                    <w:top w:val="single" w:color="auto" w:sz="4" w:space="0"/>
                    <w:left w:val="nil"/>
                    <w:bottom w:val="single" w:color="auto" w:sz="4" w:space="0"/>
                    <w:right w:val="single" w:color="auto" w:sz="4" w:space="0"/>
                  </w:tcBorders>
                  <w:noWrap w:val="0"/>
                  <w:vAlign w:val="center"/>
                </w:tcPr>
                <w:p w14:paraId="32D148BB">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5</w:t>
                  </w:r>
                </w:p>
              </w:tc>
              <w:tc>
                <w:tcPr>
                  <w:tcW w:w="709" w:type="pct"/>
                  <w:tcBorders>
                    <w:top w:val="single" w:color="auto" w:sz="4" w:space="0"/>
                    <w:left w:val="nil"/>
                    <w:bottom w:val="single" w:color="auto" w:sz="4" w:space="0"/>
                    <w:right w:val="single" w:color="auto" w:sz="4" w:space="0"/>
                  </w:tcBorders>
                  <w:noWrap w:val="0"/>
                  <w:vAlign w:val="center"/>
                </w:tcPr>
                <w:p w14:paraId="7E447689">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60</w:t>
                  </w:r>
                </w:p>
              </w:tc>
              <w:tc>
                <w:tcPr>
                  <w:tcW w:w="638" w:type="pct"/>
                  <w:tcBorders>
                    <w:top w:val="single" w:color="auto" w:sz="4" w:space="0"/>
                    <w:left w:val="nil"/>
                    <w:bottom w:val="single" w:color="auto" w:sz="4" w:space="0"/>
                    <w:right w:val="single" w:color="auto" w:sz="4" w:space="0"/>
                  </w:tcBorders>
                  <w:noWrap w:val="0"/>
                  <w:vAlign w:val="center"/>
                </w:tcPr>
                <w:p w14:paraId="3413FF57">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8</w:t>
                  </w:r>
                </w:p>
              </w:tc>
              <w:tc>
                <w:tcPr>
                  <w:tcW w:w="557" w:type="pct"/>
                  <w:tcBorders>
                    <w:top w:val="single" w:color="auto" w:sz="4" w:space="0"/>
                    <w:left w:val="nil"/>
                    <w:bottom w:val="single" w:color="auto" w:sz="4" w:space="0"/>
                    <w:right w:val="single" w:color="auto" w:sz="4" w:space="0"/>
                  </w:tcBorders>
                  <w:noWrap w:val="0"/>
                  <w:vAlign w:val="center"/>
                </w:tcPr>
                <w:p w14:paraId="5CF6B04E">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达标</w:t>
                  </w:r>
                </w:p>
              </w:tc>
            </w:tr>
            <w:tr w14:paraId="1C946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4" w:type="pct"/>
                  <w:tcBorders>
                    <w:top w:val="nil"/>
                    <w:left w:val="single" w:color="auto" w:sz="4" w:space="0"/>
                    <w:bottom w:val="single" w:color="auto" w:sz="4" w:space="0"/>
                    <w:right w:val="single" w:color="auto" w:sz="4" w:space="0"/>
                  </w:tcBorders>
                  <w:noWrap w:val="0"/>
                  <w:vAlign w:val="center"/>
                </w:tcPr>
                <w:p w14:paraId="6804AC84">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NO</w:t>
                  </w:r>
                  <w:r>
                    <w:rPr>
                      <w:rFonts w:hint="default" w:ascii="Times New Roman" w:hAnsi="Times New Roman" w:cs="Times New Roman"/>
                      <w:bCs/>
                      <w:color w:val="auto"/>
                      <w:szCs w:val="21"/>
                      <w:highlight w:val="none"/>
                      <w:u w:val="none" w:color="auto"/>
                      <w:vertAlign w:val="subscript"/>
                    </w:rPr>
                    <w:t>2</w:t>
                  </w:r>
                </w:p>
              </w:tc>
              <w:tc>
                <w:tcPr>
                  <w:tcW w:w="1921" w:type="pct"/>
                  <w:tcBorders>
                    <w:top w:val="single" w:color="auto" w:sz="4" w:space="0"/>
                    <w:left w:val="nil"/>
                    <w:bottom w:val="single" w:color="auto" w:sz="4" w:space="0"/>
                    <w:right w:val="single" w:color="auto" w:sz="4" w:space="0"/>
                  </w:tcBorders>
                  <w:noWrap w:val="0"/>
                  <w:vAlign w:val="center"/>
                </w:tcPr>
                <w:p w14:paraId="7EE6695F">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年平均质量浓度</w:t>
                  </w:r>
                </w:p>
              </w:tc>
              <w:tc>
                <w:tcPr>
                  <w:tcW w:w="699" w:type="pct"/>
                  <w:tcBorders>
                    <w:top w:val="single" w:color="auto" w:sz="4" w:space="0"/>
                    <w:left w:val="nil"/>
                    <w:bottom w:val="single" w:color="auto" w:sz="4" w:space="0"/>
                    <w:right w:val="single" w:color="auto" w:sz="4" w:space="0"/>
                  </w:tcBorders>
                  <w:noWrap w:val="0"/>
                  <w:vAlign w:val="center"/>
                </w:tcPr>
                <w:p w14:paraId="5DC5FD08">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16</w:t>
                  </w:r>
                </w:p>
              </w:tc>
              <w:tc>
                <w:tcPr>
                  <w:tcW w:w="709" w:type="pct"/>
                  <w:tcBorders>
                    <w:top w:val="single" w:color="auto" w:sz="4" w:space="0"/>
                    <w:left w:val="nil"/>
                    <w:bottom w:val="single" w:color="auto" w:sz="4" w:space="0"/>
                    <w:right w:val="single" w:color="auto" w:sz="4" w:space="0"/>
                  </w:tcBorders>
                  <w:noWrap w:val="0"/>
                  <w:vAlign w:val="center"/>
                </w:tcPr>
                <w:p w14:paraId="2596BADA">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40</w:t>
                  </w:r>
                </w:p>
              </w:tc>
              <w:tc>
                <w:tcPr>
                  <w:tcW w:w="638" w:type="pct"/>
                  <w:tcBorders>
                    <w:top w:val="single" w:color="auto" w:sz="4" w:space="0"/>
                    <w:left w:val="nil"/>
                    <w:bottom w:val="single" w:color="auto" w:sz="4" w:space="0"/>
                    <w:right w:val="single" w:color="auto" w:sz="4" w:space="0"/>
                  </w:tcBorders>
                  <w:noWrap w:val="0"/>
                  <w:vAlign w:val="center"/>
                </w:tcPr>
                <w:p w14:paraId="10113B2A">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40</w:t>
                  </w:r>
                </w:p>
              </w:tc>
              <w:tc>
                <w:tcPr>
                  <w:tcW w:w="557" w:type="pct"/>
                  <w:tcBorders>
                    <w:top w:val="single" w:color="auto" w:sz="4" w:space="0"/>
                    <w:left w:val="nil"/>
                    <w:bottom w:val="single" w:color="auto" w:sz="4" w:space="0"/>
                    <w:right w:val="single" w:color="auto" w:sz="4" w:space="0"/>
                  </w:tcBorders>
                  <w:noWrap w:val="0"/>
                  <w:vAlign w:val="center"/>
                </w:tcPr>
                <w:p w14:paraId="2A640B54">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达标</w:t>
                  </w:r>
                </w:p>
              </w:tc>
            </w:tr>
            <w:tr w14:paraId="02A46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4" w:type="pct"/>
                  <w:tcBorders>
                    <w:top w:val="nil"/>
                    <w:left w:val="single" w:color="auto" w:sz="4" w:space="0"/>
                    <w:bottom w:val="single" w:color="auto" w:sz="4" w:space="0"/>
                    <w:right w:val="single" w:color="auto" w:sz="4" w:space="0"/>
                  </w:tcBorders>
                  <w:noWrap w:val="0"/>
                  <w:vAlign w:val="center"/>
                </w:tcPr>
                <w:p w14:paraId="0578D363">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PM</w:t>
                  </w:r>
                  <w:r>
                    <w:rPr>
                      <w:rFonts w:hint="default" w:ascii="Times New Roman" w:hAnsi="Times New Roman" w:cs="Times New Roman"/>
                      <w:bCs/>
                      <w:color w:val="auto"/>
                      <w:szCs w:val="21"/>
                      <w:highlight w:val="none"/>
                      <w:u w:val="none" w:color="auto"/>
                      <w:vertAlign w:val="subscript"/>
                    </w:rPr>
                    <w:t>10</w:t>
                  </w:r>
                </w:p>
              </w:tc>
              <w:tc>
                <w:tcPr>
                  <w:tcW w:w="1921" w:type="pct"/>
                  <w:tcBorders>
                    <w:top w:val="single" w:color="auto" w:sz="4" w:space="0"/>
                    <w:left w:val="nil"/>
                    <w:bottom w:val="single" w:color="auto" w:sz="4" w:space="0"/>
                    <w:right w:val="single" w:color="auto" w:sz="4" w:space="0"/>
                  </w:tcBorders>
                  <w:noWrap w:val="0"/>
                  <w:vAlign w:val="center"/>
                </w:tcPr>
                <w:p w14:paraId="3CC2D13F">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年平均质量浓度</w:t>
                  </w:r>
                </w:p>
              </w:tc>
              <w:tc>
                <w:tcPr>
                  <w:tcW w:w="699" w:type="pct"/>
                  <w:tcBorders>
                    <w:top w:val="single" w:color="auto" w:sz="4" w:space="0"/>
                    <w:left w:val="nil"/>
                    <w:bottom w:val="single" w:color="auto" w:sz="4" w:space="0"/>
                    <w:right w:val="single" w:color="auto" w:sz="4" w:space="0"/>
                  </w:tcBorders>
                  <w:noWrap w:val="0"/>
                  <w:vAlign w:val="center"/>
                </w:tcPr>
                <w:p w14:paraId="3B61F483">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83</w:t>
                  </w:r>
                </w:p>
              </w:tc>
              <w:tc>
                <w:tcPr>
                  <w:tcW w:w="709" w:type="pct"/>
                  <w:tcBorders>
                    <w:top w:val="single" w:color="auto" w:sz="4" w:space="0"/>
                    <w:left w:val="nil"/>
                    <w:bottom w:val="single" w:color="auto" w:sz="4" w:space="0"/>
                    <w:right w:val="single" w:color="auto" w:sz="4" w:space="0"/>
                  </w:tcBorders>
                  <w:noWrap w:val="0"/>
                  <w:vAlign w:val="center"/>
                </w:tcPr>
                <w:p w14:paraId="2663C189">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70</w:t>
                  </w:r>
                </w:p>
              </w:tc>
              <w:tc>
                <w:tcPr>
                  <w:tcW w:w="638" w:type="pct"/>
                  <w:tcBorders>
                    <w:top w:val="single" w:color="auto" w:sz="4" w:space="0"/>
                    <w:left w:val="nil"/>
                    <w:bottom w:val="single" w:color="auto" w:sz="4" w:space="0"/>
                    <w:right w:val="single" w:color="auto" w:sz="4" w:space="0"/>
                  </w:tcBorders>
                  <w:noWrap w:val="0"/>
                  <w:vAlign w:val="center"/>
                </w:tcPr>
                <w:p w14:paraId="244C62A5">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119</w:t>
                  </w:r>
                </w:p>
              </w:tc>
              <w:tc>
                <w:tcPr>
                  <w:tcW w:w="557" w:type="pct"/>
                  <w:tcBorders>
                    <w:top w:val="single" w:color="auto" w:sz="4" w:space="0"/>
                    <w:left w:val="nil"/>
                    <w:bottom w:val="single" w:color="auto" w:sz="4" w:space="0"/>
                    <w:right w:val="single" w:color="auto" w:sz="4" w:space="0"/>
                  </w:tcBorders>
                  <w:noWrap w:val="0"/>
                  <w:vAlign w:val="center"/>
                </w:tcPr>
                <w:p w14:paraId="6B45D86F">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超标</w:t>
                  </w:r>
                </w:p>
              </w:tc>
            </w:tr>
            <w:tr w14:paraId="0DB58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4" w:type="pct"/>
                  <w:tcBorders>
                    <w:top w:val="nil"/>
                    <w:left w:val="single" w:color="auto" w:sz="4" w:space="0"/>
                    <w:bottom w:val="single" w:color="auto" w:sz="4" w:space="0"/>
                    <w:right w:val="single" w:color="auto" w:sz="4" w:space="0"/>
                  </w:tcBorders>
                  <w:noWrap w:val="0"/>
                  <w:vAlign w:val="center"/>
                </w:tcPr>
                <w:p w14:paraId="29902CA0">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PM</w:t>
                  </w:r>
                  <w:r>
                    <w:rPr>
                      <w:rFonts w:hint="default" w:ascii="Times New Roman" w:hAnsi="Times New Roman" w:cs="Times New Roman"/>
                      <w:bCs/>
                      <w:color w:val="auto"/>
                      <w:szCs w:val="21"/>
                      <w:highlight w:val="none"/>
                      <w:u w:val="none" w:color="auto"/>
                      <w:vertAlign w:val="subscript"/>
                    </w:rPr>
                    <w:t>2.5</w:t>
                  </w:r>
                </w:p>
              </w:tc>
              <w:tc>
                <w:tcPr>
                  <w:tcW w:w="1921" w:type="pct"/>
                  <w:tcBorders>
                    <w:top w:val="single" w:color="auto" w:sz="4" w:space="0"/>
                    <w:left w:val="nil"/>
                    <w:bottom w:val="single" w:color="auto" w:sz="4" w:space="0"/>
                    <w:right w:val="single" w:color="auto" w:sz="4" w:space="0"/>
                  </w:tcBorders>
                  <w:noWrap w:val="0"/>
                  <w:vAlign w:val="center"/>
                </w:tcPr>
                <w:p w14:paraId="64C71309">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年平均质量浓度</w:t>
                  </w:r>
                </w:p>
              </w:tc>
              <w:tc>
                <w:tcPr>
                  <w:tcW w:w="699" w:type="pct"/>
                  <w:tcBorders>
                    <w:top w:val="single" w:color="auto" w:sz="4" w:space="0"/>
                    <w:left w:val="nil"/>
                    <w:bottom w:val="single" w:color="auto" w:sz="4" w:space="0"/>
                    <w:right w:val="single" w:color="auto" w:sz="4" w:space="0"/>
                  </w:tcBorders>
                  <w:noWrap w:val="0"/>
                  <w:vAlign w:val="center"/>
                </w:tcPr>
                <w:p w14:paraId="1462688D">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45</w:t>
                  </w:r>
                </w:p>
              </w:tc>
              <w:tc>
                <w:tcPr>
                  <w:tcW w:w="709" w:type="pct"/>
                  <w:tcBorders>
                    <w:top w:val="single" w:color="auto" w:sz="4" w:space="0"/>
                    <w:left w:val="nil"/>
                    <w:bottom w:val="single" w:color="auto" w:sz="4" w:space="0"/>
                    <w:right w:val="single" w:color="auto" w:sz="4" w:space="0"/>
                  </w:tcBorders>
                  <w:noWrap w:val="0"/>
                  <w:vAlign w:val="center"/>
                </w:tcPr>
                <w:p w14:paraId="353F793A">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35</w:t>
                  </w:r>
                </w:p>
              </w:tc>
              <w:tc>
                <w:tcPr>
                  <w:tcW w:w="638" w:type="pct"/>
                  <w:tcBorders>
                    <w:top w:val="single" w:color="auto" w:sz="4" w:space="0"/>
                    <w:left w:val="nil"/>
                    <w:bottom w:val="single" w:color="auto" w:sz="4" w:space="0"/>
                    <w:right w:val="single" w:color="auto" w:sz="4" w:space="0"/>
                  </w:tcBorders>
                  <w:noWrap w:val="0"/>
                  <w:vAlign w:val="center"/>
                </w:tcPr>
                <w:p w14:paraId="172ACAD2">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129</w:t>
                  </w:r>
                </w:p>
              </w:tc>
              <w:tc>
                <w:tcPr>
                  <w:tcW w:w="557" w:type="pct"/>
                  <w:tcBorders>
                    <w:top w:val="single" w:color="auto" w:sz="4" w:space="0"/>
                    <w:left w:val="nil"/>
                    <w:bottom w:val="single" w:color="auto" w:sz="4" w:space="0"/>
                    <w:right w:val="single" w:color="auto" w:sz="4" w:space="0"/>
                  </w:tcBorders>
                  <w:noWrap w:val="0"/>
                  <w:vAlign w:val="center"/>
                </w:tcPr>
                <w:p w14:paraId="46E44A05">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超标</w:t>
                  </w:r>
                </w:p>
              </w:tc>
            </w:tr>
            <w:tr w14:paraId="79724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4" w:type="pct"/>
                  <w:tcBorders>
                    <w:top w:val="single" w:color="auto" w:sz="4" w:space="0"/>
                    <w:left w:val="single" w:color="auto" w:sz="4" w:space="0"/>
                    <w:bottom w:val="single" w:color="auto" w:sz="4" w:space="0"/>
                    <w:right w:val="single" w:color="auto" w:sz="4" w:space="0"/>
                  </w:tcBorders>
                  <w:noWrap w:val="0"/>
                  <w:vAlign w:val="center"/>
                </w:tcPr>
                <w:p w14:paraId="338A2F89">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CO</w:t>
                  </w:r>
                </w:p>
              </w:tc>
              <w:tc>
                <w:tcPr>
                  <w:tcW w:w="1921" w:type="pct"/>
                  <w:tcBorders>
                    <w:top w:val="single" w:color="auto" w:sz="4" w:space="0"/>
                    <w:left w:val="nil"/>
                    <w:bottom w:val="single" w:color="auto" w:sz="4" w:space="0"/>
                    <w:right w:val="single" w:color="auto" w:sz="4" w:space="0"/>
                  </w:tcBorders>
                  <w:noWrap w:val="0"/>
                  <w:vAlign w:val="center"/>
                </w:tcPr>
                <w:p w14:paraId="68670D1E">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24h 平均第95百分位数</w:t>
                  </w:r>
                </w:p>
              </w:tc>
              <w:tc>
                <w:tcPr>
                  <w:tcW w:w="699" w:type="pct"/>
                  <w:tcBorders>
                    <w:top w:val="single" w:color="auto" w:sz="4" w:space="0"/>
                    <w:left w:val="nil"/>
                    <w:bottom w:val="single" w:color="auto" w:sz="4" w:space="0"/>
                    <w:right w:val="single" w:color="auto" w:sz="4" w:space="0"/>
                  </w:tcBorders>
                  <w:noWrap w:val="0"/>
                  <w:vAlign w:val="center"/>
                </w:tcPr>
                <w:p w14:paraId="59AEA08D">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1100</w:t>
                  </w:r>
                </w:p>
              </w:tc>
              <w:tc>
                <w:tcPr>
                  <w:tcW w:w="709" w:type="pct"/>
                  <w:tcBorders>
                    <w:top w:val="single" w:color="auto" w:sz="4" w:space="0"/>
                    <w:left w:val="nil"/>
                    <w:bottom w:val="single" w:color="auto" w:sz="4" w:space="0"/>
                    <w:right w:val="single" w:color="auto" w:sz="4" w:space="0"/>
                  </w:tcBorders>
                  <w:noWrap w:val="0"/>
                  <w:vAlign w:val="center"/>
                </w:tcPr>
                <w:p w14:paraId="4AB7EEA4">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4000</w:t>
                  </w:r>
                </w:p>
              </w:tc>
              <w:tc>
                <w:tcPr>
                  <w:tcW w:w="638" w:type="pct"/>
                  <w:tcBorders>
                    <w:top w:val="single" w:color="auto" w:sz="4" w:space="0"/>
                    <w:left w:val="nil"/>
                    <w:bottom w:val="single" w:color="auto" w:sz="4" w:space="0"/>
                    <w:right w:val="single" w:color="auto" w:sz="4" w:space="0"/>
                  </w:tcBorders>
                  <w:noWrap w:val="0"/>
                  <w:vAlign w:val="center"/>
                </w:tcPr>
                <w:p w14:paraId="556A899F">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27.5</w:t>
                  </w:r>
                </w:p>
              </w:tc>
              <w:tc>
                <w:tcPr>
                  <w:tcW w:w="557" w:type="pct"/>
                  <w:tcBorders>
                    <w:top w:val="single" w:color="auto" w:sz="4" w:space="0"/>
                    <w:left w:val="nil"/>
                    <w:bottom w:val="single" w:color="auto" w:sz="4" w:space="0"/>
                    <w:right w:val="single" w:color="auto" w:sz="4" w:space="0"/>
                  </w:tcBorders>
                  <w:noWrap w:val="0"/>
                  <w:vAlign w:val="center"/>
                </w:tcPr>
                <w:p w14:paraId="7F2A96B0">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达标</w:t>
                  </w:r>
                </w:p>
              </w:tc>
            </w:tr>
            <w:tr w14:paraId="19627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4" w:type="pct"/>
                  <w:tcBorders>
                    <w:top w:val="single" w:color="auto" w:sz="4" w:space="0"/>
                    <w:left w:val="single" w:color="auto" w:sz="4" w:space="0"/>
                    <w:bottom w:val="single" w:color="auto" w:sz="4" w:space="0"/>
                    <w:right w:val="single" w:color="auto" w:sz="4" w:space="0"/>
                  </w:tcBorders>
                  <w:noWrap w:val="0"/>
                  <w:vAlign w:val="center"/>
                </w:tcPr>
                <w:p w14:paraId="21134CFB">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O</w:t>
                  </w:r>
                  <w:r>
                    <w:rPr>
                      <w:rFonts w:hint="default" w:ascii="Times New Roman" w:hAnsi="Times New Roman" w:cs="Times New Roman"/>
                      <w:bCs/>
                      <w:color w:val="auto"/>
                      <w:szCs w:val="21"/>
                      <w:highlight w:val="none"/>
                      <w:u w:val="none" w:color="auto"/>
                      <w:vertAlign w:val="subscript"/>
                    </w:rPr>
                    <w:t>3</w:t>
                  </w:r>
                </w:p>
              </w:tc>
              <w:tc>
                <w:tcPr>
                  <w:tcW w:w="1921" w:type="pct"/>
                  <w:tcBorders>
                    <w:top w:val="single" w:color="auto" w:sz="4" w:space="0"/>
                    <w:left w:val="nil"/>
                    <w:bottom w:val="single" w:color="auto" w:sz="4" w:space="0"/>
                    <w:right w:val="single" w:color="auto" w:sz="4" w:space="0"/>
                  </w:tcBorders>
                  <w:noWrap w:val="0"/>
                  <w:vAlign w:val="center"/>
                </w:tcPr>
                <w:p w14:paraId="4FFCF286">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日最大8h平均第90百分位数</w:t>
                  </w:r>
                </w:p>
              </w:tc>
              <w:tc>
                <w:tcPr>
                  <w:tcW w:w="699" w:type="pct"/>
                  <w:tcBorders>
                    <w:top w:val="single" w:color="auto" w:sz="4" w:space="0"/>
                    <w:left w:val="nil"/>
                    <w:bottom w:val="single" w:color="auto" w:sz="4" w:space="0"/>
                    <w:right w:val="single" w:color="auto" w:sz="4" w:space="0"/>
                  </w:tcBorders>
                  <w:noWrap w:val="0"/>
                  <w:vAlign w:val="center"/>
                </w:tcPr>
                <w:p w14:paraId="142587ED">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153</w:t>
                  </w:r>
                </w:p>
              </w:tc>
              <w:tc>
                <w:tcPr>
                  <w:tcW w:w="709" w:type="pct"/>
                  <w:tcBorders>
                    <w:top w:val="single" w:color="auto" w:sz="4" w:space="0"/>
                    <w:left w:val="nil"/>
                    <w:bottom w:val="single" w:color="auto" w:sz="4" w:space="0"/>
                    <w:right w:val="single" w:color="auto" w:sz="4" w:space="0"/>
                  </w:tcBorders>
                  <w:noWrap w:val="0"/>
                  <w:vAlign w:val="center"/>
                </w:tcPr>
                <w:p w14:paraId="0923D424">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160</w:t>
                  </w:r>
                </w:p>
              </w:tc>
              <w:tc>
                <w:tcPr>
                  <w:tcW w:w="638" w:type="pct"/>
                  <w:tcBorders>
                    <w:top w:val="single" w:color="auto" w:sz="4" w:space="0"/>
                    <w:left w:val="nil"/>
                    <w:bottom w:val="single" w:color="auto" w:sz="4" w:space="0"/>
                    <w:right w:val="single" w:color="auto" w:sz="4" w:space="0"/>
                  </w:tcBorders>
                  <w:noWrap w:val="0"/>
                  <w:vAlign w:val="center"/>
                </w:tcPr>
                <w:p w14:paraId="44496C74">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95.6</w:t>
                  </w:r>
                </w:p>
              </w:tc>
              <w:tc>
                <w:tcPr>
                  <w:tcW w:w="557" w:type="pct"/>
                  <w:tcBorders>
                    <w:top w:val="single" w:color="auto" w:sz="4" w:space="0"/>
                    <w:left w:val="nil"/>
                    <w:bottom w:val="single" w:color="auto" w:sz="4" w:space="0"/>
                    <w:right w:val="single" w:color="auto" w:sz="4" w:space="0"/>
                  </w:tcBorders>
                  <w:noWrap w:val="0"/>
                  <w:vAlign w:val="center"/>
                </w:tcPr>
                <w:p w14:paraId="1A0CB050">
                  <w:pPr>
                    <w:tabs>
                      <w:tab w:val="left" w:pos="1081"/>
                    </w:tabs>
                    <w:adjustRightInd w:val="0"/>
                    <w:snapToGrid w:val="0"/>
                    <w:jc w:val="center"/>
                    <w:rPr>
                      <w:rFonts w:hint="default" w:ascii="Times New Roman" w:hAnsi="Times New Roman" w:cs="Times New Roman"/>
                      <w:bCs/>
                      <w:color w:val="auto"/>
                      <w:szCs w:val="21"/>
                      <w:highlight w:val="none"/>
                      <w:u w:val="none" w:color="auto"/>
                    </w:rPr>
                  </w:pPr>
                  <w:r>
                    <w:rPr>
                      <w:rFonts w:hint="default" w:ascii="Times New Roman" w:hAnsi="Times New Roman" w:cs="Times New Roman"/>
                      <w:bCs/>
                      <w:color w:val="auto"/>
                      <w:szCs w:val="21"/>
                      <w:highlight w:val="none"/>
                      <w:u w:val="none" w:color="auto"/>
                    </w:rPr>
                    <w:t>达标</w:t>
                  </w:r>
                </w:p>
              </w:tc>
            </w:tr>
          </w:tbl>
          <w:p w14:paraId="77AC7AD7">
            <w:pPr>
              <w:adjustRightInd w:val="0"/>
              <w:snapToGrid w:val="0"/>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bCs/>
                <w:color w:val="auto"/>
                <w:sz w:val="24"/>
                <w:highlight w:val="none"/>
                <w:u w:val="none" w:color="auto"/>
              </w:rPr>
              <w:t>由上表可知，镇平县六项基本污染物除PM</w:t>
            </w:r>
            <w:r>
              <w:rPr>
                <w:rFonts w:hint="default" w:ascii="Times New Roman" w:hAnsi="Times New Roman" w:cs="Times New Roman"/>
                <w:bCs/>
                <w:color w:val="auto"/>
                <w:sz w:val="24"/>
                <w:highlight w:val="none"/>
                <w:u w:val="none" w:color="auto"/>
                <w:vertAlign w:val="subscript"/>
              </w:rPr>
              <w:t>10</w:t>
            </w:r>
            <w:r>
              <w:rPr>
                <w:rFonts w:hint="default" w:ascii="Times New Roman" w:hAnsi="Times New Roman" w:cs="Times New Roman"/>
                <w:bCs/>
                <w:color w:val="auto"/>
                <w:sz w:val="24"/>
                <w:highlight w:val="none"/>
                <w:u w:val="none" w:color="auto"/>
              </w:rPr>
              <w:t xml:space="preserve"> 、PM</w:t>
            </w:r>
            <w:r>
              <w:rPr>
                <w:rFonts w:hint="default" w:ascii="Times New Roman" w:hAnsi="Times New Roman" w:cs="Times New Roman"/>
                <w:bCs/>
                <w:color w:val="auto"/>
                <w:sz w:val="24"/>
                <w:highlight w:val="none"/>
                <w:u w:val="none" w:color="auto"/>
                <w:vertAlign w:val="subscript"/>
              </w:rPr>
              <w:t>2.5</w:t>
            </w:r>
            <w:r>
              <w:rPr>
                <w:rFonts w:hint="default" w:ascii="Times New Roman" w:hAnsi="Times New Roman" w:cs="Times New Roman"/>
                <w:bCs/>
                <w:color w:val="auto"/>
                <w:sz w:val="24"/>
                <w:highlight w:val="none"/>
                <w:u w:val="none" w:color="auto"/>
              </w:rPr>
              <w:t>超标外，其他评价指标均满足《环境空气质量标准》（GB3095-2012）二级标准要求，项目所在区域环境空气质量为不达标区。</w:t>
            </w:r>
            <w:r>
              <w:rPr>
                <w:rFonts w:hint="default" w:ascii="Times New Roman" w:hAnsi="Times New Roman" w:cs="Times New Roman"/>
                <w:color w:val="auto"/>
                <w:sz w:val="24"/>
                <w:highlight w:val="none"/>
                <w:u w:val="none" w:color="auto"/>
              </w:rPr>
              <w:t xml:space="preserve"> </w:t>
            </w:r>
          </w:p>
          <w:p w14:paraId="291A0871">
            <w:pPr>
              <w:spacing w:line="360" w:lineRule="auto"/>
              <w:ind w:firstLine="480" w:firstLineChars="200"/>
              <w:rPr>
                <w:rFonts w:hint="default" w:ascii="Times New Roman" w:hAnsi="Times New Roman" w:cs="Times New Roman"/>
                <w:color w:val="auto"/>
                <w:sz w:val="24"/>
                <w:highlight w:val="none"/>
                <w:u w:val="none" w:color="auto"/>
                <w:lang w:eastAsia="zh-TW" w:bidi="ar"/>
              </w:rPr>
            </w:pPr>
            <w:r>
              <w:rPr>
                <w:rFonts w:hint="default" w:ascii="Times New Roman" w:hAnsi="Times New Roman" w:cs="Times New Roman"/>
                <w:color w:val="auto"/>
                <w:sz w:val="24"/>
                <w:highlight w:val="none"/>
                <w:u w:val="none" w:color="auto"/>
                <w:lang w:eastAsia="zh-TW" w:bidi="ar"/>
              </w:rPr>
              <w:t>为此，南阳市生态环境保护委员会已经制定了</w:t>
            </w:r>
            <w:r>
              <w:rPr>
                <w:rFonts w:hint="default" w:ascii="Times New Roman" w:hAnsi="Times New Roman" w:cs="Times New Roman"/>
                <w:color w:val="auto"/>
                <w:sz w:val="24"/>
                <w:highlight w:val="none"/>
                <w:u w:val="none" w:color="auto"/>
                <w:lang w:bidi="ar"/>
              </w:rPr>
              <w:t>《南阳市2024年蓝天保卫战实施方案》（宛环委办〔2024〕21号）</w:t>
            </w:r>
            <w:r>
              <w:rPr>
                <w:rFonts w:hint="default" w:ascii="Times New Roman" w:hAnsi="Times New Roman" w:cs="Times New Roman"/>
                <w:color w:val="auto"/>
                <w:sz w:val="24"/>
                <w:highlight w:val="none"/>
                <w:u w:val="none" w:color="auto"/>
                <w:lang w:eastAsia="zh-TW" w:bidi="ar"/>
              </w:rPr>
              <w:t>，</w:t>
            </w:r>
            <w:r>
              <w:rPr>
                <w:rFonts w:hint="default" w:ascii="Times New Roman" w:hAnsi="Times New Roman" w:cs="Times New Roman"/>
                <w:bCs/>
                <w:color w:val="auto"/>
                <w:sz w:val="24"/>
                <w:highlight w:val="none"/>
                <w:u w:val="none" w:color="auto"/>
              </w:rPr>
              <w:t>南阳市将坚持稳中求进工作总基调，以改善环境空气质量为核心，以降低细颗粒物（PM</w:t>
            </w:r>
            <w:r>
              <w:rPr>
                <w:rFonts w:hint="default" w:ascii="Times New Roman" w:hAnsi="Times New Roman" w:cs="Times New Roman"/>
                <w:bCs/>
                <w:color w:val="auto"/>
                <w:sz w:val="24"/>
                <w:highlight w:val="none"/>
                <w:u w:val="none" w:color="auto"/>
                <w:vertAlign w:val="subscript"/>
              </w:rPr>
              <w:t>2.5</w:t>
            </w:r>
            <w:r>
              <w:rPr>
                <w:rFonts w:hint="default" w:ascii="Times New Roman" w:hAnsi="Times New Roman" w:cs="Times New Roman"/>
                <w:bCs/>
                <w:color w:val="auto"/>
                <w:sz w:val="24"/>
                <w:highlight w:val="none"/>
                <w:u w:val="none" w:color="auto"/>
              </w:rPr>
              <w:t>）浓度为主线，协同推进降碳、减污、扩绿、增长，以更高标准打好秋冬季重污染天气消除、夏季臭氧污染防治和柴油货车污染治理攻坚战，扎实抓好减污降碳协同增效、工业污染治理减排、移动源污染控制、面源污染综合治理、重污染天气联合应对、科技支撑能力建设六个攻坚行动，加快推动发展方式绿色低碳转型，完成省定年度空气质量改善目标任务，为推进美丽南阳建设贡献力量,为高水平建强省域副中心城市提供生态保障</w:t>
            </w:r>
            <w:r>
              <w:rPr>
                <w:rFonts w:hint="default" w:ascii="Times New Roman" w:hAnsi="Times New Roman" w:cs="Times New Roman"/>
                <w:color w:val="auto"/>
                <w:sz w:val="24"/>
                <w:highlight w:val="none"/>
                <w:u w:val="none" w:color="auto"/>
                <w:lang w:eastAsia="zh-TW" w:bidi="ar"/>
              </w:rPr>
              <w:t>。</w:t>
            </w:r>
          </w:p>
          <w:p w14:paraId="6ACDA7AD">
            <w:pPr>
              <w:adjustRightInd w:val="0"/>
              <w:snapToGrid w:val="0"/>
              <w:spacing w:line="360" w:lineRule="auto"/>
              <w:ind w:firstLine="482" w:firstLineChars="200"/>
              <w:textAlignment w:val="baseline"/>
              <w:rPr>
                <w:rFonts w:hint="default" w:ascii="Times New Roman" w:hAnsi="Times New Roman" w:cs="Times New Roman"/>
                <w:b/>
                <w:bCs/>
                <w:color w:val="auto"/>
                <w:kern w:val="0"/>
                <w:sz w:val="24"/>
                <w:u w:val="none" w:color="auto"/>
              </w:rPr>
            </w:pPr>
            <w:r>
              <w:rPr>
                <w:rFonts w:hint="default" w:ascii="Times New Roman" w:hAnsi="Times New Roman" w:cs="Times New Roman"/>
                <w:b/>
                <w:bCs/>
                <w:color w:val="auto"/>
                <w:kern w:val="0"/>
                <w:sz w:val="24"/>
                <w:u w:val="none" w:color="auto"/>
              </w:rPr>
              <w:t>2、地表水环境</w:t>
            </w:r>
          </w:p>
          <w:p w14:paraId="75DD5DF2">
            <w:pPr>
              <w:tabs>
                <w:tab w:val="left" w:pos="1081"/>
              </w:tabs>
              <w:adjustRightInd w:val="0"/>
              <w:snapToGrid w:val="0"/>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bCs/>
                <w:color w:val="auto"/>
                <w:kern w:val="0"/>
                <w:sz w:val="24"/>
                <w:u w:val="none" w:color="auto"/>
              </w:rPr>
              <w:t>项目周围的地表水体主要为项目</w:t>
            </w:r>
            <w:r>
              <w:rPr>
                <w:rFonts w:hint="eastAsia" w:cs="Times New Roman"/>
                <w:bCs/>
                <w:color w:val="auto"/>
                <w:kern w:val="0"/>
                <w:sz w:val="24"/>
                <w:u w:val="none" w:color="auto"/>
                <w:lang w:val="en-US" w:eastAsia="zh-CN"/>
              </w:rPr>
              <w:t>东</w:t>
            </w:r>
            <w:r>
              <w:rPr>
                <w:rFonts w:hint="default" w:ascii="Times New Roman" w:hAnsi="Times New Roman" w:cs="Times New Roman"/>
                <w:bCs/>
                <w:color w:val="auto"/>
                <w:kern w:val="0"/>
                <w:sz w:val="24"/>
                <w:u w:val="none" w:color="auto"/>
              </w:rPr>
              <w:t>侧约</w:t>
            </w:r>
            <w:r>
              <w:rPr>
                <w:rFonts w:hint="eastAsia" w:cs="Times New Roman"/>
                <w:bCs/>
                <w:color w:val="auto"/>
                <w:kern w:val="0"/>
                <w:sz w:val="24"/>
                <w:u w:val="none" w:color="auto"/>
                <w:lang w:val="en-US" w:eastAsia="zh-CN"/>
              </w:rPr>
              <w:t>276</w:t>
            </w:r>
            <w:r>
              <w:rPr>
                <w:rFonts w:hint="default" w:ascii="Times New Roman" w:hAnsi="Times New Roman" w:cs="Times New Roman"/>
                <w:bCs/>
                <w:color w:val="auto"/>
                <w:kern w:val="0"/>
                <w:sz w:val="24"/>
                <w:u w:val="none" w:color="auto"/>
              </w:rPr>
              <w:t>m的</w:t>
            </w:r>
            <w:r>
              <w:rPr>
                <w:rFonts w:hint="eastAsia" w:cs="Times New Roman"/>
                <w:bCs/>
                <w:color w:val="auto"/>
                <w:kern w:val="0"/>
                <w:sz w:val="24"/>
                <w:u w:val="none" w:color="auto"/>
                <w:lang w:val="en-US" w:eastAsia="zh-CN"/>
              </w:rPr>
              <w:t>三</w:t>
            </w:r>
            <w:r>
              <w:rPr>
                <w:rFonts w:hint="default" w:ascii="Times New Roman" w:hAnsi="Times New Roman" w:cs="Times New Roman"/>
                <w:bCs/>
                <w:color w:val="auto"/>
                <w:kern w:val="0"/>
                <w:sz w:val="24"/>
                <w:u w:val="none" w:color="auto"/>
              </w:rPr>
              <w:t>里河，项目采用雨污分流排水系统，项目区雨水经市政雨水管网向</w:t>
            </w:r>
            <w:r>
              <w:rPr>
                <w:rFonts w:hint="eastAsia" w:cs="Times New Roman"/>
                <w:bCs/>
                <w:color w:val="auto"/>
                <w:kern w:val="0"/>
                <w:sz w:val="24"/>
                <w:u w:val="none" w:color="auto"/>
                <w:lang w:val="en-US" w:eastAsia="zh-CN"/>
              </w:rPr>
              <w:t>东</w:t>
            </w:r>
            <w:r>
              <w:rPr>
                <w:rFonts w:hint="default" w:ascii="Times New Roman" w:hAnsi="Times New Roman" w:cs="Times New Roman"/>
                <w:bCs/>
                <w:color w:val="auto"/>
                <w:kern w:val="0"/>
                <w:sz w:val="24"/>
                <w:u w:val="none" w:color="auto"/>
              </w:rPr>
              <w:t>排入</w:t>
            </w:r>
            <w:r>
              <w:rPr>
                <w:rFonts w:hint="eastAsia" w:cs="Times New Roman"/>
                <w:bCs/>
                <w:color w:val="auto"/>
                <w:kern w:val="0"/>
                <w:sz w:val="24"/>
                <w:u w:val="none" w:color="auto"/>
                <w:lang w:val="en-US" w:eastAsia="zh-CN"/>
              </w:rPr>
              <w:t>三里河，向南流入淇河</w:t>
            </w:r>
            <w:r>
              <w:rPr>
                <w:rFonts w:hint="default" w:ascii="Times New Roman" w:hAnsi="Times New Roman" w:cs="Times New Roman"/>
                <w:bCs/>
                <w:color w:val="auto"/>
                <w:kern w:val="0"/>
                <w:sz w:val="24"/>
                <w:u w:val="none" w:color="auto"/>
              </w:rPr>
              <w:t>，汇入赵河。</w:t>
            </w:r>
            <w:r>
              <w:rPr>
                <w:rFonts w:hint="default" w:ascii="Times New Roman" w:hAnsi="Times New Roman" w:eastAsia="宋体" w:cs="Times New Roman"/>
                <w:color w:val="auto"/>
                <w:sz w:val="24"/>
                <w:szCs w:val="24"/>
                <w:highlight w:val="none"/>
                <w:u w:val="none" w:color="auto"/>
              </w:rPr>
              <w:t>本项目</w:t>
            </w:r>
            <w:r>
              <w:rPr>
                <w:rFonts w:hint="default" w:ascii="Times New Roman" w:hAnsi="Times New Roman" w:eastAsia="宋体" w:cs="Times New Roman"/>
                <w:color w:val="auto"/>
                <w:sz w:val="24"/>
                <w:szCs w:val="24"/>
                <w:highlight w:val="none"/>
                <w:u w:val="none" w:color="auto"/>
                <w:lang w:val="en-US" w:eastAsia="zh-CN"/>
              </w:rPr>
              <w:t>营运期师生日常生活污水与经现有地埋式隔油池（1座，地埋式，容积230m</w:t>
            </w:r>
            <w:r>
              <w:rPr>
                <w:rFonts w:hint="default" w:ascii="Times New Roman" w:hAnsi="Times New Roman" w:eastAsia="宋体" w:cs="Times New Roman"/>
                <w:color w:val="auto"/>
                <w:sz w:val="24"/>
                <w:szCs w:val="24"/>
                <w:highlight w:val="none"/>
                <w:u w:val="none" w:color="auto"/>
                <w:vertAlign w:val="superscript"/>
                <w:lang w:val="en-US" w:eastAsia="zh-CN"/>
              </w:rPr>
              <w:t>3</w:t>
            </w:r>
            <w:r>
              <w:rPr>
                <w:rFonts w:hint="default" w:ascii="Times New Roman" w:hAnsi="Times New Roman" w:eastAsia="宋体" w:cs="Times New Roman"/>
                <w:color w:val="auto"/>
                <w:sz w:val="24"/>
                <w:szCs w:val="24"/>
                <w:highlight w:val="none"/>
                <w:u w:val="none" w:color="auto"/>
                <w:lang w:val="en-US" w:eastAsia="zh-CN"/>
              </w:rPr>
              <w:t>）处理后的</w:t>
            </w:r>
            <w:r>
              <w:rPr>
                <w:rFonts w:hint="eastAsia" w:cs="Times New Roman"/>
                <w:color w:val="auto"/>
                <w:sz w:val="24"/>
                <w:szCs w:val="24"/>
                <w:highlight w:val="none"/>
                <w:u w:val="none" w:color="auto"/>
                <w:lang w:val="en-US" w:eastAsia="zh-CN"/>
              </w:rPr>
              <w:t>餐厅</w:t>
            </w:r>
            <w:r>
              <w:rPr>
                <w:rFonts w:hint="default" w:ascii="Times New Roman" w:hAnsi="Times New Roman" w:eastAsia="宋体" w:cs="Times New Roman"/>
                <w:color w:val="auto"/>
                <w:sz w:val="24"/>
                <w:szCs w:val="24"/>
                <w:highlight w:val="none"/>
                <w:u w:val="none" w:color="auto"/>
                <w:lang w:val="en-US" w:eastAsia="zh-CN"/>
              </w:rPr>
              <w:t>废水以及经中和池（新建，1座，地埋式，容积5m</w:t>
            </w:r>
            <w:r>
              <w:rPr>
                <w:rFonts w:hint="default" w:ascii="Times New Roman" w:hAnsi="Times New Roman" w:eastAsia="宋体" w:cs="Times New Roman"/>
                <w:color w:val="auto"/>
                <w:sz w:val="24"/>
                <w:szCs w:val="24"/>
                <w:highlight w:val="none"/>
                <w:u w:val="none" w:color="auto"/>
                <w:vertAlign w:val="superscript"/>
                <w:lang w:val="en-US" w:eastAsia="zh-CN"/>
              </w:rPr>
              <w:t>3</w:t>
            </w:r>
            <w:r>
              <w:rPr>
                <w:rFonts w:hint="default" w:ascii="Times New Roman" w:hAnsi="Times New Roman" w:eastAsia="宋体" w:cs="Times New Roman"/>
                <w:color w:val="auto"/>
                <w:sz w:val="24"/>
                <w:szCs w:val="24"/>
                <w:highlight w:val="none"/>
                <w:u w:val="none" w:color="auto"/>
                <w:lang w:val="en-US" w:eastAsia="zh-CN"/>
              </w:rPr>
              <w:t>）处理后的实验室废水一起进入现有地埋式化粪池（1座，地埋式，现有容积650m</w:t>
            </w:r>
            <w:r>
              <w:rPr>
                <w:rFonts w:hint="default" w:ascii="Times New Roman" w:hAnsi="Times New Roman" w:eastAsia="宋体" w:cs="Times New Roman"/>
                <w:color w:val="auto"/>
                <w:sz w:val="24"/>
                <w:szCs w:val="24"/>
                <w:highlight w:val="none"/>
                <w:u w:val="none" w:color="auto"/>
                <w:vertAlign w:val="superscript"/>
                <w:lang w:val="en-US" w:eastAsia="zh-CN"/>
              </w:rPr>
              <w:t>3</w:t>
            </w:r>
            <w:r>
              <w:rPr>
                <w:rFonts w:hint="default" w:ascii="Times New Roman" w:hAnsi="Times New Roman" w:eastAsia="宋体" w:cs="Times New Roman"/>
                <w:color w:val="auto"/>
                <w:sz w:val="24"/>
                <w:szCs w:val="24"/>
                <w:highlight w:val="none"/>
                <w:u w:val="none" w:color="auto"/>
                <w:lang w:val="en-US" w:eastAsia="zh-CN"/>
              </w:rPr>
              <w:t>）处理后</w:t>
            </w:r>
            <w:r>
              <w:rPr>
                <w:rFonts w:hint="default" w:ascii="Times New Roman" w:hAnsi="Times New Roman" w:eastAsia="宋体" w:cs="Times New Roman"/>
                <w:color w:val="auto"/>
                <w:kern w:val="0"/>
                <w:sz w:val="24"/>
                <w:szCs w:val="24"/>
                <w:highlight w:val="none"/>
                <w:u w:val="none" w:color="auto"/>
              </w:rPr>
              <w:t>满足《污水综合排放标准》（GB8978-1996）表4三级标准及镇平县</w:t>
            </w:r>
            <w:r>
              <w:rPr>
                <w:rFonts w:hint="default" w:ascii="Times New Roman" w:hAnsi="Times New Roman" w:eastAsia="宋体" w:cs="Times New Roman"/>
                <w:color w:val="auto"/>
                <w:kern w:val="0"/>
                <w:sz w:val="24"/>
                <w:szCs w:val="24"/>
                <w:highlight w:val="none"/>
                <w:u w:val="none" w:color="auto"/>
                <w:lang w:val="en-US" w:eastAsia="zh-CN"/>
              </w:rPr>
              <w:t>污水处理中心</w:t>
            </w:r>
            <w:r>
              <w:rPr>
                <w:rFonts w:hint="default" w:ascii="Times New Roman" w:hAnsi="Times New Roman" w:eastAsia="宋体" w:cs="Times New Roman"/>
                <w:color w:val="auto"/>
                <w:kern w:val="0"/>
                <w:sz w:val="24"/>
                <w:szCs w:val="24"/>
                <w:highlight w:val="none"/>
                <w:u w:val="none" w:color="auto"/>
              </w:rPr>
              <w:t>进水水质指标后经市政污水管网进入镇平县</w:t>
            </w:r>
            <w:r>
              <w:rPr>
                <w:rFonts w:hint="default" w:ascii="Times New Roman" w:hAnsi="Times New Roman" w:eastAsia="宋体" w:cs="Times New Roman"/>
                <w:color w:val="auto"/>
                <w:kern w:val="0"/>
                <w:sz w:val="24"/>
                <w:szCs w:val="24"/>
                <w:highlight w:val="none"/>
                <w:u w:val="none" w:color="auto"/>
                <w:lang w:val="en-US" w:eastAsia="zh-CN"/>
              </w:rPr>
              <w:t>污水处理中心</w:t>
            </w:r>
            <w:r>
              <w:rPr>
                <w:rFonts w:hint="default" w:ascii="Times New Roman" w:hAnsi="Times New Roman" w:eastAsia="宋体" w:cs="Times New Roman"/>
                <w:color w:val="auto"/>
                <w:kern w:val="0"/>
                <w:sz w:val="24"/>
                <w:szCs w:val="24"/>
                <w:highlight w:val="none"/>
                <w:u w:val="none" w:color="auto"/>
              </w:rPr>
              <w:t>进一步处理达到《城镇污水处理厂污染物排放标准》（GB18918-2002）一级A标准后</w:t>
            </w:r>
            <w:r>
              <w:rPr>
                <w:rFonts w:hint="default" w:ascii="Times New Roman" w:hAnsi="Times New Roman" w:eastAsia="宋体" w:cs="Times New Roman"/>
                <w:color w:val="auto"/>
                <w:sz w:val="24"/>
                <w:szCs w:val="24"/>
                <w:highlight w:val="none"/>
                <w:u w:val="none" w:color="auto"/>
              </w:rPr>
              <w:t>排入</w:t>
            </w:r>
            <w:r>
              <w:rPr>
                <w:rFonts w:hint="default" w:ascii="Times New Roman" w:hAnsi="Times New Roman" w:eastAsia="宋体" w:cs="Times New Roman"/>
                <w:color w:val="auto"/>
                <w:sz w:val="24"/>
                <w:szCs w:val="24"/>
                <w:highlight w:val="none"/>
                <w:u w:val="none" w:color="auto"/>
                <w:lang w:val="en-US" w:eastAsia="zh-CN"/>
              </w:rPr>
              <w:t>西三里河</w:t>
            </w:r>
            <w:r>
              <w:rPr>
                <w:rFonts w:hint="eastAsia" w:cs="Times New Roman"/>
                <w:color w:val="auto"/>
                <w:sz w:val="24"/>
                <w:szCs w:val="24"/>
                <w:highlight w:val="none"/>
                <w:u w:val="none" w:color="auto"/>
                <w:lang w:val="en-US" w:eastAsia="zh-CN"/>
              </w:rPr>
              <w:t>，</w:t>
            </w:r>
            <w:r>
              <w:rPr>
                <w:rFonts w:hint="default" w:ascii="Times New Roman" w:hAnsi="Times New Roman" w:cs="Times New Roman"/>
                <w:bCs/>
                <w:color w:val="auto"/>
                <w:kern w:val="0"/>
                <w:sz w:val="24"/>
                <w:u w:val="none" w:color="auto"/>
              </w:rPr>
              <w:t>根据南阳市地表水环境功能区划及当地环保政策要求，</w:t>
            </w:r>
            <w:r>
              <w:rPr>
                <w:rFonts w:hint="eastAsia" w:cs="Times New Roman"/>
                <w:bCs/>
                <w:color w:val="auto"/>
                <w:kern w:val="0"/>
                <w:sz w:val="24"/>
                <w:u w:val="none" w:color="auto"/>
                <w:lang w:val="en-US" w:eastAsia="zh-CN"/>
              </w:rPr>
              <w:t>三里河</w:t>
            </w:r>
            <w:r>
              <w:rPr>
                <w:rFonts w:hint="default" w:ascii="Times New Roman" w:hAnsi="Times New Roman" w:cs="Times New Roman"/>
                <w:bCs/>
                <w:color w:val="auto"/>
                <w:kern w:val="0"/>
                <w:sz w:val="24"/>
                <w:u w:val="none" w:color="auto"/>
              </w:rPr>
              <w:t>、淇河参照赵河评价河段执行《地表水环境质量标准》（GB3838-2002）Ⅲ类水体。</w:t>
            </w:r>
            <w:r>
              <w:rPr>
                <w:rFonts w:hint="default" w:ascii="Times New Roman" w:hAnsi="Times New Roman" w:cs="Times New Roman"/>
                <w:color w:val="auto"/>
                <w:sz w:val="24"/>
                <w:highlight w:val="none"/>
                <w:u w:val="none" w:color="auto"/>
              </w:rPr>
              <w:t>本次评价参照《镇平县先进制造业开发区发展规划（2022-2035）环境影响报告书》（报批稿）中河南永蓝检测技术服务有限公司于2023年4月12日-4月14日出具的地表水监测数据，具体监测数据统计见下表：</w:t>
            </w:r>
          </w:p>
          <w:p w14:paraId="17F6E0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highlight w:val="none"/>
                <w:u w:val="none" w:color="auto"/>
              </w:rPr>
            </w:pPr>
            <w:r>
              <w:rPr>
                <w:rFonts w:hint="default" w:ascii="Times New Roman" w:hAnsi="Times New Roman" w:eastAsia="宋体" w:cs="Times New Roman"/>
                <w:b/>
                <w:bCs/>
                <w:color w:val="auto"/>
                <w:sz w:val="24"/>
                <w:highlight w:val="none"/>
                <w:u w:val="none" w:color="auto"/>
              </w:rPr>
              <w:t>表3-2</w:t>
            </w:r>
            <w:r>
              <w:rPr>
                <w:rFonts w:hint="default" w:ascii="Times New Roman" w:hAnsi="Times New Roman" w:eastAsia="宋体" w:cs="Times New Roman"/>
                <w:b/>
                <w:bCs/>
                <w:color w:val="auto"/>
                <w:sz w:val="24"/>
                <w:highlight w:val="none"/>
                <w:u w:val="none" w:color="auto"/>
                <w:lang w:val="en-US" w:eastAsia="zh-CN"/>
              </w:rPr>
              <w:t xml:space="preserve">    </w:t>
            </w:r>
            <w:r>
              <w:rPr>
                <w:rFonts w:hint="default" w:ascii="Times New Roman" w:hAnsi="Times New Roman" w:eastAsia="宋体" w:cs="Times New Roman"/>
                <w:b/>
                <w:bCs/>
                <w:color w:val="auto"/>
                <w:sz w:val="24"/>
                <w:highlight w:val="none"/>
                <w:u w:val="none" w:color="auto"/>
              </w:rPr>
              <w:t>区域地表水质量现状统计一览表    单位mg/L（pH除外）</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4"/>
              <w:gridCol w:w="834"/>
              <w:gridCol w:w="960"/>
              <w:gridCol w:w="1065"/>
              <w:gridCol w:w="1065"/>
              <w:gridCol w:w="1170"/>
              <w:gridCol w:w="1065"/>
              <w:gridCol w:w="1065"/>
            </w:tblGrid>
            <w:tr w14:paraId="65D9D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noWrap w:val="0"/>
                  <w:vAlign w:val="center"/>
                </w:tcPr>
                <w:p w14:paraId="5F6E238F">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监测断面</w:t>
                  </w:r>
                </w:p>
              </w:tc>
              <w:tc>
                <w:tcPr>
                  <w:tcW w:w="466" w:type="pct"/>
                  <w:noWrap w:val="0"/>
                  <w:vAlign w:val="center"/>
                </w:tcPr>
                <w:p w14:paraId="15A9FD15">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项目</w:t>
                  </w:r>
                </w:p>
              </w:tc>
              <w:tc>
                <w:tcPr>
                  <w:tcW w:w="624" w:type="pct"/>
                  <w:noWrap w:val="0"/>
                  <w:vAlign w:val="center"/>
                </w:tcPr>
                <w:p w14:paraId="27FB8C62">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pH</w:t>
                  </w:r>
                </w:p>
              </w:tc>
              <w:tc>
                <w:tcPr>
                  <w:tcW w:w="590" w:type="pct"/>
                  <w:noWrap w:val="0"/>
                  <w:vAlign w:val="center"/>
                </w:tcPr>
                <w:p w14:paraId="642BA6F4">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COD</w:t>
                  </w:r>
                </w:p>
              </w:tc>
              <w:tc>
                <w:tcPr>
                  <w:tcW w:w="662" w:type="pct"/>
                  <w:noWrap w:val="0"/>
                  <w:vAlign w:val="center"/>
                </w:tcPr>
                <w:p w14:paraId="4E1B7A94">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BOD</w:t>
                  </w:r>
                  <w:r>
                    <w:rPr>
                      <w:rFonts w:hint="default" w:ascii="Times New Roman" w:hAnsi="Times New Roman" w:cs="Times New Roman"/>
                      <w:color w:val="auto"/>
                      <w:szCs w:val="21"/>
                      <w:highlight w:val="none"/>
                      <w:u w:val="none" w:color="auto"/>
                      <w:vertAlign w:val="subscript"/>
                    </w:rPr>
                    <w:t>5</w:t>
                  </w:r>
                </w:p>
              </w:tc>
              <w:tc>
                <w:tcPr>
                  <w:tcW w:w="777" w:type="pct"/>
                  <w:noWrap w:val="0"/>
                  <w:vAlign w:val="center"/>
                </w:tcPr>
                <w:p w14:paraId="144D23D9">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氨氮</w:t>
                  </w:r>
                </w:p>
              </w:tc>
              <w:tc>
                <w:tcPr>
                  <w:tcW w:w="657" w:type="pct"/>
                  <w:noWrap w:val="0"/>
                  <w:vAlign w:val="center"/>
                </w:tcPr>
                <w:p w14:paraId="5E57AE1F">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总氮</w:t>
                  </w:r>
                </w:p>
              </w:tc>
              <w:tc>
                <w:tcPr>
                  <w:tcW w:w="657" w:type="pct"/>
                  <w:noWrap w:val="0"/>
                  <w:vAlign w:val="center"/>
                </w:tcPr>
                <w:p w14:paraId="13E7682E">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总磷</w:t>
                  </w:r>
                </w:p>
              </w:tc>
            </w:tr>
            <w:tr w14:paraId="5BB9D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restart"/>
                  <w:noWrap w:val="0"/>
                  <w:vAlign w:val="center"/>
                </w:tcPr>
                <w:p w14:paraId="2CBF7955">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lang w:val="en-US" w:eastAsia="zh-CN"/>
                    </w:rPr>
                    <w:t>赵河田寨断面</w:t>
                  </w:r>
                </w:p>
                <w:p w14:paraId="076EE6F6">
                  <w:pPr>
                    <w:adjustRightInd w:val="0"/>
                    <w:snapToGrid w:val="0"/>
                    <w:jc w:val="center"/>
                    <w:rPr>
                      <w:rFonts w:hint="default" w:ascii="Times New Roman" w:hAnsi="Times New Roman" w:cs="Times New Roman"/>
                      <w:color w:val="auto"/>
                      <w:szCs w:val="21"/>
                      <w:highlight w:val="none"/>
                      <w:u w:val="none" w:color="auto"/>
                    </w:rPr>
                  </w:pPr>
                </w:p>
              </w:tc>
              <w:tc>
                <w:tcPr>
                  <w:tcW w:w="466" w:type="pct"/>
                  <w:noWrap w:val="0"/>
                  <w:vAlign w:val="center"/>
                </w:tcPr>
                <w:p w14:paraId="7FEBFFAB">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浓度范围</w:t>
                  </w:r>
                </w:p>
              </w:tc>
              <w:tc>
                <w:tcPr>
                  <w:tcW w:w="624" w:type="pct"/>
                  <w:noWrap w:val="0"/>
                  <w:vAlign w:val="center"/>
                </w:tcPr>
                <w:p w14:paraId="367F44E5">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lang w:val="en-US" w:eastAsia="zh-CN"/>
                    </w:rPr>
                    <w:t>7.3~7.4</w:t>
                  </w:r>
                </w:p>
              </w:tc>
              <w:tc>
                <w:tcPr>
                  <w:tcW w:w="590" w:type="pct"/>
                  <w:noWrap w:val="0"/>
                  <w:vAlign w:val="center"/>
                </w:tcPr>
                <w:p w14:paraId="1932E259">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lang w:val="en-US" w:eastAsia="zh-CN"/>
                    </w:rPr>
                    <w:t>13~15</w:t>
                  </w:r>
                </w:p>
              </w:tc>
              <w:tc>
                <w:tcPr>
                  <w:tcW w:w="662" w:type="pct"/>
                  <w:noWrap w:val="0"/>
                  <w:vAlign w:val="center"/>
                </w:tcPr>
                <w:p w14:paraId="667B4A49">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lang w:val="en-US" w:eastAsia="zh-CN"/>
                    </w:rPr>
                    <w:t>3.4~3.7</w:t>
                  </w:r>
                </w:p>
              </w:tc>
              <w:tc>
                <w:tcPr>
                  <w:tcW w:w="777" w:type="pct"/>
                  <w:noWrap w:val="0"/>
                  <w:vAlign w:val="center"/>
                </w:tcPr>
                <w:p w14:paraId="029BFDE8">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lang w:val="en-US" w:eastAsia="zh-CN"/>
                    </w:rPr>
                    <w:t>0.37~0.377</w:t>
                  </w:r>
                </w:p>
              </w:tc>
              <w:tc>
                <w:tcPr>
                  <w:tcW w:w="657" w:type="pct"/>
                  <w:noWrap w:val="0"/>
                  <w:vAlign w:val="center"/>
                </w:tcPr>
                <w:p w14:paraId="2DE15D8D">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lang w:val="en-US" w:eastAsia="zh-CN"/>
                    </w:rPr>
                    <w:t>0.57~0.59</w:t>
                  </w:r>
                </w:p>
              </w:tc>
              <w:tc>
                <w:tcPr>
                  <w:tcW w:w="657" w:type="pct"/>
                  <w:noWrap w:val="0"/>
                  <w:vAlign w:val="center"/>
                </w:tcPr>
                <w:p w14:paraId="361B86AF">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lang w:val="en-US" w:eastAsia="zh-CN"/>
                    </w:rPr>
                    <w:t>0.06~0.08</w:t>
                  </w:r>
                </w:p>
              </w:tc>
            </w:tr>
            <w:tr w14:paraId="740C2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noWrap w:val="0"/>
                  <w:vAlign w:val="center"/>
                </w:tcPr>
                <w:p w14:paraId="44218607">
                  <w:pPr>
                    <w:adjustRightInd w:val="0"/>
                    <w:snapToGrid w:val="0"/>
                    <w:jc w:val="center"/>
                    <w:rPr>
                      <w:rFonts w:hint="default" w:ascii="Times New Roman" w:hAnsi="Times New Roman" w:cs="Times New Roman"/>
                      <w:color w:val="auto"/>
                      <w:szCs w:val="21"/>
                      <w:highlight w:val="none"/>
                      <w:u w:val="none" w:color="auto"/>
                    </w:rPr>
                  </w:pPr>
                </w:p>
              </w:tc>
              <w:tc>
                <w:tcPr>
                  <w:tcW w:w="466" w:type="pct"/>
                  <w:noWrap w:val="0"/>
                  <w:vAlign w:val="center"/>
                </w:tcPr>
                <w:p w14:paraId="62A89765">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标准指数范围</w:t>
                  </w:r>
                </w:p>
              </w:tc>
              <w:tc>
                <w:tcPr>
                  <w:tcW w:w="624" w:type="pct"/>
                  <w:noWrap w:val="0"/>
                  <w:vAlign w:val="center"/>
                </w:tcPr>
                <w:p w14:paraId="7579BF68">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lang w:val="en-US" w:eastAsia="zh-CN"/>
                    </w:rPr>
                    <w:t>0.15~0.2</w:t>
                  </w:r>
                </w:p>
              </w:tc>
              <w:tc>
                <w:tcPr>
                  <w:tcW w:w="590" w:type="pct"/>
                  <w:noWrap w:val="0"/>
                  <w:vAlign w:val="center"/>
                </w:tcPr>
                <w:p w14:paraId="6CD502A8">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lang w:val="en-US" w:eastAsia="zh-CN"/>
                    </w:rPr>
                    <w:t>0.655~0.7</w:t>
                  </w:r>
                </w:p>
              </w:tc>
              <w:tc>
                <w:tcPr>
                  <w:tcW w:w="662" w:type="pct"/>
                  <w:noWrap w:val="0"/>
                  <w:vAlign w:val="center"/>
                </w:tcPr>
                <w:p w14:paraId="41169D45">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lang w:val="en-US" w:eastAsia="zh-CN"/>
                    </w:rPr>
                    <w:t>0.85~0.93</w:t>
                  </w:r>
                </w:p>
              </w:tc>
              <w:tc>
                <w:tcPr>
                  <w:tcW w:w="777" w:type="pct"/>
                  <w:noWrap w:val="0"/>
                  <w:vAlign w:val="center"/>
                </w:tcPr>
                <w:p w14:paraId="0D0D5FA0">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lang w:val="en-US" w:eastAsia="zh-CN"/>
                    </w:rPr>
                    <w:t>0.37~0.377</w:t>
                  </w:r>
                </w:p>
              </w:tc>
              <w:tc>
                <w:tcPr>
                  <w:tcW w:w="657" w:type="pct"/>
                  <w:noWrap w:val="0"/>
                  <w:vAlign w:val="center"/>
                </w:tcPr>
                <w:p w14:paraId="25C38150">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lang w:val="en-US" w:eastAsia="zh-CN"/>
                    </w:rPr>
                    <w:t>0.57~0.59</w:t>
                  </w:r>
                </w:p>
              </w:tc>
              <w:tc>
                <w:tcPr>
                  <w:tcW w:w="657" w:type="pct"/>
                  <w:noWrap w:val="0"/>
                  <w:vAlign w:val="center"/>
                </w:tcPr>
                <w:p w14:paraId="380C1C27">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lang w:val="en-US" w:eastAsia="zh-CN"/>
                    </w:rPr>
                    <w:t>0.3~0.4</w:t>
                  </w:r>
                </w:p>
              </w:tc>
            </w:tr>
            <w:tr w14:paraId="18AD9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noWrap w:val="0"/>
                  <w:vAlign w:val="center"/>
                </w:tcPr>
                <w:p w14:paraId="661D083A">
                  <w:pPr>
                    <w:adjustRightInd w:val="0"/>
                    <w:snapToGrid w:val="0"/>
                    <w:jc w:val="center"/>
                    <w:rPr>
                      <w:rFonts w:hint="default" w:ascii="Times New Roman" w:hAnsi="Times New Roman" w:cs="Times New Roman"/>
                      <w:color w:val="auto"/>
                      <w:szCs w:val="21"/>
                      <w:highlight w:val="none"/>
                      <w:u w:val="none" w:color="auto"/>
                    </w:rPr>
                  </w:pPr>
                </w:p>
              </w:tc>
              <w:tc>
                <w:tcPr>
                  <w:tcW w:w="466" w:type="pct"/>
                  <w:noWrap w:val="0"/>
                  <w:vAlign w:val="center"/>
                </w:tcPr>
                <w:p w14:paraId="59939D9C">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最大超标倍数</w:t>
                  </w:r>
                </w:p>
              </w:tc>
              <w:tc>
                <w:tcPr>
                  <w:tcW w:w="624" w:type="pct"/>
                  <w:noWrap w:val="0"/>
                  <w:vAlign w:val="center"/>
                </w:tcPr>
                <w:p w14:paraId="220E5434">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0</w:t>
                  </w:r>
                </w:p>
              </w:tc>
              <w:tc>
                <w:tcPr>
                  <w:tcW w:w="590" w:type="pct"/>
                  <w:noWrap w:val="0"/>
                  <w:vAlign w:val="center"/>
                </w:tcPr>
                <w:p w14:paraId="731CA876">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0</w:t>
                  </w:r>
                </w:p>
              </w:tc>
              <w:tc>
                <w:tcPr>
                  <w:tcW w:w="662" w:type="pct"/>
                  <w:noWrap w:val="0"/>
                  <w:vAlign w:val="center"/>
                </w:tcPr>
                <w:p w14:paraId="67610E6A">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0</w:t>
                  </w:r>
                </w:p>
              </w:tc>
              <w:tc>
                <w:tcPr>
                  <w:tcW w:w="777" w:type="pct"/>
                  <w:noWrap w:val="0"/>
                  <w:vAlign w:val="center"/>
                </w:tcPr>
                <w:p w14:paraId="79080428">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0</w:t>
                  </w:r>
                </w:p>
              </w:tc>
              <w:tc>
                <w:tcPr>
                  <w:tcW w:w="657" w:type="pct"/>
                  <w:noWrap w:val="0"/>
                  <w:vAlign w:val="center"/>
                </w:tcPr>
                <w:p w14:paraId="6E924E1F">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0</w:t>
                  </w:r>
                </w:p>
              </w:tc>
              <w:tc>
                <w:tcPr>
                  <w:tcW w:w="657" w:type="pct"/>
                  <w:noWrap w:val="0"/>
                  <w:vAlign w:val="center"/>
                </w:tcPr>
                <w:p w14:paraId="61EF236B">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0</w:t>
                  </w:r>
                </w:p>
              </w:tc>
            </w:tr>
            <w:tr w14:paraId="6804B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noWrap w:val="0"/>
                  <w:vAlign w:val="center"/>
                </w:tcPr>
                <w:p w14:paraId="5399A038">
                  <w:pPr>
                    <w:adjustRightInd w:val="0"/>
                    <w:snapToGrid w:val="0"/>
                    <w:jc w:val="center"/>
                    <w:rPr>
                      <w:rFonts w:hint="default" w:ascii="Times New Roman" w:hAnsi="Times New Roman" w:cs="Times New Roman"/>
                      <w:color w:val="auto"/>
                      <w:szCs w:val="21"/>
                      <w:highlight w:val="none"/>
                      <w:u w:val="none" w:color="auto"/>
                    </w:rPr>
                  </w:pPr>
                </w:p>
              </w:tc>
              <w:tc>
                <w:tcPr>
                  <w:tcW w:w="466" w:type="pct"/>
                  <w:noWrap w:val="0"/>
                  <w:vAlign w:val="center"/>
                </w:tcPr>
                <w:p w14:paraId="1AC3295A">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超标率</w:t>
                  </w:r>
                </w:p>
              </w:tc>
              <w:tc>
                <w:tcPr>
                  <w:tcW w:w="624" w:type="pct"/>
                  <w:noWrap w:val="0"/>
                  <w:vAlign w:val="center"/>
                </w:tcPr>
                <w:p w14:paraId="1F9D588E">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0</w:t>
                  </w:r>
                </w:p>
              </w:tc>
              <w:tc>
                <w:tcPr>
                  <w:tcW w:w="590" w:type="pct"/>
                  <w:noWrap w:val="0"/>
                  <w:vAlign w:val="center"/>
                </w:tcPr>
                <w:p w14:paraId="62C949AC">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0</w:t>
                  </w:r>
                </w:p>
              </w:tc>
              <w:tc>
                <w:tcPr>
                  <w:tcW w:w="662" w:type="pct"/>
                  <w:noWrap w:val="0"/>
                  <w:vAlign w:val="center"/>
                </w:tcPr>
                <w:p w14:paraId="48F28B13">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0</w:t>
                  </w:r>
                </w:p>
              </w:tc>
              <w:tc>
                <w:tcPr>
                  <w:tcW w:w="777" w:type="pct"/>
                  <w:noWrap w:val="0"/>
                  <w:vAlign w:val="center"/>
                </w:tcPr>
                <w:p w14:paraId="4E168A66">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0</w:t>
                  </w:r>
                </w:p>
              </w:tc>
              <w:tc>
                <w:tcPr>
                  <w:tcW w:w="657" w:type="pct"/>
                  <w:noWrap w:val="0"/>
                  <w:vAlign w:val="center"/>
                </w:tcPr>
                <w:p w14:paraId="172D02D9">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0</w:t>
                  </w:r>
                </w:p>
              </w:tc>
              <w:tc>
                <w:tcPr>
                  <w:tcW w:w="657" w:type="pct"/>
                  <w:noWrap w:val="0"/>
                  <w:vAlign w:val="center"/>
                </w:tcPr>
                <w:p w14:paraId="2E8AAC02">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0</w:t>
                  </w:r>
                </w:p>
              </w:tc>
            </w:tr>
            <w:tr w14:paraId="5B985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9" w:type="pct"/>
                  <w:gridSpan w:val="2"/>
                  <w:noWrap w:val="0"/>
                  <w:vAlign w:val="center"/>
                </w:tcPr>
                <w:p w14:paraId="07480DF6">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《地表水环境质量标准》（GB3838-2002）Ⅲ类标准</w:t>
                  </w:r>
                </w:p>
              </w:tc>
              <w:tc>
                <w:tcPr>
                  <w:tcW w:w="624" w:type="pct"/>
                  <w:noWrap w:val="0"/>
                  <w:vAlign w:val="center"/>
                </w:tcPr>
                <w:p w14:paraId="6D17D2A5">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6-9</w:t>
                  </w:r>
                </w:p>
              </w:tc>
              <w:tc>
                <w:tcPr>
                  <w:tcW w:w="590" w:type="pct"/>
                  <w:noWrap w:val="0"/>
                  <w:vAlign w:val="center"/>
                </w:tcPr>
                <w:p w14:paraId="4C60F04F">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20</w:t>
                  </w:r>
                </w:p>
              </w:tc>
              <w:tc>
                <w:tcPr>
                  <w:tcW w:w="662" w:type="pct"/>
                  <w:noWrap w:val="0"/>
                  <w:vAlign w:val="center"/>
                </w:tcPr>
                <w:p w14:paraId="56DB5C44">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4.0</w:t>
                  </w:r>
                </w:p>
              </w:tc>
              <w:tc>
                <w:tcPr>
                  <w:tcW w:w="777" w:type="pct"/>
                  <w:noWrap w:val="0"/>
                  <w:vAlign w:val="center"/>
                </w:tcPr>
                <w:p w14:paraId="71285ADF">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1.0</w:t>
                  </w:r>
                </w:p>
              </w:tc>
              <w:tc>
                <w:tcPr>
                  <w:tcW w:w="657" w:type="pct"/>
                  <w:noWrap w:val="0"/>
                  <w:vAlign w:val="center"/>
                </w:tcPr>
                <w:p w14:paraId="2908F6B7">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1.0</w:t>
                  </w:r>
                </w:p>
              </w:tc>
              <w:tc>
                <w:tcPr>
                  <w:tcW w:w="657" w:type="pct"/>
                  <w:noWrap w:val="0"/>
                  <w:vAlign w:val="center"/>
                </w:tcPr>
                <w:p w14:paraId="09137593">
                  <w:pPr>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0.2</w:t>
                  </w:r>
                </w:p>
              </w:tc>
            </w:tr>
          </w:tbl>
          <w:p w14:paraId="3A86190A">
            <w:pPr>
              <w:snapToGrid w:val="0"/>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由上表可知，</w:t>
            </w:r>
            <w:r>
              <w:rPr>
                <w:rFonts w:hint="default" w:ascii="Times New Roman" w:hAnsi="Times New Roman" w:cs="Times New Roman"/>
                <w:color w:val="auto"/>
                <w:sz w:val="24"/>
                <w:highlight w:val="none"/>
                <w:u w:val="none" w:color="auto"/>
                <w:lang w:val="en-US" w:eastAsia="zh-CN"/>
              </w:rPr>
              <w:t>赵河田寨断面</w:t>
            </w:r>
            <w:r>
              <w:rPr>
                <w:rFonts w:hint="default" w:ascii="Times New Roman" w:hAnsi="Times New Roman" w:cs="Times New Roman"/>
                <w:color w:val="auto"/>
                <w:sz w:val="24"/>
                <w:highlight w:val="none"/>
                <w:u w:val="none" w:color="auto"/>
              </w:rPr>
              <w:t>各监测因子均可满足《地表水环境质量标准》（GB3838-2002）中Ⅲ类标准限值要求。</w:t>
            </w:r>
          </w:p>
          <w:p w14:paraId="6F735157">
            <w:pPr>
              <w:pStyle w:val="86"/>
              <w:snapToGrid w:val="0"/>
              <w:spacing w:beforeLines="0" w:after="0" w:line="360" w:lineRule="auto"/>
              <w:rPr>
                <w:rFonts w:hint="default" w:ascii="Times New Roman" w:hAnsi="Times New Roman" w:cs="Times New Roman"/>
                <w:b w:val="0"/>
                <w:color w:val="auto"/>
                <w:szCs w:val="24"/>
                <w:highlight w:val="none"/>
                <w:u w:val="none" w:color="auto"/>
              </w:rPr>
            </w:pPr>
            <w:r>
              <w:rPr>
                <w:rFonts w:hint="default" w:ascii="Times New Roman" w:hAnsi="Times New Roman" w:cs="Times New Roman"/>
                <w:b w:val="0"/>
                <w:color w:val="auto"/>
                <w:szCs w:val="24"/>
                <w:highlight w:val="none"/>
                <w:u w:val="none" w:color="auto"/>
              </w:rPr>
              <w:t>3、声环境质量现状</w:t>
            </w:r>
          </w:p>
          <w:p w14:paraId="14F02D93">
            <w:pPr>
              <w:tabs>
                <w:tab w:val="left" w:pos="1081"/>
              </w:tabs>
              <w:adjustRightInd w:val="0"/>
              <w:snapToGrid w:val="0"/>
              <w:spacing w:line="360" w:lineRule="auto"/>
              <w:ind w:firstLine="480" w:firstLineChars="200"/>
              <w:rPr>
                <w:rFonts w:hint="default" w:ascii="Times New Roman" w:hAnsi="Times New Roman" w:cs="Times New Roman"/>
                <w:bCs/>
                <w:color w:val="auto"/>
                <w:sz w:val="24"/>
                <w:highlight w:val="none"/>
                <w:u w:val="none" w:color="auto"/>
              </w:rPr>
            </w:pPr>
            <w:r>
              <w:rPr>
                <w:rFonts w:hint="default" w:ascii="Times New Roman" w:hAnsi="Times New Roman" w:cs="Times New Roman"/>
                <w:bCs/>
                <w:color w:val="auto"/>
                <w:sz w:val="24"/>
                <w:highlight w:val="none"/>
                <w:u w:val="none" w:color="auto"/>
              </w:rPr>
              <w:t>根据噪声适用区划分，项目所在区域为2类功能区。根据202</w:t>
            </w:r>
            <w:r>
              <w:rPr>
                <w:rFonts w:hint="eastAsia" w:cs="Times New Roman"/>
                <w:bCs/>
                <w:color w:val="auto"/>
                <w:sz w:val="24"/>
                <w:highlight w:val="none"/>
                <w:u w:val="none" w:color="auto"/>
                <w:lang w:val="en-US" w:eastAsia="zh-CN"/>
              </w:rPr>
              <w:t>5</w:t>
            </w:r>
            <w:r>
              <w:rPr>
                <w:rFonts w:hint="default" w:ascii="Times New Roman" w:hAnsi="Times New Roman" w:cs="Times New Roman"/>
                <w:bCs/>
                <w:color w:val="auto"/>
                <w:sz w:val="24"/>
                <w:highlight w:val="none"/>
                <w:u w:val="none" w:color="auto"/>
              </w:rPr>
              <w:t>年</w:t>
            </w:r>
            <w:r>
              <w:rPr>
                <w:rFonts w:hint="eastAsia" w:cs="Times New Roman"/>
                <w:bCs/>
                <w:color w:val="auto"/>
                <w:sz w:val="24"/>
                <w:highlight w:val="none"/>
                <w:u w:val="none" w:color="auto"/>
                <w:lang w:val="en-US" w:eastAsia="zh-CN"/>
              </w:rPr>
              <w:t>4</w:t>
            </w:r>
            <w:r>
              <w:rPr>
                <w:rFonts w:hint="default" w:ascii="Times New Roman" w:hAnsi="Times New Roman" w:cs="Times New Roman"/>
                <w:bCs/>
                <w:color w:val="auto"/>
                <w:sz w:val="24"/>
                <w:highlight w:val="none"/>
                <w:u w:val="none" w:color="auto"/>
              </w:rPr>
              <w:t>月</w:t>
            </w:r>
            <w:r>
              <w:rPr>
                <w:rFonts w:hint="eastAsia" w:cs="Times New Roman"/>
                <w:bCs/>
                <w:color w:val="auto"/>
                <w:sz w:val="24"/>
                <w:highlight w:val="none"/>
                <w:u w:val="none" w:color="auto"/>
                <w:lang w:val="en-US" w:eastAsia="zh-CN"/>
              </w:rPr>
              <w:t>9</w:t>
            </w:r>
            <w:r>
              <w:rPr>
                <w:rFonts w:hint="default" w:ascii="Times New Roman" w:hAnsi="Times New Roman" w:cs="Times New Roman"/>
                <w:bCs/>
                <w:color w:val="auto"/>
                <w:sz w:val="24"/>
                <w:highlight w:val="none"/>
                <w:u w:val="none" w:color="auto"/>
              </w:rPr>
              <w:t>日出具的监测数据可知，项目周围敏感点的声环境质量监测值可以满足《声环境质量标准》（GB3096-2008）2 类区标准要求，区域声环境质量现状良好。具体监测结果见下表。</w:t>
            </w:r>
          </w:p>
          <w:p w14:paraId="009CA4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highlight w:val="none"/>
                <w:u w:val="none" w:color="auto"/>
              </w:rPr>
            </w:pPr>
            <w:r>
              <w:rPr>
                <w:rFonts w:hint="default" w:ascii="Times New Roman" w:hAnsi="Times New Roman" w:eastAsia="宋体" w:cs="Times New Roman"/>
                <w:b/>
                <w:bCs/>
                <w:color w:val="auto"/>
                <w:sz w:val="24"/>
                <w:highlight w:val="none"/>
                <w:u w:val="none" w:color="auto"/>
              </w:rPr>
              <w:t>表 3-3 项目区声环境质量现状监测结果一览表 单位：dB(A)</w:t>
            </w:r>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000000" w:sz="4" w:space="0"/>
              </w:tblBorders>
              <w:tblLayout w:type="autofit"/>
              <w:tblCellMar>
                <w:top w:w="0" w:type="dxa"/>
                <w:left w:w="108" w:type="dxa"/>
                <w:bottom w:w="0" w:type="dxa"/>
                <w:right w:w="108" w:type="dxa"/>
              </w:tblCellMar>
            </w:tblPr>
            <w:tblGrid>
              <w:gridCol w:w="750"/>
              <w:gridCol w:w="2651"/>
              <w:gridCol w:w="2825"/>
              <w:gridCol w:w="999"/>
              <w:gridCol w:w="1000"/>
            </w:tblGrid>
            <w:tr w14:paraId="4683485C">
              <w:tblPrEx>
                <w:tblBorders>
                  <w:top w:val="single" w:color="auto" w:sz="4" w:space="0"/>
                  <w:left w:val="single" w:color="auto" w:sz="4" w:space="0"/>
                  <w:bottom w:val="single" w:color="auto" w:sz="4" w:space="0"/>
                  <w:right w:val="single" w:color="auto" w:sz="4" w:space="0"/>
                  <w:insideH w:val="single" w:color="auto" w:sz="4" w:space="0"/>
                  <w:insideV w:val="single" w:color="000000" w:sz="4" w:space="0"/>
                </w:tblBorders>
                <w:tblCellMar>
                  <w:top w:w="0" w:type="dxa"/>
                  <w:left w:w="108" w:type="dxa"/>
                  <w:bottom w:w="0" w:type="dxa"/>
                  <w:right w:w="108" w:type="dxa"/>
                </w:tblCellMar>
              </w:tblPrEx>
              <w:trPr>
                <w:trHeight w:val="454" w:hRule="atLeast"/>
                <w:jc w:val="center"/>
              </w:trPr>
              <w:tc>
                <w:tcPr>
                  <w:tcW w:w="456" w:type="pct"/>
                  <w:vMerge w:val="restart"/>
                  <w:tcBorders>
                    <w:tl2br w:val="nil"/>
                    <w:tr2bl w:val="nil"/>
                  </w:tcBorders>
                  <w:noWrap w:val="0"/>
                  <w:vAlign w:val="center"/>
                </w:tcPr>
                <w:p w14:paraId="2BA1EE97">
                  <w:pPr>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r>
                    <w:rPr>
                      <w:rFonts w:hint="eastAsia" w:hAnsi="宋体"/>
                      <w:color w:val="auto"/>
                      <w:sz w:val="21"/>
                      <w:szCs w:val="21"/>
                      <w:lang w:val="en-US" w:eastAsia="zh-CN"/>
                    </w:rPr>
                    <w:t>序号</w:t>
                  </w:r>
                </w:p>
              </w:tc>
              <w:tc>
                <w:tcPr>
                  <w:tcW w:w="1611" w:type="pct"/>
                  <w:vMerge w:val="restart"/>
                  <w:tcBorders>
                    <w:tl2br w:val="nil"/>
                    <w:tr2bl w:val="nil"/>
                  </w:tcBorders>
                  <w:noWrap w:val="0"/>
                  <w:vAlign w:val="center"/>
                </w:tcPr>
                <w:p w14:paraId="494797A0">
                  <w:pPr>
                    <w:keepNext w:val="0"/>
                    <w:keepLines w:val="0"/>
                    <w:pageBreakBefore w:val="0"/>
                    <w:widowControl w:val="0"/>
                    <w:kinsoku/>
                    <w:wordWrap/>
                    <w:overflowPunct/>
                    <w:topLinePunct w:val="0"/>
                    <w:autoSpaceDE/>
                    <w:autoSpaceDN/>
                    <w:bidi w:val="0"/>
                    <w:adjustRightInd/>
                    <w:snapToGrid/>
                    <w:jc w:val="center"/>
                    <w:textAlignment w:val="auto"/>
                    <w:rPr>
                      <w:rFonts w:hint="eastAsia" w:hAnsi="宋体" w:eastAsia="宋体"/>
                      <w:color w:val="auto"/>
                      <w:sz w:val="21"/>
                      <w:szCs w:val="21"/>
                      <w:lang w:val="en-US" w:eastAsia="zh-CN"/>
                    </w:rPr>
                  </w:pPr>
                  <w:r>
                    <w:rPr>
                      <w:rFonts w:hint="eastAsia" w:hAnsi="宋体" w:eastAsia="宋体"/>
                      <w:color w:val="auto"/>
                      <w:sz w:val="21"/>
                      <w:szCs w:val="21"/>
                      <w:lang w:val="en-US" w:eastAsia="zh-CN"/>
                    </w:rPr>
                    <w:t>检测日期</w:t>
                  </w:r>
                </w:p>
              </w:tc>
              <w:tc>
                <w:tcPr>
                  <w:tcW w:w="1717" w:type="pct"/>
                  <w:vMerge w:val="restart"/>
                  <w:tcBorders>
                    <w:tl2br w:val="nil"/>
                    <w:tr2bl w:val="nil"/>
                  </w:tcBorders>
                  <w:noWrap w:val="0"/>
                  <w:vAlign w:val="center"/>
                </w:tcPr>
                <w:p w14:paraId="267E3C83">
                  <w:pPr>
                    <w:keepNext w:val="0"/>
                    <w:keepLines w:val="0"/>
                    <w:pageBreakBefore w:val="0"/>
                    <w:widowControl w:val="0"/>
                    <w:kinsoku/>
                    <w:wordWrap/>
                    <w:overflowPunct/>
                    <w:topLinePunct w:val="0"/>
                    <w:autoSpaceDE/>
                    <w:autoSpaceDN/>
                    <w:bidi w:val="0"/>
                    <w:adjustRightInd/>
                    <w:snapToGrid/>
                    <w:jc w:val="center"/>
                    <w:textAlignment w:val="auto"/>
                    <w:rPr>
                      <w:rFonts w:hint="default" w:hAnsi="宋体" w:eastAsia="宋体"/>
                      <w:color w:val="auto"/>
                      <w:sz w:val="21"/>
                      <w:szCs w:val="21"/>
                      <w:lang w:val="en-US" w:eastAsia="zh-CN"/>
                    </w:rPr>
                  </w:pPr>
                  <w:r>
                    <w:rPr>
                      <w:rFonts w:hint="eastAsia" w:hAnsi="宋体" w:eastAsia="宋体"/>
                      <w:color w:val="auto"/>
                      <w:sz w:val="21"/>
                      <w:szCs w:val="21"/>
                      <w:lang w:val="en-US" w:eastAsia="zh-CN"/>
                    </w:rPr>
                    <w:t>检测点位</w:t>
                  </w:r>
                </w:p>
              </w:tc>
              <w:tc>
                <w:tcPr>
                  <w:tcW w:w="1214" w:type="pct"/>
                  <w:gridSpan w:val="2"/>
                  <w:tcBorders>
                    <w:tl2br w:val="nil"/>
                    <w:tr2bl w:val="nil"/>
                  </w:tcBorders>
                  <w:noWrap w:val="0"/>
                  <w:vAlign w:val="center"/>
                </w:tcPr>
                <w:p w14:paraId="266947B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lang w:val="en-US"/>
                    </w:rPr>
                  </w:pPr>
                  <w:r>
                    <w:rPr>
                      <w:rFonts w:hint="eastAsia" w:cs="Times New Roman"/>
                      <w:color w:val="auto"/>
                      <w:sz w:val="21"/>
                      <w:szCs w:val="21"/>
                      <w:lang w:val="en-US" w:eastAsia="zh-CN"/>
                    </w:rPr>
                    <w:t>检测结果dB(A)</w:t>
                  </w:r>
                </w:p>
              </w:tc>
            </w:tr>
            <w:tr w14:paraId="283DE348">
              <w:tblPrEx>
                <w:tblBorders>
                  <w:top w:val="single" w:color="auto" w:sz="4" w:space="0"/>
                  <w:left w:val="single" w:color="auto" w:sz="4" w:space="0"/>
                  <w:bottom w:val="single" w:color="auto" w:sz="4" w:space="0"/>
                  <w:right w:val="single" w:color="auto" w:sz="4" w:space="0"/>
                  <w:insideH w:val="single" w:color="auto" w:sz="4" w:space="0"/>
                  <w:insideV w:val="single" w:color="000000" w:sz="4" w:space="0"/>
                </w:tblBorders>
                <w:tblCellMar>
                  <w:top w:w="0" w:type="dxa"/>
                  <w:left w:w="108" w:type="dxa"/>
                  <w:bottom w:w="0" w:type="dxa"/>
                  <w:right w:w="108" w:type="dxa"/>
                </w:tblCellMar>
              </w:tblPrEx>
              <w:trPr>
                <w:trHeight w:val="454" w:hRule="atLeast"/>
                <w:jc w:val="center"/>
              </w:trPr>
              <w:tc>
                <w:tcPr>
                  <w:tcW w:w="456" w:type="pct"/>
                  <w:vMerge w:val="continue"/>
                  <w:tcBorders>
                    <w:tl2br w:val="nil"/>
                    <w:tr2bl w:val="nil"/>
                  </w:tcBorders>
                  <w:noWrap w:val="0"/>
                  <w:vAlign w:val="center"/>
                </w:tcPr>
                <w:p w14:paraId="504084CC">
                  <w:pPr>
                    <w:keepNext w:val="0"/>
                    <w:keepLines w:val="0"/>
                    <w:pageBreakBefore w:val="0"/>
                    <w:widowControl w:val="0"/>
                    <w:kinsoku/>
                    <w:wordWrap/>
                    <w:overflowPunct/>
                    <w:topLinePunct w:val="0"/>
                    <w:autoSpaceDE/>
                    <w:autoSpaceDN/>
                    <w:bidi w:val="0"/>
                    <w:adjustRightInd/>
                    <w:snapToGrid/>
                    <w:jc w:val="center"/>
                    <w:textAlignment w:val="auto"/>
                    <w:rPr>
                      <w:rFonts w:hint="eastAsia" w:hAnsi="宋体"/>
                      <w:color w:val="auto"/>
                      <w:sz w:val="21"/>
                      <w:szCs w:val="21"/>
                      <w:lang w:val="en-US" w:eastAsia="zh-CN"/>
                    </w:rPr>
                  </w:pPr>
                </w:p>
              </w:tc>
              <w:tc>
                <w:tcPr>
                  <w:tcW w:w="1611" w:type="pct"/>
                  <w:vMerge w:val="continue"/>
                  <w:tcBorders>
                    <w:tl2br w:val="nil"/>
                    <w:tr2bl w:val="nil"/>
                  </w:tcBorders>
                  <w:noWrap w:val="0"/>
                  <w:vAlign w:val="center"/>
                </w:tcPr>
                <w:p w14:paraId="2FB3DDBF">
                  <w:pPr>
                    <w:keepNext w:val="0"/>
                    <w:keepLines w:val="0"/>
                    <w:pageBreakBefore w:val="0"/>
                    <w:widowControl w:val="0"/>
                    <w:kinsoku/>
                    <w:wordWrap/>
                    <w:overflowPunct/>
                    <w:topLinePunct w:val="0"/>
                    <w:autoSpaceDE/>
                    <w:autoSpaceDN/>
                    <w:bidi w:val="0"/>
                    <w:adjustRightInd/>
                    <w:snapToGrid/>
                    <w:jc w:val="center"/>
                    <w:textAlignment w:val="auto"/>
                    <w:rPr>
                      <w:rFonts w:hint="eastAsia" w:hAnsi="宋体"/>
                      <w:color w:val="auto"/>
                      <w:sz w:val="21"/>
                      <w:szCs w:val="21"/>
                      <w:lang w:val="en-US" w:eastAsia="zh-CN"/>
                    </w:rPr>
                  </w:pPr>
                </w:p>
              </w:tc>
              <w:tc>
                <w:tcPr>
                  <w:tcW w:w="1717" w:type="pct"/>
                  <w:vMerge w:val="continue"/>
                  <w:tcBorders>
                    <w:tl2br w:val="nil"/>
                    <w:tr2bl w:val="nil"/>
                  </w:tcBorders>
                  <w:noWrap w:val="0"/>
                  <w:vAlign w:val="center"/>
                </w:tcPr>
                <w:p w14:paraId="6464F217">
                  <w:pPr>
                    <w:keepNext w:val="0"/>
                    <w:keepLines w:val="0"/>
                    <w:pageBreakBefore w:val="0"/>
                    <w:widowControl w:val="0"/>
                    <w:kinsoku/>
                    <w:wordWrap/>
                    <w:overflowPunct/>
                    <w:topLinePunct w:val="0"/>
                    <w:autoSpaceDE/>
                    <w:autoSpaceDN/>
                    <w:bidi w:val="0"/>
                    <w:adjustRightInd/>
                    <w:snapToGrid/>
                    <w:jc w:val="center"/>
                    <w:textAlignment w:val="auto"/>
                    <w:rPr>
                      <w:rFonts w:hint="eastAsia" w:hAnsi="宋体" w:eastAsia="宋体"/>
                      <w:color w:val="auto"/>
                      <w:sz w:val="21"/>
                      <w:szCs w:val="21"/>
                      <w:lang w:val="en-US" w:eastAsia="zh-CN"/>
                    </w:rPr>
                  </w:pPr>
                </w:p>
              </w:tc>
              <w:tc>
                <w:tcPr>
                  <w:tcW w:w="607" w:type="pct"/>
                  <w:tcBorders>
                    <w:tl2br w:val="nil"/>
                    <w:tr2bl w:val="nil"/>
                  </w:tcBorders>
                  <w:noWrap w:val="0"/>
                  <w:vAlign w:val="center"/>
                </w:tcPr>
                <w:p w14:paraId="4F2CC04C">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昼间</w:t>
                  </w:r>
                </w:p>
              </w:tc>
              <w:tc>
                <w:tcPr>
                  <w:tcW w:w="607" w:type="pct"/>
                  <w:tcBorders>
                    <w:tl2br w:val="nil"/>
                    <w:tr2bl w:val="nil"/>
                  </w:tcBorders>
                  <w:noWrap w:val="0"/>
                  <w:vAlign w:val="center"/>
                </w:tcPr>
                <w:p w14:paraId="3E30F2F7">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夜间</w:t>
                  </w:r>
                </w:p>
              </w:tc>
            </w:tr>
            <w:tr w14:paraId="3F75CA7D">
              <w:tblPrEx>
                <w:tblBorders>
                  <w:top w:val="single" w:color="auto" w:sz="4" w:space="0"/>
                  <w:left w:val="single" w:color="auto" w:sz="4" w:space="0"/>
                  <w:bottom w:val="single" w:color="auto" w:sz="4" w:space="0"/>
                  <w:right w:val="single" w:color="auto" w:sz="4" w:space="0"/>
                  <w:insideH w:val="single" w:color="auto" w:sz="4" w:space="0"/>
                  <w:insideV w:val="single" w:color="000000" w:sz="4" w:space="0"/>
                </w:tblBorders>
                <w:tblCellMar>
                  <w:top w:w="0" w:type="dxa"/>
                  <w:left w:w="108" w:type="dxa"/>
                  <w:bottom w:w="0" w:type="dxa"/>
                  <w:right w:w="108" w:type="dxa"/>
                </w:tblCellMar>
              </w:tblPrEx>
              <w:trPr>
                <w:trHeight w:val="454" w:hRule="atLeast"/>
                <w:jc w:val="center"/>
              </w:trPr>
              <w:tc>
                <w:tcPr>
                  <w:tcW w:w="456" w:type="pct"/>
                  <w:tcBorders>
                    <w:tl2br w:val="nil"/>
                    <w:tr2bl w:val="nil"/>
                  </w:tcBorders>
                  <w:noWrap w:val="0"/>
                  <w:vAlign w:val="center"/>
                </w:tcPr>
                <w:p w14:paraId="4CA41775">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1</w:t>
                  </w:r>
                </w:p>
              </w:tc>
              <w:tc>
                <w:tcPr>
                  <w:tcW w:w="1611" w:type="pct"/>
                  <w:vMerge w:val="restart"/>
                  <w:tcBorders>
                    <w:tl2br w:val="nil"/>
                    <w:tr2bl w:val="nil"/>
                  </w:tcBorders>
                  <w:noWrap w:val="0"/>
                  <w:vAlign w:val="center"/>
                </w:tcPr>
                <w:p w14:paraId="25A6D8C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sz w:val="21"/>
                      <w:szCs w:val="21"/>
                      <w:highlight w:val="none"/>
                      <w:lang w:val="en-US" w:eastAsia="zh-CN"/>
                    </w:rPr>
                    <w:t>2025.04.02-2025.04.03</w:t>
                  </w:r>
                </w:p>
              </w:tc>
              <w:tc>
                <w:tcPr>
                  <w:tcW w:w="1717" w:type="pct"/>
                  <w:tcBorders>
                    <w:tl2br w:val="nil"/>
                    <w:tr2bl w:val="nil"/>
                  </w:tcBorders>
                  <w:noWrap w:val="0"/>
                  <w:vAlign w:val="center"/>
                </w:tcPr>
                <w:p w14:paraId="39507D99">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镇平县项目北侧居民点</w:t>
                  </w:r>
                </w:p>
              </w:tc>
              <w:tc>
                <w:tcPr>
                  <w:tcW w:w="607" w:type="pct"/>
                  <w:tcBorders>
                    <w:tl2br w:val="nil"/>
                    <w:tr2bl w:val="nil"/>
                  </w:tcBorders>
                  <w:noWrap w:val="0"/>
                  <w:vAlign w:val="center"/>
                </w:tcPr>
                <w:p w14:paraId="3CFFBD99">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51</w:t>
                  </w:r>
                </w:p>
              </w:tc>
              <w:tc>
                <w:tcPr>
                  <w:tcW w:w="607" w:type="pct"/>
                  <w:tcBorders>
                    <w:tl2br w:val="nil"/>
                    <w:tr2bl w:val="nil"/>
                  </w:tcBorders>
                  <w:noWrap w:val="0"/>
                  <w:vAlign w:val="center"/>
                </w:tcPr>
                <w:p w14:paraId="610527B0">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42</w:t>
                  </w:r>
                </w:p>
              </w:tc>
            </w:tr>
            <w:tr w14:paraId="119FFBB5">
              <w:tblPrEx>
                <w:tblBorders>
                  <w:top w:val="single" w:color="auto" w:sz="4" w:space="0"/>
                  <w:left w:val="single" w:color="auto" w:sz="4" w:space="0"/>
                  <w:bottom w:val="single" w:color="auto" w:sz="4" w:space="0"/>
                  <w:right w:val="single" w:color="auto" w:sz="4" w:space="0"/>
                  <w:insideH w:val="single" w:color="auto" w:sz="4" w:space="0"/>
                  <w:insideV w:val="single" w:color="000000" w:sz="4" w:space="0"/>
                </w:tblBorders>
                <w:tblCellMar>
                  <w:top w:w="0" w:type="dxa"/>
                  <w:left w:w="108" w:type="dxa"/>
                  <w:bottom w:w="0" w:type="dxa"/>
                  <w:right w:w="108" w:type="dxa"/>
                </w:tblCellMar>
              </w:tblPrEx>
              <w:trPr>
                <w:trHeight w:val="454" w:hRule="atLeast"/>
                <w:jc w:val="center"/>
              </w:trPr>
              <w:tc>
                <w:tcPr>
                  <w:tcW w:w="456" w:type="pct"/>
                  <w:tcBorders>
                    <w:tl2br w:val="nil"/>
                    <w:tr2bl w:val="nil"/>
                  </w:tcBorders>
                  <w:noWrap w:val="0"/>
                  <w:vAlign w:val="center"/>
                </w:tcPr>
                <w:p w14:paraId="04ECD213">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2</w:t>
                  </w:r>
                </w:p>
              </w:tc>
              <w:tc>
                <w:tcPr>
                  <w:tcW w:w="1611" w:type="pct"/>
                  <w:vMerge w:val="continue"/>
                  <w:tcBorders>
                    <w:tl2br w:val="nil"/>
                    <w:tr2bl w:val="nil"/>
                  </w:tcBorders>
                  <w:noWrap w:val="0"/>
                  <w:vAlign w:val="center"/>
                </w:tcPr>
                <w:p w14:paraId="34A9D18C">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color w:val="auto"/>
                      <w:sz w:val="21"/>
                      <w:szCs w:val="21"/>
                      <w:highlight w:val="none"/>
                      <w:lang w:val="en-US" w:eastAsia="zh-CN"/>
                    </w:rPr>
                  </w:pPr>
                </w:p>
              </w:tc>
              <w:tc>
                <w:tcPr>
                  <w:tcW w:w="1717" w:type="pct"/>
                  <w:tcBorders>
                    <w:tl2br w:val="nil"/>
                    <w:tr2bl w:val="nil"/>
                  </w:tcBorders>
                  <w:noWrap w:val="0"/>
                  <w:vAlign w:val="center"/>
                </w:tcPr>
                <w:p w14:paraId="23519E13">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镇平县项目西侧居民点</w:t>
                  </w:r>
                </w:p>
              </w:tc>
              <w:tc>
                <w:tcPr>
                  <w:tcW w:w="607" w:type="pct"/>
                  <w:tcBorders>
                    <w:tl2br w:val="nil"/>
                    <w:tr2bl w:val="nil"/>
                  </w:tcBorders>
                  <w:noWrap w:val="0"/>
                  <w:vAlign w:val="center"/>
                </w:tcPr>
                <w:p w14:paraId="788CD67B">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52</w:t>
                  </w:r>
                </w:p>
              </w:tc>
              <w:tc>
                <w:tcPr>
                  <w:tcW w:w="607" w:type="pct"/>
                  <w:tcBorders>
                    <w:tl2br w:val="nil"/>
                    <w:tr2bl w:val="nil"/>
                  </w:tcBorders>
                  <w:noWrap w:val="0"/>
                  <w:vAlign w:val="center"/>
                </w:tcPr>
                <w:p w14:paraId="424D09CE">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44</w:t>
                  </w:r>
                </w:p>
              </w:tc>
            </w:tr>
            <w:tr w14:paraId="4FCF8E33">
              <w:tblPrEx>
                <w:tblBorders>
                  <w:top w:val="single" w:color="auto" w:sz="4" w:space="0"/>
                  <w:left w:val="single" w:color="auto" w:sz="4" w:space="0"/>
                  <w:bottom w:val="single" w:color="auto" w:sz="4" w:space="0"/>
                  <w:right w:val="single" w:color="auto" w:sz="4" w:space="0"/>
                  <w:insideH w:val="single" w:color="auto" w:sz="4" w:space="0"/>
                  <w:insideV w:val="single" w:color="000000" w:sz="4" w:space="0"/>
                </w:tblBorders>
                <w:tblCellMar>
                  <w:top w:w="0" w:type="dxa"/>
                  <w:left w:w="108" w:type="dxa"/>
                  <w:bottom w:w="0" w:type="dxa"/>
                  <w:right w:w="108" w:type="dxa"/>
                </w:tblCellMar>
              </w:tblPrEx>
              <w:trPr>
                <w:trHeight w:val="454" w:hRule="atLeast"/>
                <w:jc w:val="center"/>
              </w:trPr>
              <w:tc>
                <w:tcPr>
                  <w:tcW w:w="456" w:type="pct"/>
                  <w:tcBorders>
                    <w:tl2br w:val="nil"/>
                    <w:tr2bl w:val="nil"/>
                  </w:tcBorders>
                  <w:noWrap w:val="0"/>
                  <w:vAlign w:val="center"/>
                </w:tcPr>
                <w:p w14:paraId="5F1472CA">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3</w:t>
                  </w:r>
                </w:p>
              </w:tc>
              <w:tc>
                <w:tcPr>
                  <w:tcW w:w="1611" w:type="pct"/>
                  <w:vMerge w:val="continue"/>
                  <w:tcBorders>
                    <w:tl2br w:val="nil"/>
                    <w:tr2bl w:val="nil"/>
                  </w:tcBorders>
                  <w:noWrap w:val="0"/>
                  <w:vAlign w:val="center"/>
                </w:tcPr>
                <w:p w14:paraId="2AA87AC3">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color w:val="auto"/>
                      <w:sz w:val="21"/>
                      <w:szCs w:val="21"/>
                      <w:highlight w:val="none"/>
                      <w:lang w:val="en-US" w:eastAsia="zh-CN"/>
                    </w:rPr>
                  </w:pPr>
                </w:p>
              </w:tc>
              <w:tc>
                <w:tcPr>
                  <w:tcW w:w="1717" w:type="pct"/>
                  <w:tcBorders>
                    <w:tl2br w:val="nil"/>
                    <w:tr2bl w:val="nil"/>
                  </w:tcBorders>
                  <w:noWrap w:val="0"/>
                  <w:vAlign w:val="center"/>
                </w:tcPr>
                <w:p w14:paraId="4A4203EE">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镇平县项目南侧居民点</w:t>
                  </w:r>
                </w:p>
              </w:tc>
              <w:tc>
                <w:tcPr>
                  <w:tcW w:w="607" w:type="pct"/>
                  <w:tcBorders>
                    <w:tl2br w:val="nil"/>
                    <w:tr2bl w:val="nil"/>
                  </w:tcBorders>
                  <w:noWrap w:val="0"/>
                  <w:vAlign w:val="center"/>
                </w:tcPr>
                <w:p w14:paraId="37B64E23">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53</w:t>
                  </w:r>
                </w:p>
              </w:tc>
              <w:tc>
                <w:tcPr>
                  <w:tcW w:w="607" w:type="pct"/>
                  <w:tcBorders>
                    <w:tl2br w:val="nil"/>
                    <w:tr2bl w:val="nil"/>
                  </w:tcBorders>
                  <w:noWrap w:val="0"/>
                  <w:vAlign w:val="center"/>
                </w:tcPr>
                <w:p w14:paraId="47E227F2">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44</w:t>
                  </w:r>
                </w:p>
              </w:tc>
            </w:tr>
          </w:tbl>
          <w:p w14:paraId="2D2CB241">
            <w:pPr>
              <w:pStyle w:val="86"/>
              <w:keepNext w:val="0"/>
              <w:keepLines w:val="0"/>
              <w:pageBreakBefore w:val="0"/>
              <w:widowControl w:val="0"/>
              <w:kinsoku/>
              <w:wordWrap/>
              <w:overflowPunct/>
              <w:topLinePunct w:val="0"/>
              <w:autoSpaceDE/>
              <w:autoSpaceDN/>
              <w:bidi w:val="0"/>
              <w:snapToGrid w:val="0"/>
              <w:spacing w:beforeLines="0" w:after="0" w:line="360" w:lineRule="auto"/>
              <w:ind w:firstLine="480" w:firstLineChars="200"/>
              <w:rPr>
                <w:rFonts w:hint="default" w:ascii="Times New Roman" w:hAnsi="Times New Roman" w:eastAsia="宋体" w:cs="Times New Roman"/>
                <w:b w:val="0"/>
                <w:color w:val="auto"/>
                <w:sz w:val="24"/>
                <w:szCs w:val="24"/>
                <w:u w:val="none" w:color="auto"/>
              </w:rPr>
            </w:pPr>
            <w:r>
              <w:rPr>
                <w:rFonts w:hint="default" w:ascii="Times New Roman" w:hAnsi="Times New Roman" w:eastAsia="宋体" w:cs="Times New Roman"/>
                <w:b w:val="0"/>
                <w:color w:val="auto"/>
                <w:sz w:val="24"/>
                <w:szCs w:val="24"/>
                <w:u w:val="none" w:color="auto"/>
              </w:rPr>
              <w:t>4、地下水质量现状</w:t>
            </w:r>
          </w:p>
          <w:p w14:paraId="6EA1E44E">
            <w:pPr>
              <w:pStyle w:val="86"/>
              <w:keepNext w:val="0"/>
              <w:keepLines w:val="0"/>
              <w:pageBreakBefore w:val="0"/>
              <w:widowControl w:val="0"/>
              <w:kinsoku/>
              <w:wordWrap/>
              <w:overflowPunct/>
              <w:topLinePunct w:val="0"/>
              <w:autoSpaceDE/>
              <w:autoSpaceDN/>
              <w:bidi w:val="0"/>
              <w:snapToGrid w:val="0"/>
              <w:spacing w:beforeLines="0" w:after="0" w:line="360" w:lineRule="auto"/>
              <w:ind w:firstLine="480" w:firstLineChars="200"/>
              <w:rPr>
                <w:rFonts w:hint="default" w:ascii="Times New Roman" w:hAnsi="Times New Roman" w:eastAsia="宋体" w:cs="Times New Roman"/>
                <w:b w:val="0"/>
                <w:color w:val="auto"/>
                <w:sz w:val="24"/>
                <w:szCs w:val="24"/>
                <w:highlight w:val="none"/>
                <w:u w:val="none" w:color="auto"/>
              </w:rPr>
            </w:pPr>
            <w:r>
              <w:rPr>
                <w:rFonts w:hint="default" w:ascii="Times New Roman" w:hAnsi="Times New Roman" w:eastAsia="宋体" w:cs="Times New Roman"/>
                <w:b w:val="0"/>
                <w:color w:val="auto"/>
                <w:sz w:val="24"/>
                <w:szCs w:val="24"/>
                <w:highlight w:val="none"/>
                <w:u w:val="none" w:color="auto"/>
              </w:rPr>
              <w:t>本项目管道等污水输送设施</w:t>
            </w:r>
            <w:r>
              <w:rPr>
                <w:rFonts w:hint="default" w:ascii="Times New Roman" w:hAnsi="Times New Roman" w:eastAsia="宋体" w:cs="Times New Roman"/>
                <w:b w:val="0"/>
                <w:color w:val="auto"/>
                <w:sz w:val="24"/>
                <w:szCs w:val="24"/>
                <w:highlight w:val="none"/>
                <w:u w:val="none" w:color="auto"/>
                <w:lang w:eastAsia="zh-CN"/>
              </w:rPr>
              <w:t>、</w:t>
            </w:r>
            <w:r>
              <w:rPr>
                <w:rFonts w:hint="default" w:ascii="Times New Roman" w:hAnsi="Times New Roman" w:eastAsia="宋体" w:cs="Times New Roman"/>
                <w:b w:val="0"/>
                <w:color w:val="auto"/>
                <w:sz w:val="24"/>
                <w:szCs w:val="24"/>
                <w:highlight w:val="none"/>
                <w:u w:val="none" w:color="auto"/>
                <w:lang w:val="en-US" w:eastAsia="zh-CN"/>
              </w:rPr>
              <w:t>一般固废暂存间</w:t>
            </w:r>
            <w:r>
              <w:rPr>
                <w:rFonts w:hint="default" w:ascii="Times New Roman" w:hAnsi="Times New Roman" w:eastAsia="宋体" w:cs="Times New Roman"/>
                <w:b w:val="0"/>
                <w:color w:val="auto"/>
                <w:sz w:val="24"/>
                <w:szCs w:val="24"/>
                <w:highlight w:val="none"/>
                <w:u w:val="none" w:color="auto"/>
              </w:rPr>
              <w:t>等地采用一般防渗措施，危废暂存间采用重点防渗措施，不存在地下水、土壤污染途径，因此项目不开展地下水及土壤环境质量现状调查。</w:t>
            </w:r>
          </w:p>
          <w:p w14:paraId="784EE0AC">
            <w:pPr>
              <w:pStyle w:val="86"/>
              <w:keepNext w:val="0"/>
              <w:keepLines w:val="0"/>
              <w:pageBreakBefore w:val="0"/>
              <w:widowControl w:val="0"/>
              <w:kinsoku/>
              <w:wordWrap/>
              <w:overflowPunct/>
              <w:topLinePunct w:val="0"/>
              <w:autoSpaceDE/>
              <w:autoSpaceDN/>
              <w:bidi w:val="0"/>
              <w:snapToGrid w:val="0"/>
              <w:spacing w:beforeLines="0" w:after="0" w:line="360" w:lineRule="auto"/>
              <w:ind w:firstLine="480" w:firstLineChars="200"/>
              <w:rPr>
                <w:rFonts w:hint="default" w:ascii="Times New Roman" w:hAnsi="Times New Roman" w:eastAsia="宋体" w:cs="Times New Roman"/>
                <w:b w:val="0"/>
                <w:color w:val="auto"/>
                <w:sz w:val="24"/>
                <w:szCs w:val="24"/>
                <w:u w:val="none" w:color="auto"/>
              </w:rPr>
            </w:pPr>
            <w:r>
              <w:rPr>
                <w:rFonts w:hint="default" w:ascii="Times New Roman" w:hAnsi="Times New Roman" w:eastAsia="宋体" w:cs="Times New Roman"/>
                <w:b w:val="0"/>
                <w:color w:val="auto"/>
                <w:sz w:val="24"/>
                <w:szCs w:val="24"/>
                <w:u w:val="none" w:color="auto"/>
              </w:rPr>
              <w:t>5、生态环境质量现状</w:t>
            </w:r>
          </w:p>
          <w:p w14:paraId="5C098BC1">
            <w:pPr>
              <w:pStyle w:val="86"/>
              <w:snapToGrid w:val="0"/>
              <w:spacing w:beforeLines="0" w:after="0" w:line="360" w:lineRule="auto"/>
              <w:rPr>
                <w:rFonts w:hint="default" w:ascii="Times New Roman" w:hAnsi="Times New Roman" w:cs="Times New Roman"/>
                <w:b w:val="0"/>
                <w:color w:val="auto"/>
                <w:szCs w:val="24"/>
                <w:highlight w:val="none"/>
                <w:u w:val="none" w:color="auto"/>
              </w:rPr>
            </w:pPr>
            <w:r>
              <w:rPr>
                <w:rFonts w:hint="default" w:ascii="Times New Roman" w:hAnsi="Times New Roman" w:eastAsia="宋体" w:cs="Times New Roman"/>
                <w:b w:val="0"/>
                <w:color w:val="auto"/>
                <w:sz w:val="24"/>
                <w:szCs w:val="24"/>
                <w:u w:val="none" w:color="auto"/>
              </w:rPr>
              <w:t>项目所在地区以人工生态系统为主的生态系统，生态系统结构和功能比较单一。天然植被已经被人工植被取代，生物资源均为常见种，生态敏感性低。项目所在地区及周边无珍稀动植物存在，无规划的自然生态保护区，无重点保护的野生动植物。</w:t>
            </w:r>
          </w:p>
        </w:tc>
      </w:tr>
      <w:tr w14:paraId="175AFB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89" w:hRule="atLeast"/>
          <w:jc w:val="center"/>
        </w:trPr>
        <w:tc>
          <w:tcPr>
            <w:tcW w:w="386" w:type="pct"/>
            <w:noWrap w:val="0"/>
            <w:vAlign w:val="center"/>
          </w:tcPr>
          <w:p w14:paraId="28C087D4">
            <w:pPr>
              <w:adjustRightInd w:val="0"/>
              <w:snapToGrid w:val="0"/>
              <w:jc w:val="center"/>
              <w:rPr>
                <w:rFonts w:hint="default" w:ascii="Times New Roman" w:hAnsi="Times New Roman" w:cs="Times New Roman"/>
                <w:color w:val="auto"/>
                <w:kern w:val="0"/>
                <w:sz w:val="24"/>
                <w:highlight w:val="none"/>
                <w:u w:val="none" w:color="auto"/>
              </w:rPr>
            </w:pPr>
            <w:r>
              <w:rPr>
                <w:rFonts w:hint="default" w:ascii="Times New Roman" w:hAnsi="Times New Roman" w:cs="Times New Roman"/>
                <w:color w:val="auto"/>
                <w:kern w:val="0"/>
                <w:sz w:val="24"/>
                <w:highlight w:val="none"/>
                <w:u w:val="none" w:color="auto"/>
              </w:rPr>
              <w:t>环境</w:t>
            </w:r>
          </w:p>
          <w:p w14:paraId="1674C806">
            <w:pPr>
              <w:adjustRightInd w:val="0"/>
              <w:snapToGrid w:val="0"/>
              <w:jc w:val="center"/>
              <w:rPr>
                <w:rFonts w:hint="default" w:ascii="Times New Roman" w:hAnsi="Times New Roman" w:cs="Times New Roman"/>
                <w:color w:val="auto"/>
                <w:kern w:val="0"/>
                <w:sz w:val="24"/>
                <w:highlight w:val="none"/>
                <w:u w:val="none" w:color="auto"/>
              </w:rPr>
            </w:pPr>
            <w:r>
              <w:rPr>
                <w:rFonts w:hint="default" w:ascii="Times New Roman" w:hAnsi="Times New Roman" w:cs="Times New Roman"/>
                <w:color w:val="auto"/>
                <w:kern w:val="0"/>
                <w:sz w:val="24"/>
                <w:highlight w:val="none"/>
                <w:u w:val="none" w:color="auto"/>
              </w:rPr>
              <w:t>保护</w:t>
            </w:r>
          </w:p>
          <w:p w14:paraId="6AB05AFC">
            <w:pPr>
              <w:adjustRightInd w:val="0"/>
              <w:snapToGrid w:val="0"/>
              <w:jc w:val="center"/>
              <w:rPr>
                <w:rFonts w:hint="default" w:ascii="Times New Roman" w:hAnsi="Times New Roman" w:cs="Times New Roman"/>
                <w:color w:val="auto"/>
                <w:kern w:val="0"/>
                <w:sz w:val="24"/>
                <w:highlight w:val="none"/>
                <w:u w:val="none" w:color="auto"/>
              </w:rPr>
            </w:pPr>
            <w:r>
              <w:rPr>
                <w:rFonts w:hint="default" w:ascii="Times New Roman" w:hAnsi="Times New Roman" w:cs="Times New Roman"/>
                <w:color w:val="auto"/>
                <w:kern w:val="0"/>
                <w:sz w:val="24"/>
                <w:highlight w:val="none"/>
                <w:u w:val="none" w:color="auto"/>
              </w:rPr>
              <w:t>目标</w:t>
            </w:r>
          </w:p>
        </w:tc>
        <w:tc>
          <w:tcPr>
            <w:tcW w:w="4613" w:type="pct"/>
            <w:noWrap w:val="0"/>
            <w:vAlign w:val="center"/>
          </w:tcPr>
          <w:p w14:paraId="3938002E">
            <w:pPr>
              <w:adjustRightInd w:val="0"/>
              <w:snapToGrid w:val="0"/>
              <w:spacing w:line="360" w:lineRule="auto"/>
              <w:ind w:firstLine="480" w:firstLineChars="200"/>
              <w:rPr>
                <w:rFonts w:hint="default" w:ascii="Times New Roman" w:hAnsi="Times New Roman" w:cs="Times New Roman"/>
                <w:color w:val="auto"/>
                <w:sz w:val="24"/>
                <w:u w:val="none" w:color="auto"/>
                <w:lang w:val="en-GB"/>
              </w:rPr>
            </w:pPr>
            <w:r>
              <w:rPr>
                <w:rFonts w:hint="default" w:ascii="Times New Roman" w:hAnsi="Times New Roman" w:cs="Times New Roman"/>
                <w:color w:val="auto"/>
                <w:sz w:val="24"/>
                <w:u w:val="none" w:color="auto"/>
                <w:lang w:val="en-GB"/>
              </w:rPr>
              <w:t>经现场调查，项目</w:t>
            </w:r>
            <w:r>
              <w:rPr>
                <w:rFonts w:hint="eastAsia" w:cs="Times New Roman"/>
                <w:color w:val="auto"/>
                <w:sz w:val="24"/>
                <w:u w:val="none" w:color="auto"/>
                <w:lang w:val="en-GB" w:eastAsia="zh-CN"/>
              </w:rPr>
              <w:t>校界</w:t>
            </w:r>
            <w:r>
              <w:rPr>
                <w:rFonts w:hint="default" w:ascii="Times New Roman" w:hAnsi="Times New Roman" w:cs="Times New Roman"/>
                <w:color w:val="auto"/>
                <w:sz w:val="24"/>
                <w:u w:val="none" w:color="auto"/>
                <w:lang w:val="en-GB"/>
              </w:rPr>
              <w:t>外500m范围内无自然保护区、无风景名胜区，无地下水集中式饮用水水源和热水、矿泉水、温泉等特殊地下水资源；项目用地范围内无生态环境保护目标。</w:t>
            </w:r>
          </w:p>
          <w:p w14:paraId="33934146">
            <w:pPr>
              <w:tabs>
                <w:tab w:val="left" w:pos="1081"/>
              </w:tabs>
              <w:adjustRightInd w:val="0"/>
              <w:snapToGrid w:val="0"/>
              <w:spacing w:line="360" w:lineRule="auto"/>
              <w:ind w:firstLine="480" w:firstLineChars="200"/>
              <w:rPr>
                <w:rFonts w:hint="default" w:ascii="Times New Roman" w:hAnsi="Times New Roman" w:cs="Times New Roman"/>
                <w:color w:val="auto"/>
                <w:kern w:val="0"/>
                <w:sz w:val="24"/>
                <w:u w:val="none" w:color="auto"/>
              </w:rPr>
            </w:pPr>
            <w:r>
              <w:rPr>
                <w:rFonts w:hint="default" w:ascii="Times New Roman" w:hAnsi="Times New Roman" w:cs="Times New Roman"/>
                <w:color w:val="auto"/>
                <w:sz w:val="24"/>
                <w:u w:val="none" w:color="auto"/>
                <w:lang w:val="en-GB"/>
              </w:rPr>
              <w:t>本项目位于</w:t>
            </w:r>
            <w:r>
              <w:rPr>
                <w:rFonts w:hint="default" w:ascii="Times New Roman" w:hAnsi="Times New Roman" w:cs="Times New Roman"/>
                <w:color w:val="auto"/>
                <w:sz w:val="24"/>
                <w:u w:val="none" w:color="auto"/>
                <w:lang w:val="en-GB" w:eastAsia="zh-CN"/>
              </w:rPr>
              <w:t>镇平县涅阳街道中山街东段北侧，镇平县雪枫中学西侧</w:t>
            </w:r>
            <w:r>
              <w:rPr>
                <w:rFonts w:hint="default" w:ascii="Times New Roman" w:hAnsi="Times New Roman" w:cs="Times New Roman"/>
                <w:color w:val="auto"/>
                <w:sz w:val="24"/>
                <w:u w:val="none" w:color="auto"/>
                <w:lang w:val="en-GB"/>
              </w:rPr>
              <w:t>，占地面积约</w:t>
            </w:r>
            <w:r>
              <w:rPr>
                <w:rFonts w:hint="default" w:ascii="Times New Roman" w:hAnsi="Times New Roman" w:cs="Times New Roman"/>
                <w:color w:val="auto"/>
                <w:sz w:val="24"/>
                <w:u w:val="none" w:color="auto"/>
                <w:lang w:val="en-GB" w:eastAsia="zh-CN"/>
              </w:rPr>
              <w:t>10097.38</w:t>
            </w:r>
            <w:r>
              <w:rPr>
                <w:rFonts w:hint="default" w:ascii="Times New Roman" w:hAnsi="Times New Roman" w:cs="Times New Roman"/>
                <w:color w:val="auto"/>
                <w:sz w:val="24"/>
                <w:u w:val="none" w:color="auto"/>
              </w:rPr>
              <w:t>m</w:t>
            </w:r>
            <w:r>
              <w:rPr>
                <w:rFonts w:hint="default" w:ascii="Times New Roman" w:hAnsi="Times New Roman" w:cs="Times New Roman"/>
                <w:color w:val="auto"/>
                <w:sz w:val="24"/>
                <w:u w:val="none" w:color="auto"/>
                <w:vertAlign w:val="superscript"/>
              </w:rPr>
              <w:t>2</w:t>
            </w:r>
            <w:r>
              <w:rPr>
                <w:rFonts w:hint="default" w:ascii="Times New Roman" w:hAnsi="Times New Roman" w:cs="Times New Roman"/>
                <w:color w:val="auto"/>
                <w:sz w:val="24"/>
                <w:u w:val="none" w:color="auto"/>
              </w:rPr>
              <w:t>，</w:t>
            </w:r>
            <w:r>
              <w:rPr>
                <w:rFonts w:hint="default" w:ascii="Times New Roman" w:hAnsi="Times New Roman" w:cs="Times New Roman"/>
                <w:color w:val="auto"/>
                <w:sz w:val="24"/>
                <w:u w:val="none" w:color="auto"/>
                <w:lang w:val="en-GB"/>
              </w:rPr>
              <w:t>经现场调查，</w:t>
            </w:r>
            <w:r>
              <w:rPr>
                <w:rFonts w:hint="default" w:ascii="Times New Roman" w:hAnsi="Times New Roman" w:cs="Times New Roman"/>
                <w:color w:val="auto"/>
                <w:sz w:val="24"/>
                <w:u w:val="none" w:color="auto"/>
              </w:rPr>
              <w:t>项目南临</w:t>
            </w:r>
            <w:r>
              <w:rPr>
                <w:rFonts w:hint="eastAsia" w:cs="Times New Roman"/>
                <w:color w:val="auto"/>
                <w:sz w:val="24"/>
                <w:u w:val="none" w:color="auto"/>
                <w:lang w:val="en-US" w:eastAsia="zh-CN"/>
              </w:rPr>
              <w:t>中山大街</w:t>
            </w:r>
            <w:r>
              <w:rPr>
                <w:rFonts w:hint="default" w:ascii="Times New Roman" w:hAnsi="Times New Roman" w:cs="Times New Roman"/>
                <w:color w:val="auto"/>
                <w:sz w:val="24"/>
                <w:u w:val="none" w:color="auto"/>
              </w:rPr>
              <w:t>，</w:t>
            </w:r>
            <w:r>
              <w:rPr>
                <w:rFonts w:hint="eastAsia" w:cs="Times New Roman"/>
                <w:color w:val="auto"/>
                <w:sz w:val="24"/>
                <w:u w:val="none" w:color="auto"/>
                <w:lang w:val="en-US" w:eastAsia="zh-CN"/>
              </w:rPr>
              <w:t>西临泰山路，</w:t>
            </w:r>
            <w:r>
              <w:rPr>
                <w:rFonts w:hint="default" w:ascii="Times New Roman" w:hAnsi="Times New Roman" w:cs="Times New Roman"/>
                <w:color w:val="auto"/>
                <w:sz w:val="24"/>
                <w:u w:val="none" w:color="auto"/>
              </w:rPr>
              <w:t>东</w:t>
            </w:r>
            <w:r>
              <w:rPr>
                <w:rFonts w:hint="eastAsia" w:cs="Times New Roman"/>
                <w:color w:val="auto"/>
                <w:sz w:val="24"/>
                <w:u w:val="none" w:color="auto"/>
                <w:lang w:val="en-US" w:eastAsia="zh-CN"/>
              </w:rPr>
              <w:t>侧为镇平县雪枫中学现有校区</w:t>
            </w:r>
            <w:r>
              <w:rPr>
                <w:rFonts w:hint="default" w:ascii="Times New Roman" w:hAnsi="Times New Roman" w:cs="Times New Roman"/>
                <w:color w:val="auto"/>
                <w:sz w:val="24"/>
                <w:u w:val="none" w:color="auto"/>
                <w:lang w:val="en-GB"/>
              </w:rPr>
              <w:t>，</w:t>
            </w:r>
            <w:r>
              <w:rPr>
                <w:rFonts w:hint="default" w:ascii="Times New Roman" w:hAnsi="Times New Roman" w:cs="Times New Roman"/>
                <w:color w:val="auto"/>
                <w:sz w:val="24"/>
                <w:u w:val="none" w:color="auto"/>
              </w:rPr>
              <w:t>南侧为</w:t>
            </w:r>
            <w:r>
              <w:rPr>
                <w:rFonts w:hint="default" w:ascii="Times New Roman" w:hAnsi="Times New Roman" w:cs="Times New Roman"/>
                <w:color w:val="auto"/>
                <w:sz w:val="24"/>
                <w:u w:val="none" w:color="auto"/>
                <w:lang w:val="en-US" w:eastAsia="zh-CN"/>
              </w:rPr>
              <w:t>镇平县项目</w:t>
            </w:r>
            <w:r>
              <w:rPr>
                <w:rFonts w:hint="eastAsia" w:cs="Times New Roman"/>
                <w:color w:val="auto"/>
                <w:sz w:val="24"/>
                <w:u w:val="none" w:color="auto"/>
                <w:lang w:val="en-US" w:eastAsia="zh-CN"/>
              </w:rPr>
              <w:t>南</w:t>
            </w:r>
            <w:r>
              <w:rPr>
                <w:rFonts w:hint="default" w:ascii="Times New Roman" w:hAnsi="Times New Roman" w:cs="Times New Roman"/>
                <w:color w:val="auto"/>
                <w:sz w:val="24"/>
                <w:u w:val="none" w:color="auto"/>
                <w:lang w:val="en-US" w:eastAsia="zh-CN"/>
              </w:rPr>
              <w:t>侧居民点</w:t>
            </w:r>
            <w:r>
              <w:rPr>
                <w:rFonts w:hint="default" w:ascii="Times New Roman" w:hAnsi="Times New Roman" w:cs="Times New Roman"/>
                <w:color w:val="auto"/>
                <w:sz w:val="24"/>
                <w:u w:val="none" w:color="auto"/>
              </w:rPr>
              <w:t>，西侧为</w:t>
            </w:r>
            <w:r>
              <w:rPr>
                <w:rFonts w:hint="default" w:ascii="Times New Roman" w:hAnsi="Times New Roman" w:cs="Times New Roman"/>
                <w:color w:val="auto"/>
                <w:sz w:val="24"/>
                <w:u w:val="none" w:color="auto"/>
                <w:lang w:val="en-US" w:eastAsia="zh-CN"/>
              </w:rPr>
              <w:t>镇平县项目</w:t>
            </w:r>
            <w:r>
              <w:rPr>
                <w:rFonts w:hint="eastAsia" w:cs="Times New Roman"/>
                <w:color w:val="auto"/>
                <w:sz w:val="24"/>
                <w:u w:val="none" w:color="auto"/>
                <w:lang w:val="en-US" w:eastAsia="zh-CN"/>
              </w:rPr>
              <w:t>西</w:t>
            </w:r>
            <w:r>
              <w:rPr>
                <w:rFonts w:hint="default" w:ascii="Times New Roman" w:hAnsi="Times New Roman" w:cs="Times New Roman"/>
                <w:color w:val="auto"/>
                <w:sz w:val="24"/>
                <w:u w:val="none" w:color="auto"/>
                <w:lang w:val="en-US" w:eastAsia="zh-CN"/>
              </w:rPr>
              <w:t>侧居民点</w:t>
            </w:r>
            <w:r>
              <w:rPr>
                <w:rFonts w:hint="default" w:ascii="Times New Roman" w:hAnsi="Times New Roman" w:cs="Times New Roman"/>
                <w:color w:val="auto"/>
                <w:sz w:val="24"/>
                <w:u w:val="none" w:color="auto"/>
              </w:rPr>
              <w:t>，北侧为</w:t>
            </w:r>
            <w:r>
              <w:rPr>
                <w:rFonts w:hint="default" w:ascii="Times New Roman" w:hAnsi="Times New Roman" w:cs="Times New Roman"/>
                <w:color w:val="auto"/>
                <w:sz w:val="24"/>
                <w:u w:val="none" w:color="auto"/>
                <w:lang w:val="en-US" w:eastAsia="zh-CN"/>
              </w:rPr>
              <w:t>镇平县项目</w:t>
            </w:r>
            <w:r>
              <w:rPr>
                <w:rFonts w:hint="eastAsia" w:cs="Times New Roman"/>
                <w:color w:val="auto"/>
                <w:sz w:val="24"/>
                <w:u w:val="none" w:color="auto"/>
                <w:lang w:val="en-US" w:eastAsia="zh-CN"/>
              </w:rPr>
              <w:t>北</w:t>
            </w:r>
            <w:r>
              <w:rPr>
                <w:rFonts w:hint="default" w:ascii="Times New Roman" w:hAnsi="Times New Roman" w:cs="Times New Roman"/>
                <w:color w:val="auto"/>
                <w:sz w:val="24"/>
                <w:u w:val="none" w:color="auto"/>
                <w:lang w:val="en-US" w:eastAsia="zh-CN"/>
              </w:rPr>
              <w:t>侧居民点</w:t>
            </w:r>
            <w:r>
              <w:rPr>
                <w:rFonts w:hint="default" w:ascii="Times New Roman" w:hAnsi="Times New Roman" w:cs="Times New Roman"/>
                <w:color w:val="auto"/>
                <w:sz w:val="24"/>
                <w:u w:val="none" w:color="auto"/>
                <w:lang w:val="en-GB"/>
              </w:rPr>
              <w:t>；项目</w:t>
            </w:r>
            <w:r>
              <w:rPr>
                <w:rFonts w:hint="default" w:ascii="Times New Roman" w:hAnsi="Times New Roman" w:cs="Times New Roman"/>
                <w:color w:val="auto"/>
                <w:sz w:val="24"/>
                <w:u w:val="none" w:color="auto"/>
              </w:rPr>
              <w:t>西距</w:t>
            </w:r>
            <w:r>
              <w:rPr>
                <w:rFonts w:hint="default" w:ascii="Times New Roman" w:hAnsi="Times New Roman" w:cs="Times New Roman"/>
                <w:color w:val="auto"/>
                <w:sz w:val="24"/>
                <w:u w:val="none" w:color="auto"/>
                <w:lang w:val="en-US" w:eastAsia="zh-CN"/>
              </w:rPr>
              <w:t>镇平县项目</w:t>
            </w:r>
            <w:r>
              <w:rPr>
                <w:rFonts w:hint="eastAsia" w:cs="Times New Roman"/>
                <w:color w:val="auto"/>
                <w:sz w:val="24"/>
                <w:u w:val="none" w:color="auto"/>
                <w:lang w:val="en-US" w:eastAsia="zh-CN"/>
              </w:rPr>
              <w:t>西</w:t>
            </w:r>
            <w:r>
              <w:rPr>
                <w:rFonts w:hint="default" w:ascii="Times New Roman" w:hAnsi="Times New Roman" w:cs="Times New Roman"/>
                <w:color w:val="auto"/>
                <w:sz w:val="24"/>
                <w:u w:val="none" w:color="auto"/>
                <w:lang w:val="en-US" w:eastAsia="zh-CN"/>
              </w:rPr>
              <w:t>侧居民点</w:t>
            </w:r>
            <w:r>
              <w:rPr>
                <w:rFonts w:hint="eastAsia" w:cs="Times New Roman"/>
                <w:color w:val="auto"/>
                <w:sz w:val="24"/>
                <w:u w:val="none" w:color="auto"/>
                <w:lang w:val="en-US" w:eastAsia="zh-CN"/>
              </w:rPr>
              <w:t>24</w:t>
            </w:r>
            <w:r>
              <w:rPr>
                <w:rFonts w:hint="default" w:ascii="Times New Roman" w:hAnsi="Times New Roman" w:cs="Times New Roman"/>
                <w:color w:val="auto"/>
                <w:sz w:val="24"/>
                <w:u w:val="none" w:color="auto"/>
              </w:rPr>
              <w:t>m，北距</w:t>
            </w:r>
            <w:r>
              <w:rPr>
                <w:rFonts w:hint="default" w:ascii="Times New Roman" w:hAnsi="Times New Roman" w:cs="Times New Roman"/>
                <w:color w:val="auto"/>
                <w:sz w:val="24"/>
                <w:u w:val="none" w:color="auto"/>
                <w:lang w:val="en-US" w:eastAsia="zh-CN"/>
              </w:rPr>
              <w:t>镇平县项目</w:t>
            </w:r>
            <w:r>
              <w:rPr>
                <w:rFonts w:hint="eastAsia" w:cs="Times New Roman"/>
                <w:color w:val="auto"/>
                <w:sz w:val="24"/>
                <w:u w:val="none" w:color="auto"/>
                <w:lang w:val="en-US" w:eastAsia="zh-CN"/>
              </w:rPr>
              <w:t>北</w:t>
            </w:r>
            <w:r>
              <w:rPr>
                <w:rFonts w:hint="default" w:ascii="Times New Roman" w:hAnsi="Times New Roman" w:cs="Times New Roman"/>
                <w:color w:val="auto"/>
                <w:sz w:val="24"/>
                <w:u w:val="none" w:color="auto"/>
                <w:lang w:val="en-US" w:eastAsia="zh-CN"/>
              </w:rPr>
              <w:t>侧居民点</w:t>
            </w:r>
            <w:r>
              <w:rPr>
                <w:rFonts w:hint="eastAsia" w:cs="Times New Roman"/>
                <w:color w:val="auto"/>
                <w:sz w:val="24"/>
                <w:u w:val="none" w:color="auto"/>
                <w:lang w:val="en-US" w:eastAsia="zh-CN"/>
              </w:rPr>
              <w:t>5</w:t>
            </w:r>
            <w:r>
              <w:rPr>
                <w:rFonts w:hint="default" w:ascii="Times New Roman" w:hAnsi="Times New Roman" w:cs="Times New Roman"/>
                <w:color w:val="auto"/>
                <w:sz w:val="24"/>
                <w:u w:val="none" w:color="auto"/>
              </w:rPr>
              <w:t>m，南距</w:t>
            </w:r>
            <w:r>
              <w:rPr>
                <w:rFonts w:hint="default" w:ascii="Times New Roman" w:hAnsi="Times New Roman" w:cs="Times New Roman"/>
                <w:color w:val="auto"/>
                <w:sz w:val="24"/>
                <w:u w:val="none" w:color="auto"/>
                <w:lang w:val="en-US" w:eastAsia="zh-CN"/>
              </w:rPr>
              <w:t>镇平县项目</w:t>
            </w:r>
            <w:r>
              <w:rPr>
                <w:rFonts w:hint="eastAsia" w:cs="Times New Roman"/>
                <w:color w:val="auto"/>
                <w:sz w:val="24"/>
                <w:u w:val="none" w:color="auto"/>
                <w:lang w:val="en-US" w:eastAsia="zh-CN"/>
              </w:rPr>
              <w:t>南</w:t>
            </w:r>
            <w:r>
              <w:rPr>
                <w:rFonts w:hint="default" w:ascii="Times New Roman" w:hAnsi="Times New Roman" w:cs="Times New Roman"/>
                <w:color w:val="auto"/>
                <w:sz w:val="24"/>
                <w:u w:val="none" w:color="auto"/>
                <w:lang w:val="en-US" w:eastAsia="zh-CN"/>
              </w:rPr>
              <w:t>侧居民点</w:t>
            </w:r>
            <w:r>
              <w:rPr>
                <w:rFonts w:hint="eastAsia" w:cs="Times New Roman"/>
                <w:color w:val="auto"/>
                <w:sz w:val="24"/>
                <w:u w:val="none" w:color="auto"/>
                <w:lang w:val="en-US" w:eastAsia="zh-CN"/>
              </w:rPr>
              <w:t>3</w:t>
            </w:r>
            <w:r>
              <w:rPr>
                <w:rFonts w:hint="default" w:ascii="Times New Roman" w:hAnsi="Times New Roman" w:cs="Times New Roman"/>
                <w:color w:val="auto"/>
                <w:sz w:val="24"/>
                <w:u w:val="none" w:color="auto"/>
              </w:rPr>
              <w:t>m，</w:t>
            </w:r>
            <w:r>
              <w:rPr>
                <w:rFonts w:hint="eastAsia" w:cs="Times New Roman"/>
                <w:color w:val="auto"/>
                <w:sz w:val="24"/>
                <w:u w:val="none" w:color="auto"/>
                <w:lang w:val="en-US" w:eastAsia="zh-CN"/>
              </w:rPr>
              <w:t>东距镇平县项目东侧居民点160m，东北距项目区东北侧散户230m，东北</w:t>
            </w:r>
            <w:r>
              <w:rPr>
                <w:rFonts w:hint="default" w:ascii="Times New Roman" w:hAnsi="Times New Roman" w:cs="Times New Roman"/>
                <w:color w:val="auto"/>
                <w:sz w:val="24"/>
                <w:u w:val="none" w:color="auto"/>
              </w:rPr>
              <w:t>距</w:t>
            </w:r>
            <w:r>
              <w:rPr>
                <w:rFonts w:hint="eastAsia" w:cs="Times New Roman"/>
                <w:color w:val="auto"/>
                <w:sz w:val="24"/>
                <w:u w:val="none" w:color="auto"/>
                <w:lang w:val="en-US" w:eastAsia="zh-CN"/>
              </w:rPr>
              <w:t>四里沟407</w:t>
            </w:r>
            <w:r>
              <w:rPr>
                <w:rFonts w:hint="default" w:ascii="Times New Roman" w:hAnsi="Times New Roman" w:cs="Times New Roman"/>
                <w:color w:val="auto"/>
                <w:sz w:val="24"/>
                <w:u w:val="none" w:color="auto"/>
              </w:rPr>
              <w:t>m，</w:t>
            </w:r>
            <w:r>
              <w:rPr>
                <w:rFonts w:hint="eastAsia" w:cs="Times New Roman"/>
                <w:color w:val="auto"/>
                <w:sz w:val="24"/>
                <w:u w:val="none" w:color="auto"/>
                <w:lang w:val="en-US" w:eastAsia="zh-CN"/>
              </w:rPr>
              <w:t>南</w:t>
            </w:r>
            <w:r>
              <w:rPr>
                <w:rFonts w:hint="default" w:ascii="Times New Roman" w:hAnsi="Times New Roman" w:cs="Times New Roman"/>
                <w:color w:val="auto"/>
                <w:sz w:val="24"/>
                <w:u w:val="none" w:color="auto"/>
              </w:rPr>
              <w:t>距</w:t>
            </w:r>
            <w:r>
              <w:rPr>
                <w:rFonts w:hint="eastAsia" w:cs="Times New Roman"/>
                <w:color w:val="auto"/>
                <w:sz w:val="24"/>
                <w:u w:val="none" w:color="auto"/>
                <w:lang w:val="en-US" w:eastAsia="zh-CN"/>
              </w:rPr>
              <w:t>乔庄275</w:t>
            </w:r>
            <w:r>
              <w:rPr>
                <w:rFonts w:hint="default" w:ascii="Times New Roman" w:hAnsi="Times New Roman" w:cs="Times New Roman"/>
                <w:color w:val="auto"/>
                <w:sz w:val="24"/>
                <w:u w:val="none" w:color="auto"/>
              </w:rPr>
              <w:t>m，</w:t>
            </w:r>
            <w:r>
              <w:rPr>
                <w:rFonts w:hint="eastAsia" w:cs="Times New Roman"/>
                <w:color w:val="auto"/>
                <w:sz w:val="24"/>
                <w:u w:val="none" w:color="auto"/>
                <w:lang w:val="en-US" w:eastAsia="zh-CN"/>
              </w:rPr>
              <w:t>东</w:t>
            </w:r>
            <w:r>
              <w:rPr>
                <w:rFonts w:hint="default" w:ascii="Times New Roman" w:hAnsi="Times New Roman" w:cs="Times New Roman"/>
                <w:color w:val="auto"/>
                <w:sz w:val="24"/>
                <w:u w:val="none" w:color="auto"/>
              </w:rPr>
              <w:t>距三里河</w:t>
            </w:r>
            <w:r>
              <w:rPr>
                <w:rFonts w:hint="eastAsia" w:cs="Times New Roman"/>
                <w:bCs/>
                <w:color w:val="auto"/>
                <w:kern w:val="0"/>
                <w:sz w:val="24"/>
                <w:u w:val="none" w:color="auto"/>
                <w:lang w:val="en-US" w:eastAsia="zh-CN"/>
              </w:rPr>
              <w:t>276</w:t>
            </w:r>
            <w:r>
              <w:rPr>
                <w:rFonts w:hint="default" w:ascii="Times New Roman" w:hAnsi="Times New Roman" w:cs="Times New Roman"/>
                <w:bCs/>
                <w:color w:val="auto"/>
                <w:kern w:val="0"/>
                <w:sz w:val="24"/>
                <w:u w:val="none" w:color="auto"/>
              </w:rPr>
              <w:t>m</w:t>
            </w:r>
            <w:r>
              <w:rPr>
                <w:rFonts w:hint="default" w:ascii="Times New Roman" w:hAnsi="Times New Roman" w:cs="Times New Roman"/>
                <w:color w:val="auto"/>
                <w:sz w:val="24"/>
                <w:u w:val="none" w:color="auto"/>
              </w:rPr>
              <w:t>，西南距西三里河</w:t>
            </w:r>
            <w:r>
              <w:rPr>
                <w:rFonts w:hint="eastAsia" w:cs="Times New Roman"/>
                <w:color w:val="auto"/>
                <w:sz w:val="24"/>
                <w:u w:val="none" w:color="auto"/>
                <w:lang w:val="en-US" w:eastAsia="zh-CN"/>
              </w:rPr>
              <w:t>1.6</w:t>
            </w:r>
            <w:r>
              <w:rPr>
                <w:rFonts w:hint="default" w:ascii="Times New Roman" w:hAnsi="Times New Roman" w:cs="Times New Roman"/>
                <w:color w:val="auto"/>
                <w:sz w:val="24"/>
                <w:u w:val="none" w:color="auto"/>
              </w:rPr>
              <w:t>km，西南距</w:t>
            </w:r>
            <w:r>
              <w:rPr>
                <w:rFonts w:hint="eastAsia" w:ascii="Times New Roman" w:hAnsi="Times New Roman" w:cs="Times New Roman"/>
                <w:color w:val="auto"/>
                <w:sz w:val="24"/>
                <w:u w:val="none" w:color="auto"/>
                <w:lang w:val="en-US" w:eastAsia="zh-CN"/>
              </w:rPr>
              <w:t>淇河2</w:t>
            </w:r>
            <w:r>
              <w:rPr>
                <w:rFonts w:hint="default" w:ascii="Times New Roman" w:hAnsi="Times New Roman" w:cs="Times New Roman"/>
                <w:color w:val="auto"/>
                <w:sz w:val="24"/>
                <w:u w:val="none" w:color="auto"/>
              </w:rPr>
              <w:t>km</w:t>
            </w:r>
            <w:r>
              <w:rPr>
                <w:rFonts w:hint="eastAsia" w:ascii="Times New Roman" w:hAnsi="Times New Roman" w:cs="Times New Roman"/>
                <w:color w:val="auto"/>
                <w:sz w:val="24"/>
                <w:u w:val="none" w:color="auto"/>
                <w:lang w:eastAsia="zh-CN"/>
              </w:rPr>
              <w:t>，</w:t>
            </w:r>
            <w:r>
              <w:rPr>
                <w:rFonts w:hint="eastAsia" w:ascii="Times New Roman" w:hAnsi="Times New Roman" w:cs="Times New Roman"/>
                <w:color w:val="auto"/>
                <w:sz w:val="24"/>
                <w:u w:val="none" w:color="auto"/>
                <w:lang w:val="en-US" w:eastAsia="zh-CN"/>
              </w:rPr>
              <w:t>西南距赵河9.8km</w:t>
            </w:r>
            <w:r>
              <w:rPr>
                <w:rFonts w:hint="default" w:ascii="Times New Roman" w:hAnsi="Times New Roman" w:cs="Times New Roman"/>
                <w:color w:val="auto"/>
                <w:sz w:val="24"/>
                <w:u w:val="none" w:color="auto"/>
                <w:lang w:val="en-GB"/>
              </w:rPr>
              <w:t>。项目周边环境保护目标详见</w:t>
            </w:r>
            <w:r>
              <w:rPr>
                <w:rFonts w:hint="default" w:ascii="Times New Roman" w:hAnsi="Times New Roman" w:cs="Times New Roman"/>
                <w:color w:val="auto"/>
                <w:sz w:val="24"/>
                <w:u w:val="none" w:color="auto"/>
              </w:rPr>
              <w:t xml:space="preserve">下表。  </w:t>
            </w:r>
          </w:p>
          <w:p w14:paraId="18AAED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highlight w:val="none"/>
                <w:u w:val="none" w:color="auto"/>
              </w:rPr>
            </w:pPr>
            <w:r>
              <w:rPr>
                <w:rFonts w:hint="default" w:ascii="Times New Roman" w:hAnsi="Times New Roman" w:eastAsia="宋体" w:cs="Times New Roman"/>
                <w:b/>
                <w:bCs/>
                <w:color w:val="auto"/>
                <w:sz w:val="24"/>
                <w:highlight w:val="none"/>
                <w:u w:val="none" w:color="auto"/>
              </w:rPr>
              <w:t>表3-4</w:t>
            </w:r>
            <w:r>
              <w:rPr>
                <w:rFonts w:hint="eastAsia" w:ascii="Times New Roman" w:hAnsi="Times New Roman" w:eastAsia="宋体" w:cs="Times New Roman"/>
                <w:b/>
                <w:bCs/>
                <w:color w:val="auto"/>
                <w:sz w:val="24"/>
                <w:highlight w:val="none"/>
                <w:u w:val="none" w:color="auto"/>
                <w:lang w:val="en-US" w:eastAsia="zh-CN"/>
              </w:rPr>
              <w:t xml:space="preserve">   </w:t>
            </w:r>
            <w:r>
              <w:rPr>
                <w:rFonts w:hint="default" w:ascii="Times New Roman" w:hAnsi="Times New Roman" w:eastAsia="宋体" w:cs="Times New Roman"/>
                <w:b/>
                <w:bCs/>
                <w:color w:val="auto"/>
                <w:sz w:val="24"/>
                <w:highlight w:val="none"/>
                <w:u w:val="none" w:color="auto"/>
              </w:rPr>
              <w:t>主要环境保护目标</w:t>
            </w:r>
          </w:p>
          <w:tbl>
            <w:tblPr>
              <w:tblStyle w:val="35"/>
              <w:tblW w:w="486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1"/>
              <w:gridCol w:w="1635"/>
              <w:gridCol w:w="1454"/>
              <w:gridCol w:w="1667"/>
              <w:gridCol w:w="2179"/>
            </w:tblGrid>
            <w:tr w14:paraId="49465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tcBorders>
                    <w:top w:val="single" w:color="auto" w:sz="4" w:space="0"/>
                    <w:left w:val="single" w:color="auto" w:sz="4" w:space="0"/>
                    <w:bottom w:val="single" w:color="auto" w:sz="4" w:space="0"/>
                    <w:right w:val="single" w:color="auto" w:sz="4" w:space="0"/>
                  </w:tcBorders>
                  <w:noWrap w:val="0"/>
                  <w:vAlign w:val="center"/>
                </w:tcPr>
                <w:p w14:paraId="17443B7F">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lang w:eastAsia="zh-TW"/>
                    </w:rPr>
                    <w:t>环境因素</w:t>
                  </w:r>
                </w:p>
              </w:tc>
              <w:tc>
                <w:tcPr>
                  <w:tcW w:w="1021" w:type="pct"/>
                  <w:tcBorders>
                    <w:top w:val="single" w:color="auto" w:sz="4" w:space="0"/>
                    <w:left w:val="single" w:color="auto" w:sz="4" w:space="0"/>
                    <w:bottom w:val="single" w:color="auto" w:sz="4" w:space="0"/>
                    <w:right w:val="single" w:color="auto" w:sz="4" w:space="0"/>
                  </w:tcBorders>
                  <w:noWrap w:val="0"/>
                  <w:vAlign w:val="center"/>
                </w:tcPr>
                <w:p w14:paraId="0BD1B77A">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lang w:eastAsia="zh-TW"/>
                    </w:rPr>
                    <w:t>保护目标</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5059230C">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方位</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5CA62764">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距</w:t>
                  </w:r>
                  <w:r>
                    <w:rPr>
                      <w:rFonts w:hint="eastAsia" w:cs="Times New Roman"/>
                      <w:color w:val="auto"/>
                      <w:szCs w:val="21"/>
                      <w:u w:val="none" w:color="auto"/>
                      <w:lang w:eastAsia="zh-CN"/>
                    </w:rPr>
                    <w:t>校界</w:t>
                  </w:r>
                  <w:r>
                    <w:rPr>
                      <w:rFonts w:hint="default" w:ascii="Times New Roman" w:hAnsi="Times New Roman" w:cs="Times New Roman"/>
                      <w:color w:val="auto"/>
                      <w:szCs w:val="21"/>
                      <w:u w:val="none" w:color="auto"/>
                      <w:lang w:eastAsia="zh-TW"/>
                    </w:rPr>
                    <w:t>距离</w:t>
                  </w:r>
                </w:p>
              </w:tc>
              <w:tc>
                <w:tcPr>
                  <w:tcW w:w="1359" w:type="pct"/>
                  <w:tcBorders>
                    <w:top w:val="single" w:color="auto" w:sz="4" w:space="0"/>
                    <w:left w:val="single" w:color="auto" w:sz="4" w:space="0"/>
                    <w:bottom w:val="single" w:color="auto" w:sz="4" w:space="0"/>
                    <w:right w:val="single" w:color="auto" w:sz="4" w:space="0"/>
                  </w:tcBorders>
                  <w:noWrap w:val="0"/>
                  <w:vAlign w:val="center"/>
                </w:tcPr>
                <w:p w14:paraId="704A8F6F">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lang w:eastAsia="zh-TW"/>
                    </w:rPr>
                    <w:t>保</w:t>
                  </w:r>
                  <w:r>
                    <w:rPr>
                      <w:rFonts w:hint="default" w:ascii="Times New Roman" w:hAnsi="Times New Roman" w:cs="Times New Roman"/>
                      <w:color w:val="auto"/>
                      <w:szCs w:val="21"/>
                      <w:u w:val="none" w:color="auto"/>
                    </w:rPr>
                    <w:t xml:space="preserve">  </w:t>
                  </w:r>
                  <w:r>
                    <w:rPr>
                      <w:rFonts w:hint="default" w:ascii="Times New Roman" w:hAnsi="Times New Roman" w:cs="Times New Roman"/>
                      <w:color w:val="auto"/>
                      <w:szCs w:val="21"/>
                      <w:u w:val="none" w:color="auto"/>
                      <w:lang w:eastAsia="zh-TW"/>
                    </w:rPr>
                    <w:t>护</w:t>
                  </w:r>
                  <w:r>
                    <w:rPr>
                      <w:rFonts w:hint="default" w:ascii="Times New Roman" w:hAnsi="Times New Roman" w:cs="Times New Roman"/>
                      <w:color w:val="auto"/>
                      <w:szCs w:val="21"/>
                      <w:u w:val="none" w:color="auto"/>
                    </w:rPr>
                    <w:t xml:space="preserve">  </w:t>
                  </w:r>
                  <w:r>
                    <w:rPr>
                      <w:rFonts w:hint="default" w:ascii="Times New Roman" w:hAnsi="Times New Roman" w:cs="Times New Roman"/>
                      <w:color w:val="auto"/>
                      <w:szCs w:val="21"/>
                      <w:u w:val="none" w:color="auto"/>
                      <w:lang w:eastAsia="zh-TW"/>
                    </w:rPr>
                    <w:t>级</w:t>
                  </w:r>
                  <w:r>
                    <w:rPr>
                      <w:rFonts w:hint="default" w:ascii="Times New Roman" w:hAnsi="Times New Roman" w:cs="Times New Roman"/>
                      <w:color w:val="auto"/>
                      <w:szCs w:val="21"/>
                      <w:u w:val="none" w:color="auto"/>
                    </w:rPr>
                    <w:t xml:space="preserve">  </w:t>
                  </w:r>
                  <w:r>
                    <w:rPr>
                      <w:rFonts w:hint="default" w:ascii="Times New Roman" w:hAnsi="Times New Roman" w:cs="Times New Roman"/>
                      <w:color w:val="auto"/>
                      <w:szCs w:val="21"/>
                      <w:u w:val="none" w:color="auto"/>
                      <w:lang w:eastAsia="zh-TW"/>
                    </w:rPr>
                    <w:t>别</w:t>
                  </w:r>
                </w:p>
              </w:tc>
            </w:tr>
            <w:tr w14:paraId="0CE3B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restart"/>
                  <w:tcBorders>
                    <w:top w:val="single" w:color="auto" w:sz="4" w:space="0"/>
                    <w:left w:val="single" w:color="auto" w:sz="4" w:space="0"/>
                    <w:right w:val="single" w:color="auto" w:sz="4" w:space="0"/>
                  </w:tcBorders>
                  <w:noWrap w:val="0"/>
                  <w:vAlign w:val="center"/>
                </w:tcPr>
                <w:p w14:paraId="28D9AA50">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大气环境</w:t>
                  </w:r>
                </w:p>
              </w:tc>
              <w:tc>
                <w:tcPr>
                  <w:tcW w:w="1021" w:type="pct"/>
                  <w:tcBorders>
                    <w:top w:val="single" w:color="auto" w:sz="4" w:space="0"/>
                    <w:left w:val="single" w:color="auto" w:sz="4" w:space="0"/>
                    <w:bottom w:val="single" w:color="auto" w:sz="4" w:space="0"/>
                    <w:right w:val="single" w:color="auto" w:sz="4" w:space="0"/>
                  </w:tcBorders>
                  <w:noWrap w:val="0"/>
                  <w:vAlign w:val="center"/>
                </w:tcPr>
                <w:p w14:paraId="64C6752F">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lang w:val="en-US" w:eastAsia="zh-CN"/>
                    </w:rPr>
                    <w:t>镇平县项目西侧居民点</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31CAE57A">
                  <w:pPr>
                    <w:jc w:val="center"/>
                    <w:rPr>
                      <w:rFonts w:hint="eastAsia"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01159789">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24m</w:t>
                  </w:r>
                </w:p>
              </w:tc>
              <w:tc>
                <w:tcPr>
                  <w:tcW w:w="1359" w:type="pct"/>
                  <w:vMerge w:val="restart"/>
                  <w:tcBorders>
                    <w:top w:val="single" w:color="auto" w:sz="4" w:space="0"/>
                    <w:left w:val="single" w:color="auto" w:sz="4" w:space="0"/>
                    <w:right w:val="single" w:color="auto" w:sz="4" w:space="0"/>
                  </w:tcBorders>
                  <w:noWrap w:val="0"/>
                  <w:vAlign w:val="center"/>
                </w:tcPr>
                <w:p w14:paraId="6F3EA7A3">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《环境空气质量标准》（GB 3095-2012）二级标准</w:t>
                  </w:r>
                </w:p>
              </w:tc>
            </w:tr>
            <w:tr w14:paraId="767DD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right w:val="single" w:color="auto" w:sz="4" w:space="0"/>
                  </w:tcBorders>
                  <w:noWrap w:val="0"/>
                  <w:vAlign w:val="center"/>
                </w:tcPr>
                <w:p w14:paraId="155AC290">
                  <w:pPr>
                    <w:jc w:val="center"/>
                    <w:rPr>
                      <w:rFonts w:hint="default" w:ascii="Times New Roman" w:hAnsi="Times New Roman" w:cs="Times New Roman"/>
                      <w:color w:val="auto"/>
                      <w:szCs w:val="21"/>
                      <w:u w:val="none" w:color="auto"/>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25B36F5E">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lang w:val="en-US" w:eastAsia="zh-CN"/>
                    </w:rPr>
                    <w:t>镇平县项目北侧居民点</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4A06CA34">
                  <w:pPr>
                    <w:jc w:val="center"/>
                    <w:rPr>
                      <w:rFonts w:hint="eastAsia"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N</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02BBC390">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5m</w:t>
                  </w:r>
                </w:p>
              </w:tc>
              <w:tc>
                <w:tcPr>
                  <w:tcW w:w="1359" w:type="pct"/>
                  <w:vMerge w:val="continue"/>
                  <w:tcBorders>
                    <w:left w:val="single" w:color="auto" w:sz="4" w:space="0"/>
                    <w:right w:val="single" w:color="auto" w:sz="4" w:space="0"/>
                  </w:tcBorders>
                  <w:noWrap w:val="0"/>
                  <w:vAlign w:val="center"/>
                </w:tcPr>
                <w:p w14:paraId="43528FC3">
                  <w:pPr>
                    <w:jc w:val="center"/>
                    <w:rPr>
                      <w:rFonts w:hint="default" w:ascii="Times New Roman" w:hAnsi="Times New Roman" w:cs="Times New Roman"/>
                      <w:color w:val="auto"/>
                      <w:szCs w:val="21"/>
                      <w:u w:val="none" w:color="auto"/>
                    </w:rPr>
                  </w:pPr>
                </w:p>
              </w:tc>
            </w:tr>
            <w:tr w14:paraId="5CAC2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right w:val="single" w:color="auto" w:sz="4" w:space="0"/>
                  </w:tcBorders>
                  <w:noWrap w:val="0"/>
                  <w:vAlign w:val="center"/>
                </w:tcPr>
                <w:p w14:paraId="6000C5CC">
                  <w:pPr>
                    <w:jc w:val="center"/>
                    <w:rPr>
                      <w:rFonts w:hint="default" w:ascii="Times New Roman" w:hAnsi="Times New Roman" w:cs="Times New Roman"/>
                      <w:color w:val="auto"/>
                      <w:szCs w:val="21"/>
                      <w:u w:val="none" w:color="auto"/>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16FD27AB">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lang w:val="en-US" w:eastAsia="zh-CN"/>
                    </w:rPr>
                    <w:t>镇平县项目南侧居民点</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4C4DB1EE">
                  <w:pPr>
                    <w:jc w:val="center"/>
                    <w:rPr>
                      <w:rFonts w:hint="eastAsia"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S</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38576288">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3m</w:t>
                  </w:r>
                </w:p>
              </w:tc>
              <w:tc>
                <w:tcPr>
                  <w:tcW w:w="1359" w:type="pct"/>
                  <w:vMerge w:val="continue"/>
                  <w:tcBorders>
                    <w:left w:val="single" w:color="auto" w:sz="4" w:space="0"/>
                    <w:right w:val="single" w:color="auto" w:sz="4" w:space="0"/>
                  </w:tcBorders>
                  <w:noWrap w:val="0"/>
                  <w:vAlign w:val="center"/>
                </w:tcPr>
                <w:p w14:paraId="0690AED4">
                  <w:pPr>
                    <w:jc w:val="center"/>
                    <w:rPr>
                      <w:rFonts w:hint="default" w:ascii="Times New Roman" w:hAnsi="Times New Roman" w:cs="Times New Roman"/>
                      <w:color w:val="auto"/>
                      <w:szCs w:val="21"/>
                      <w:u w:val="none" w:color="auto"/>
                    </w:rPr>
                  </w:pPr>
                </w:p>
              </w:tc>
            </w:tr>
            <w:tr w14:paraId="78FFD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right w:val="single" w:color="auto" w:sz="4" w:space="0"/>
                  </w:tcBorders>
                  <w:noWrap w:val="0"/>
                  <w:vAlign w:val="center"/>
                </w:tcPr>
                <w:p w14:paraId="733DC8EC">
                  <w:pPr>
                    <w:jc w:val="center"/>
                    <w:rPr>
                      <w:rFonts w:hint="default" w:ascii="Times New Roman" w:hAnsi="Times New Roman" w:cs="Times New Roman"/>
                      <w:color w:val="auto"/>
                      <w:szCs w:val="21"/>
                      <w:u w:val="none" w:color="auto"/>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2018C5FE">
                  <w:pPr>
                    <w:jc w:val="center"/>
                    <w:rPr>
                      <w:rFonts w:hint="default" w:ascii="Times New Roman" w:hAnsi="Times New Roman" w:cs="Times New Roman"/>
                      <w:color w:val="auto"/>
                      <w:szCs w:val="21"/>
                      <w:u w:val="none" w:color="auto"/>
                      <w:lang w:val="en-US" w:eastAsia="zh-CN"/>
                    </w:rPr>
                  </w:pPr>
                  <w:r>
                    <w:rPr>
                      <w:rFonts w:hint="eastAsia" w:cs="Times New Roman"/>
                      <w:color w:val="auto"/>
                      <w:szCs w:val="21"/>
                      <w:u w:val="none" w:color="auto"/>
                      <w:lang w:val="en-US" w:eastAsia="zh-CN"/>
                    </w:rPr>
                    <w:t>镇平县项目东侧居民点</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0081F42E">
                  <w:pPr>
                    <w:jc w:val="center"/>
                    <w:rPr>
                      <w:rFonts w:hint="default" w:cs="Times New Roman"/>
                      <w:color w:val="auto"/>
                      <w:szCs w:val="21"/>
                      <w:u w:val="none" w:color="auto"/>
                      <w:lang w:val="en-US" w:eastAsia="zh-CN"/>
                    </w:rPr>
                  </w:pPr>
                  <w:r>
                    <w:rPr>
                      <w:rFonts w:hint="eastAsia" w:cs="Times New Roman"/>
                      <w:color w:val="auto"/>
                      <w:szCs w:val="21"/>
                      <w:u w:val="none" w:color="auto"/>
                      <w:lang w:val="en-US" w:eastAsia="zh-CN"/>
                    </w:rPr>
                    <w:t>E</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2AA8CCA9">
                  <w:pPr>
                    <w:jc w:val="center"/>
                    <w:rPr>
                      <w:rFonts w:hint="default" w:cs="Times New Roman"/>
                      <w:color w:val="auto"/>
                      <w:szCs w:val="21"/>
                      <w:u w:val="none" w:color="auto"/>
                      <w:lang w:val="en-US" w:eastAsia="zh-CN"/>
                    </w:rPr>
                  </w:pPr>
                  <w:r>
                    <w:rPr>
                      <w:rFonts w:hint="eastAsia" w:cs="Times New Roman"/>
                      <w:color w:val="auto"/>
                      <w:szCs w:val="21"/>
                      <w:u w:val="none" w:color="auto"/>
                      <w:lang w:val="en-US" w:eastAsia="zh-CN"/>
                    </w:rPr>
                    <w:t>160m</w:t>
                  </w:r>
                </w:p>
              </w:tc>
              <w:tc>
                <w:tcPr>
                  <w:tcW w:w="1359" w:type="pct"/>
                  <w:vMerge w:val="continue"/>
                  <w:tcBorders>
                    <w:left w:val="single" w:color="auto" w:sz="4" w:space="0"/>
                    <w:right w:val="single" w:color="auto" w:sz="4" w:space="0"/>
                  </w:tcBorders>
                  <w:noWrap w:val="0"/>
                  <w:vAlign w:val="center"/>
                </w:tcPr>
                <w:p w14:paraId="1FAF3846">
                  <w:pPr>
                    <w:jc w:val="center"/>
                    <w:rPr>
                      <w:rFonts w:hint="default" w:ascii="Times New Roman" w:hAnsi="Times New Roman" w:cs="Times New Roman"/>
                      <w:color w:val="auto"/>
                      <w:szCs w:val="21"/>
                      <w:u w:val="none" w:color="auto"/>
                    </w:rPr>
                  </w:pPr>
                </w:p>
              </w:tc>
            </w:tr>
            <w:tr w14:paraId="09560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right w:val="single" w:color="auto" w:sz="4" w:space="0"/>
                  </w:tcBorders>
                  <w:noWrap w:val="0"/>
                  <w:vAlign w:val="center"/>
                </w:tcPr>
                <w:p w14:paraId="6DDB1E22">
                  <w:pPr>
                    <w:jc w:val="center"/>
                    <w:rPr>
                      <w:rFonts w:hint="default" w:ascii="Times New Roman" w:hAnsi="Times New Roman" w:cs="Times New Roman"/>
                      <w:color w:val="auto"/>
                      <w:szCs w:val="21"/>
                      <w:u w:val="none" w:color="auto"/>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180CF4A9">
                  <w:pPr>
                    <w:jc w:val="center"/>
                    <w:rPr>
                      <w:rFonts w:hint="default" w:ascii="Times New Roman" w:hAnsi="Times New Roman" w:cs="Times New Roman"/>
                      <w:color w:val="auto"/>
                      <w:szCs w:val="21"/>
                      <w:u w:val="none" w:color="auto"/>
                      <w:lang w:val="en-US" w:eastAsia="zh-CN"/>
                    </w:rPr>
                  </w:pPr>
                  <w:r>
                    <w:rPr>
                      <w:rFonts w:hint="eastAsia" w:cs="Times New Roman"/>
                      <w:color w:val="auto"/>
                      <w:szCs w:val="21"/>
                      <w:u w:val="none" w:color="auto"/>
                      <w:lang w:val="en-US" w:eastAsia="zh-CN"/>
                    </w:rPr>
                    <w:t>项目区东北侧散户</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2D991387">
                  <w:pPr>
                    <w:jc w:val="center"/>
                    <w:rPr>
                      <w:rFonts w:hint="default" w:cs="Times New Roman"/>
                      <w:color w:val="auto"/>
                      <w:szCs w:val="21"/>
                      <w:u w:val="none" w:color="auto"/>
                      <w:lang w:val="en-US" w:eastAsia="zh-CN"/>
                    </w:rPr>
                  </w:pPr>
                  <w:r>
                    <w:rPr>
                      <w:rFonts w:hint="eastAsia" w:cs="Times New Roman"/>
                      <w:color w:val="auto"/>
                      <w:szCs w:val="21"/>
                      <w:u w:val="none" w:color="auto"/>
                      <w:lang w:val="en-US" w:eastAsia="zh-CN"/>
                    </w:rPr>
                    <w:t>NE</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6EC35566">
                  <w:pPr>
                    <w:jc w:val="center"/>
                    <w:rPr>
                      <w:rFonts w:hint="default" w:cs="Times New Roman"/>
                      <w:color w:val="auto"/>
                      <w:szCs w:val="21"/>
                      <w:u w:val="none" w:color="auto"/>
                      <w:lang w:val="en-US" w:eastAsia="zh-CN"/>
                    </w:rPr>
                  </w:pPr>
                  <w:r>
                    <w:rPr>
                      <w:rFonts w:hint="eastAsia" w:cs="Times New Roman"/>
                      <w:color w:val="auto"/>
                      <w:szCs w:val="21"/>
                      <w:u w:val="none" w:color="auto"/>
                      <w:lang w:val="en-US" w:eastAsia="zh-CN"/>
                    </w:rPr>
                    <w:t>230m</w:t>
                  </w:r>
                </w:p>
              </w:tc>
              <w:tc>
                <w:tcPr>
                  <w:tcW w:w="1359" w:type="pct"/>
                  <w:vMerge w:val="continue"/>
                  <w:tcBorders>
                    <w:left w:val="single" w:color="auto" w:sz="4" w:space="0"/>
                    <w:right w:val="single" w:color="auto" w:sz="4" w:space="0"/>
                  </w:tcBorders>
                  <w:noWrap w:val="0"/>
                  <w:vAlign w:val="center"/>
                </w:tcPr>
                <w:p w14:paraId="0340597D">
                  <w:pPr>
                    <w:jc w:val="center"/>
                    <w:rPr>
                      <w:rFonts w:hint="default" w:ascii="Times New Roman" w:hAnsi="Times New Roman" w:cs="Times New Roman"/>
                      <w:color w:val="auto"/>
                      <w:szCs w:val="21"/>
                      <w:u w:val="none" w:color="auto"/>
                    </w:rPr>
                  </w:pPr>
                </w:p>
              </w:tc>
            </w:tr>
            <w:tr w14:paraId="11C27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right w:val="single" w:color="auto" w:sz="4" w:space="0"/>
                  </w:tcBorders>
                  <w:noWrap w:val="0"/>
                  <w:vAlign w:val="center"/>
                </w:tcPr>
                <w:p w14:paraId="54F6EA4F">
                  <w:pPr>
                    <w:jc w:val="center"/>
                    <w:rPr>
                      <w:rFonts w:hint="default" w:ascii="Times New Roman" w:hAnsi="Times New Roman" w:cs="Times New Roman"/>
                      <w:color w:val="auto"/>
                      <w:szCs w:val="21"/>
                      <w:u w:val="none" w:color="auto"/>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1DAAB5D3">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lang w:val="en-US" w:eastAsia="zh-CN"/>
                    </w:rPr>
                    <w:t>四里沟</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5519D8B9">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NE</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3138E077">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407m</w:t>
                  </w:r>
                </w:p>
              </w:tc>
              <w:tc>
                <w:tcPr>
                  <w:tcW w:w="1359" w:type="pct"/>
                  <w:vMerge w:val="continue"/>
                  <w:tcBorders>
                    <w:left w:val="single" w:color="auto" w:sz="4" w:space="0"/>
                    <w:right w:val="single" w:color="auto" w:sz="4" w:space="0"/>
                  </w:tcBorders>
                  <w:noWrap w:val="0"/>
                  <w:vAlign w:val="center"/>
                </w:tcPr>
                <w:p w14:paraId="4E57A92D">
                  <w:pPr>
                    <w:jc w:val="center"/>
                    <w:rPr>
                      <w:rFonts w:hint="default" w:ascii="Times New Roman" w:hAnsi="Times New Roman" w:cs="Times New Roman"/>
                      <w:color w:val="auto"/>
                      <w:szCs w:val="21"/>
                      <w:u w:val="none" w:color="auto"/>
                    </w:rPr>
                  </w:pPr>
                </w:p>
              </w:tc>
            </w:tr>
            <w:tr w14:paraId="11574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right w:val="single" w:color="auto" w:sz="4" w:space="0"/>
                  </w:tcBorders>
                  <w:noWrap w:val="0"/>
                  <w:vAlign w:val="center"/>
                </w:tcPr>
                <w:p w14:paraId="159DE3CE">
                  <w:pPr>
                    <w:jc w:val="center"/>
                    <w:rPr>
                      <w:rFonts w:hint="default" w:ascii="Times New Roman" w:hAnsi="Times New Roman" w:cs="Times New Roman"/>
                      <w:color w:val="auto"/>
                      <w:szCs w:val="21"/>
                      <w:u w:val="none" w:color="auto"/>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6320232D">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lang w:val="en-US" w:eastAsia="zh-CN"/>
                    </w:rPr>
                    <w:t>乔庄</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52036EF5">
                  <w:pPr>
                    <w:jc w:val="center"/>
                    <w:rPr>
                      <w:rFonts w:hint="eastAsia"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S</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3634DD3F">
                  <w:pPr>
                    <w:jc w:val="center"/>
                    <w:rPr>
                      <w:rFonts w:hint="default" w:ascii="Times New Roman" w:hAnsi="Times New Roman" w:eastAsia="宋体" w:cs="Times New Roman"/>
                      <w:b/>
                      <w:bCs/>
                      <w:color w:val="auto"/>
                      <w:szCs w:val="21"/>
                      <w:u w:val="none" w:color="auto"/>
                      <w:lang w:val="en-US" w:eastAsia="zh-CN"/>
                    </w:rPr>
                  </w:pPr>
                  <w:r>
                    <w:rPr>
                      <w:rFonts w:hint="eastAsia" w:cs="Times New Roman"/>
                      <w:b w:val="0"/>
                      <w:bCs w:val="0"/>
                      <w:color w:val="auto"/>
                      <w:szCs w:val="21"/>
                      <w:u w:val="none" w:color="auto"/>
                      <w:lang w:val="en-US" w:eastAsia="zh-CN"/>
                    </w:rPr>
                    <w:t>275m</w:t>
                  </w:r>
                </w:p>
              </w:tc>
              <w:tc>
                <w:tcPr>
                  <w:tcW w:w="1359" w:type="pct"/>
                  <w:vMerge w:val="continue"/>
                  <w:tcBorders>
                    <w:left w:val="single" w:color="auto" w:sz="4" w:space="0"/>
                    <w:right w:val="single" w:color="auto" w:sz="4" w:space="0"/>
                  </w:tcBorders>
                  <w:noWrap w:val="0"/>
                  <w:vAlign w:val="center"/>
                </w:tcPr>
                <w:p w14:paraId="20EC80EA">
                  <w:pPr>
                    <w:jc w:val="center"/>
                    <w:rPr>
                      <w:rFonts w:hint="default" w:ascii="Times New Roman" w:hAnsi="Times New Roman" w:cs="Times New Roman"/>
                      <w:color w:val="auto"/>
                      <w:szCs w:val="21"/>
                      <w:u w:val="none" w:color="auto"/>
                    </w:rPr>
                  </w:pPr>
                </w:p>
              </w:tc>
            </w:tr>
            <w:tr w14:paraId="09928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restart"/>
                  <w:tcBorders>
                    <w:top w:val="single" w:color="auto" w:sz="4" w:space="0"/>
                    <w:left w:val="single" w:color="auto" w:sz="4" w:space="0"/>
                    <w:right w:val="single" w:color="auto" w:sz="4" w:space="0"/>
                  </w:tcBorders>
                  <w:noWrap w:val="0"/>
                  <w:vAlign w:val="center"/>
                </w:tcPr>
                <w:p w14:paraId="06F6A953">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声环境</w:t>
                  </w:r>
                </w:p>
              </w:tc>
              <w:tc>
                <w:tcPr>
                  <w:tcW w:w="1021" w:type="pct"/>
                  <w:tcBorders>
                    <w:top w:val="single" w:color="auto" w:sz="4" w:space="0"/>
                    <w:left w:val="single" w:color="auto" w:sz="4" w:space="0"/>
                    <w:bottom w:val="single" w:color="auto" w:sz="4" w:space="0"/>
                    <w:right w:val="single" w:color="auto" w:sz="4" w:space="0"/>
                  </w:tcBorders>
                  <w:noWrap w:val="0"/>
                  <w:vAlign w:val="center"/>
                </w:tcPr>
                <w:p w14:paraId="50701F4A">
                  <w:pPr>
                    <w:jc w:val="center"/>
                    <w:rPr>
                      <w:rFonts w:hint="default" w:ascii="Times New Roman" w:hAnsi="Times New Roman" w:cs="Times New Roman"/>
                      <w:color w:val="auto"/>
                      <w:szCs w:val="21"/>
                      <w:u w:val="none" w:color="auto"/>
                      <w:lang w:bidi="ar"/>
                    </w:rPr>
                  </w:pPr>
                  <w:r>
                    <w:rPr>
                      <w:rFonts w:hint="default" w:ascii="Times New Roman" w:hAnsi="Times New Roman" w:cs="Times New Roman"/>
                      <w:color w:val="auto"/>
                      <w:szCs w:val="21"/>
                      <w:u w:val="none" w:color="auto"/>
                      <w:lang w:val="en-US" w:eastAsia="zh-CN"/>
                    </w:rPr>
                    <w:t>镇平县项目西侧居民点</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77127259">
                  <w:pPr>
                    <w:jc w:val="center"/>
                    <w:rPr>
                      <w:rFonts w:hint="default" w:ascii="Times New Roman" w:hAnsi="Times New Roman" w:cs="Times New Roman"/>
                      <w:color w:val="auto"/>
                      <w:szCs w:val="21"/>
                      <w:u w:val="none" w:color="auto"/>
                      <w:lang w:bidi="ar"/>
                    </w:rPr>
                  </w:pPr>
                  <w:r>
                    <w:rPr>
                      <w:rFonts w:hint="eastAsia" w:cs="Times New Roman"/>
                      <w:color w:val="auto"/>
                      <w:szCs w:val="21"/>
                      <w:u w:val="none" w:color="auto"/>
                      <w:lang w:val="en-US" w:eastAsia="zh-CN"/>
                    </w:rPr>
                    <w:t>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0E517DC0">
                  <w:pPr>
                    <w:jc w:val="center"/>
                    <w:rPr>
                      <w:rFonts w:hint="default" w:ascii="Times New Roman" w:hAnsi="Times New Roman" w:cs="Times New Roman"/>
                      <w:color w:val="auto"/>
                      <w:szCs w:val="21"/>
                      <w:u w:val="none" w:color="auto"/>
                      <w:lang w:bidi="ar"/>
                    </w:rPr>
                  </w:pPr>
                  <w:r>
                    <w:rPr>
                      <w:rFonts w:hint="eastAsia" w:cs="Times New Roman"/>
                      <w:color w:val="auto"/>
                      <w:szCs w:val="21"/>
                      <w:u w:val="none" w:color="auto"/>
                      <w:lang w:val="en-US" w:eastAsia="zh-CN"/>
                    </w:rPr>
                    <w:t>24m</w:t>
                  </w:r>
                </w:p>
              </w:tc>
              <w:tc>
                <w:tcPr>
                  <w:tcW w:w="1359" w:type="pct"/>
                  <w:vMerge w:val="restart"/>
                  <w:tcBorders>
                    <w:top w:val="single" w:color="auto" w:sz="4" w:space="0"/>
                    <w:left w:val="single" w:color="auto" w:sz="4" w:space="0"/>
                    <w:right w:val="single" w:color="auto" w:sz="4" w:space="0"/>
                  </w:tcBorders>
                  <w:noWrap w:val="0"/>
                  <w:vAlign w:val="center"/>
                </w:tcPr>
                <w:p w14:paraId="504C7764">
                  <w:pPr>
                    <w:jc w:val="center"/>
                    <w:rPr>
                      <w:rFonts w:hint="default" w:ascii="Times New Roman" w:hAnsi="Times New Roman" w:cs="Times New Roman"/>
                      <w:color w:val="auto"/>
                      <w:szCs w:val="21"/>
                      <w:u w:val="none" w:color="auto"/>
                      <w:lang w:bidi="ar"/>
                    </w:rPr>
                  </w:pPr>
                  <w:r>
                    <w:rPr>
                      <w:rFonts w:hint="default" w:ascii="Times New Roman" w:hAnsi="Times New Roman" w:cs="Times New Roman"/>
                      <w:color w:val="auto"/>
                      <w:szCs w:val="21"/>
                      <w:u w:val="none" w:color="auto"/>
                      <w:lang w:bidi="ar"/>
                    </w:rPr>
                    <w:t>《声环境质量标准》（GB3096-2008）中2类区标准要求</w:t>
                  </w:r>
                </w:p>
              </w:tc>
            </w:tr>
            <w:tr w14:paraId="64C66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right w:val="single" w:color="auto" w:sz="4" w:space="0"/>
                  </w:tcBorders>
                  <w:noWrap w:val="0"/>
                  <w:vAlign w:val="center"/>
                </w:tcPr>
                <w:p w14:paraId="31D88352">
                  <w:pPr>
                    <w:jc w:val="center"/>
                    <w:rPr>
                      <w:rFonts w:hint="default" w:ascii="Times New Roman" w:hAnsi="Times New Roman" w:cs="Times New Roman"/>
                      <w:color w:val="auto"/>
                      <w:szCs w:val="21"/>
                      <w:u w:val="none" w:color="auto"/>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7EBEB3BD">
                  <w:pPr>
                    <w:jc w:val="center"/>
                    <w:rPr>
                      <w:rFonts w:hint="default" w:ascii="Times New Roman" w:hAnsi="Times New Roman" w:cs="Times New Roman"/>
                      <w:color w:val="auto"/>
                      <w:szCs w:val="21"/>
                      <w:u w:val="none" w:color="auto"/>
                      <w:lang w:bidi="ar"/>
                    </w:rPr>
                  </w:pPr>
                  <w:r>
                    <w:rPr>
                      <w:rFonts w:hint="default" w:ascii="Times New Roman" w:hAnsi="Times New Roman" w:cs="Times New Roman"/>
                      <w:color w:val="auto"/>
                      <w:szCs w:val="21"/>
                      <w:u w:val="none" w:color="auto"/>
                      <w:lang w:val="en-US" w:eastAsia="zh-CN"/>
                    </w:rPr>
                    <w:t>镇平县项目北侧居民点</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596D3E6F">
                  <w:pPr>
                    <w:jc w:val="center"/>
                    <w:rPr>
                      <w:rFonts w:hint="default" w:ascii="Times New Roman" w:hAnsi="Times New Roman" w:cs="Times New Roman"/>
                      <w:color w:val="auto"/>
                      <w:szCs w:val="21"/>
                      <w:u w:val="none" w:color="auto"/>
                    </w:rPr>
                  </w:pPr>
                  <w:r>
                    <w:rPr>
                      <w:rFonts w:hint="eastAsia" w:cs="Times New Roman"/>
                      <w:color w:val="auto"/>
                      <w:szCs w:val="21"/>
                      <w:u w:val="none" w:color="auto"/>
                      <w:lang w:val="en-US" w:eastAsia="zh-CN"/>
                    </w:rPr>
                    <w:t>N</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0ECD8FCD">
                  <w:pPr>
                    <w:jc w:val="center"/>
                    <w:rPr>
                      <w:rFonts w:hint="default" w:ascii="Times New Roman" w:hAnsi="Times New Roman" w:cs="Times New Roman"/>
                      <w:color w:val="auto"/>
                      <w:szCs w:val="21"/>
                      <w:u w:val="none" w:color="auto"/>
                    </w:rPr>
                  </w:pPr>
                  <w:r>
                    <w:rPr>
                      <w:rFonts w:hint="eastAsia" w:cs="Times New Roman"/>
                      <w:color w:val="auto"/>
                      <w:szCs w:val="21"/>
                      <w:u w:val="none" w:color="auto"/>
                      <w:lang w:val="en-US" w:eastAsia="zh-CN"/>
                    </w:rPr>
                    <w:t>5m</w:t>
                  </w:r>
                </w:p>
              </w:tc>
              <w:tc>
                <w:tcPr>
                  <w:tcW w:w="1359" w:type="pct"/>
                  <w:vMerge w:val="continue"/>
                  <w:tcBorders>
                    <w:left w:val="single" w:color="auto" w:sz="4" w:space="0"/>
                    <w:right w:val="single" w:color="auto" w:sz="4" w:space="0"/>
                  </w:tcBorders>
                  <w:noWrap w:val="0"/>
                  <w:vAlign w:val="center"/>
                </w:tcPr>
                <w:p w14:paraId="593684EC">
                  <w:pPr>
                    <w:jc w:val="center"/>
                    <w:rPr>
                      <w:rFonts w:hint="default" w:ascii="Times New Roman" w:hAnsi="Times New Roman" w:cs="Times New Roman"/>
                      <w:color w:val="auto"/>
                      <w:szCs w:val="21"/>
                      <w:u w:val="none" w:color="auto"/>
                      <w:lang w:bidi="ar"/>
                    </w:rPr>
                  </w:pPr>
                </w:p>
              </w:tc>
            </w:tr>
            <w:tr w14:paraId="07AE7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bottom w:val="single" w:color="auto" w:sz="4" w:space="0"/>
                    <w:right w:val="single" w:color="auto" w:sz="4" w:space="0"/>
                  </w:tcBorders>
                  <w:noWrap w:val="0"/>
                  <w:vAlign w:val="center"/>
                </w:tcPr>
                <w:p w14:paraId="6F9074E7">
                  <w:pPr>
                    <w:jc w:val="center"/>
                    <w:rPr>
                      <w:rFonts w:hint="default" w:ascii="Times New Roman" w:hAnsi="Times New Roman" w:cs="Times New Roman"/>
                      <w:color w:val="auto"/>
                      <w:szCs w:val="21"/>
                      <w:u w:val="none" w:color="auto"/>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424498ED">
                  <w:pPr>
                    <w:jc w:val="center"/>
                    <w:rPr>
                      <w:rFonts w:hint="default" w:ascii="Times New Roman" w:hAnsi="Times New Roman" w:cs="Times New Roman"/>
                      <w:color w:val="auto"/>
                      <w:szCs w:val="21"/>
                      <w:u w:val="none" w:color="auto"/>
                      <w:lang w:bidi="ar"/>
                    </w:rPr>
                  </w:pPr>
                  <w:r>
                    <w:rPr>
                      <w:rFonts w:hint="default" w:ascii="Times New Roman" w:hAnsi="Times New Roman" w:cs="Times New Roman"/>
                      <w:color w:val="auto"/>
                      <w:szCs w:val="21"/>
                      <w:u w:val="none" w:color="auto"/>
                      <w:lang w:val="en-US" w:eastAsia="zh-CN"/>
                    </w:rPr>
                    <w:t>镇平县项目南侧居民点</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07670207">
                  <w:pPr>
                    <w:jc w:val="center"/>
                    <w:rPr>
                      <w:rFonts w:hint="default" w:ascii="Times New Roman" w:hAnsi="Times New Roman" w:cs="Times New Roman"/>
                      <w:color w:val="auto"/>
                      <w:szCs w:val="21"/>
                      <w:u w:val="none" w:color="auto"/>
                    </w:rPr>
                  </w:pPr>
                  <w:r>
                    <w:rPr>
                      <w:rFonts w:hint="eastAsia" w:cs="Times New Roman"/>
                      <w:color w:val="auto"/>
                      <w:szCs w:val="21"/>
                      <w:u w:val="none" w:color="auto"/>
                      <w:lang w:val="en-US" w:eastAsia="zh-CN"/>
                    </w:rPr>
                    <w:t>S</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3B4D8EB9">
                  <w:pPr>
                    <w:jc w:val="center"/>
                    <w:rPr>
                      <w:rFonts w:hint="default" w:ascii="Times New Roman" w:hAnsi="Times New Roman" w:cs="Times New Roman"/>
                      <w:color w:val="auto"/>
                      <w:szCs w:val="21"/>
                      <w:u w:val="none" w:color="auto"/>
                    </w:rPr>
                  </w:pPr>
                  <w:r>
                    <w:rPr>
                      <w:rFonts w:hint="eastAsia" w:cs="Times New Roman"/>
                      <w:color w:val="auto"/>
                      <w:szCs w:val="21"/>
                      <w:u w:val="none" w:color="auto"/>
                      <w:lang w:val="en-US" w:eastAsia="zh-CN"/>
                    </w:rPr>
                    <w:t>3m</w:t>
                  </w:r>
                </w:p>
              </w:tc>
              <w:tc>
                <w:tcPr>
                  <w:tcW w:w="1359" w:type="pct"/>
                  <w:vMerge w:val="continue"/>
                  <w:tcBorders>
                    <w:left w:val="single" w:color="auto" w:sz="4" w:space="0"/>
                    <w:bottom w:val="single" w:color="auto" w:sz="4" w:space="0"/>
                    <w:right w:val="single" w:color="auto" w:sz="4" w:space="0"/>
                  </w:tcBorders>
                  <w:noWrap w:val="0"/>
                  <w:vAlign w:val="center"/>
                </w:tcPr>
                <w:p w14:paraId="25A754A8">
                  <w:pPr>
                    <w:jc w:val="center"/>
                    <w:rPr>
                      <w:rFonts w:hint="default" w:ascii="Times New Roman" w:hAnsi="Times New Roman" w:cs="Times New Roman"/>
                      <w:color w:val="auto"/>
                      <w:szCs w:val="21"/>
                      <w:u w:val="none" w:color="auto"/>
                      <w:lang w:bidi="ar"/>
                    </w:rPr>
                  </w:pPr>
                </w:p>
              </w:tc>
            </w:tr>
            <w:tr w14:paraId="278A7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restart"/>
                  <w:tcBorders>
                    <w:top w:val="single" w:color="auto" w:sz="4" w:space="0"/>
                    <w:left w:val="single" w:color="auto" w:sz="4" w:space="0"/>
                    <w:right w:val="single" w:color="auto" w:sz="4" w:space="0"/>
                  </w:tcBorders>
                  <w:noWrap w:val="0"/>
                  <w:vAlign w:val="center"/>
                </w:tcPr>
                <w:p w14:paraId="2F8FCCC9">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地表水</w:t>
                  </w:r>
                </w:p>
              </w:tc>
              <w:tc>
                <w:tcPr>
                  <w:tcW w:w="1021" w:type="pct"/>
                  <w:tcBorders>
                    <w:top w:val="single" w:color="auto" w:sz="4" w:space="0"/>
                    <w:left w:val="single" w:color="auto" w:sz="4" w:space="0"/>
                    <w:bottom w:val="single" w:color="auto" w:sz="4" w:space="0"/>
                    <w:right w:val="single" w:color="auto" w:sz="4" w:space="0"/>
                  </w:tcBorders>
                  <w:noWrap w:val="0"/>
                  <w:vAlign w:val="center"/>
                </w:tcPr>
                <w:p w14:paraId="16D12869">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三里河</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529AD08E">
                  <w:pPr>
                    <w:jc w:val="center"/>
                    <w:rPr>
                      <w:rFonts w:hint="eastAsia"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E</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746D4542">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276m</w:t>
                  </w:r>
                </w:p>
              </w:tc>
              <w:tc>
                <w:tcPr>
                  <w:tcW w:w="1359" w:type="pct"/>
                  <w:vMerge w:val="restart"/>
                  <w:tcBorders>
                    <w:top w:val="single" w:color="auto" w:sz="4" w:space="0"/>
                    <w:left w:val="single" w:color="auto" w:sz="4" w:space="0"/>
                    <w:right w:val="single" w:color="auto" w:sz="4" w:space="0"/>
                  </w:tcBorders>
                  <w:noWrap w:val="0"/>
                  <w:vAlign w:val="center"/>
                </w:tcPr>
                <w:p w14:paraId="63F8CAD4">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《地表水环境质量标准》（GB 3838-2002）中Ⅲ类水质标准</w:t>
                  </w:r>
                </w:p>
              </w:tc>
            </w:tr>
            <w:tr w14:paraId="38BB9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right w:val="single" w:color="auto" w:sz="4" w:space="0"/>
                  </w:tcBorders>
                  <w:noWrap w:val="0"/>
                  <w:vAlign w:val="center"/>
                </w:tcPr>
                <w:p w14:paraId="7D9B8145">
                  <w:pPr>
                    <w:jc w:val="center"/>
                    <w:rPr>
                      <w:rFonts w:hint="default" w:ascii="Times New Roman" w:hAnsi="Times New Roman" w:cs="Times New Roman"/>
                      <w:color w:val="auto"/>
                      <w:szCs w:val="21"/>
                      <w:u w:val="none" w:color="auto"/>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69FAA834">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西三里河</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4A316096">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SW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2B64AF56">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1.6km</w:t>
                  </w:r>
                </w:p>
              </w:tc>
              <w:tc>
                <w:tcPr>
                  <w:tcW w:w="1359" w:type="pct"/>
                  <w:vMerge w:val="continue"/>
                  <w:tcBorders>
                    <w:left w:val="single" w:color="auto" w:sz="4" w:space="0"/>
                    <w:right w:val="single" w:color="auto" w:sz="4" w:space="0"/>
                  </w:tcBorders>
                  <w:noWrap w:val="0"/>
                  <w:vAlign w:val="center"/>
                </w:tcPr>
                <w:p w14:paraId="34AAFE18">
                  <w:pPr>
                    <w:jc w:val="center"/>
                    <w:rPr>
                      <w:rFonts w:hint="default" w:ascii="Times New Roman" w:hAnsi="Times New Roman" w:cs="Times New Roman"/>
                      <w:color w:val="auto"/>
                      <w:szCs w:val="21"/>
                      <w:u w:val="none" w:color="auto"/>
                    </w:rPr>
                  </w:pPr>
                </w:p>
              </w:tc>
            </w:tr>
            <w:tr w14:paraId="37100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right w:val="single" w:color="auto" w:sz="4" w:space="0"/>
                  </w:tcBorders>
                  <w:noWrap w:val="0"/>
                  <w:vAlign w:val="center"/>
                </w:tcPr>
                <w:p w14:paraId="292FEA8C">
                  <w:pPr>
                    <w:jc w:val="center"/>
                    <w:rPr>
                      <w:rFonts w:hint="default" w:ascii="Times New Roman" w:hAnsi="Times New Roman" w:cs="Times New Roman"/>
                      <w:color w:val="auto"/>
                      <w:szCs w:val="21"/>
                      <w:u w:val="none" w:color="auto"/>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21B493F7">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淇河</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7B3AB78F">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SW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4874E527">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2km</w:t>
                  </w:r>
                </w:p>
              </w:tc>
              <w:tc>
                <w:tcPr>
                  <w:tcW w:w="1359" w:type="pct"/>
                  <w:vMerge w:val="continue"/>
                  <w:tcBorders>
                    <w:left w:val="single" w:color="auto" w:sz="4" w:space="0"/>
                    <w:right w:val="single" w:color="auto" w:sz="4" w:space="0"/>
                  </w:tcBorders>
                  <w:noWrap w:val="0"/>
                  <w:vAlign w:val="center"/>
                </w:tcPr>
                <w:p w14:paraId="3A90FB66">
                  <w:pPr>
                    <w:jc w:val="center"/>
                    <w:rPr>
                      <w:rFonts w:hint="default" w:ascii="Times New Roman" w:hAnsi="Times New Roman" w:cs="Times New Roman"/>
                      <w:color w:val="auto"/>
                      <w:szCs w:val="21"/>
                      <w:u w:val="none" w:color="auto"/>
                    </w:rPr>
                  </w:pPr>
                </w:p>
              </w:tc>
            </w:tr>
            <w:tr w14:paraId="240A4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right w:val="single" w:color="auto" w:sz="4" w:space="0"/>
                  </w:tcBorders>
                  <w:noWrap w:val="0"/>
                  <w:vAlign w:val="center"/>
                </w:tcPr>
                <w:p w14:paraId="0781C874">
                  <w:pPr>
                    <w:jc w:val="center"/>
                    <w:rPr>
                      <w:rFonts w:hint="default" w:ascii="Times New Roman" w:hAnsi="Times New Roman" w:cs="Times New Roman"/>
                      <w:color w:val="auto"/>
                      <w:szCs w:val="21"/>
                      <w:u w:val="none" w:color="auto"/>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683C5315">
                  <w:pPr>
                    <w:jc w:val="center"/>
                    <w:rPr>
                      <w:rFonts w:hint="eastAsia" w:ascii="Times New Roman" w:hAnsi="Times New Roman" w:eastAsia="宋体" w:cs="Times New Roman"/>
                      <w:color w:val="auto"/>
                      <w:szCs w:val="21"/>
                      <w:u w:val="none" w:color="auto"/>
                      <w:lang w:eastAsia="zh-CN"/>
                    </w:rPr>
                  </w:pPr>
                  <w:r>
                    <w:rPr>
                      <w:rFonts w:hint="eastAsia" w:cs="Times New Roman"/>
                      <w:color w:val="auto"/>
                      <w:szCs w:val="21"/>
                      <w:u w:val="none" w:color="auto"/>
                      <w:lang w:val="en-US" w:eastAsia="zh-CN"/>
                    </w:rPr>
                    <w:t>赵河</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304126A9">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SW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711CDE21">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9.8km</w:t>
                  </w:r>
                </w:p>
              </w:tc>
              <w:tc>
                <w:tcPr>
                  <w:tcW w:w="1359" w:type="pct"/>
                  <w:vMerge w:val="continue"/>
                  <w:tcBorders>
                    <w:left w:val="single" w:color="auto" w:sz="4" w:space="0"/>
                    <w:right w:val="single" w:color="auto" w:sz="4" w:space="0"/>
                  </w:tcBorders>
                  <w:noWrap w:val="0"/>
                  <w:vAlign w:val="center"/>
                </w:tcPr>
                <w:p w14:paraId="76E13147">
                  <w:pPr>
                    <w:jc w:val="center"/>
                    <w:rPr>
                      <w:rFonts w:hint="default" w:ascii="Times New Roman" w:hAnsi="Times New Roman" w:cs="Times New Roman"/>
                      <w:color w:val="auto"/>
                      <w:szCs w:val="21"/>
                      <w:u w:val="none" w:color="auto"/>
                    </w:rPr>
                  </w:pPr>
                </w:p>
              </w:tc>
            </w:tr>
            <w:tr w14:paraId="1BC08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tcBorders>
                    <w:top w:val="single" w:color="auto" w:sz="4" w:space="0"/>
                    <w:left w:val="single" w:color="auto" w:sz="4" w:space="0"/>
                    <w:bottom w:val="single" w:color="auto" w:sz="4" w:space="0"/>
                    <w:right w:val="single" w:color="auto" w:sz="4" w:space="0"/>
                  </w:tcBorders>
                  <w:noWrap w:val="0"/>
                  <w:vAlign w:val="center"/>
                </w:tcPr>
                <w:p w14:paraId="05402A9D">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地下水</w:t>
                  </w:r>
                </w:p>
              </w:tc>
              <w:tc>
                <w:tcPr>
                  <w:tcW w:w="4330" w:type="pct"/>
                  <w:gridSpan w:val="4"/>
                  <w:tcBorders>
                    <w:top w:val="single" w:color="auto" w:sz="4" w:space="0"/>
                    <w:left w:val="single" w:color="auto" w:sz="4" w:space="0"/>
                    <w:bottom w:val="single" w:color="auto" w:sz="4" w:space="0"/>
                    <w:right w:val="single" w:color="auto" w:sz="4" w:space="0"/>
                  </w:tcBorders>
                  <w:noWrap w:val="0"/>
                  <w:vAlign w:val="center"/>
                </w:tcPr>
                <w:p w14:paraId="2D364DC3">
                  <w:pPr>
                    <w:jc w:val="center"/>
                    <w:rPr>
                      <w:rFonts w:hint="default" w:ascii="Times New Roman" w:hAnsi="Times New Roman" w:cs="Times New Roman"/>
                      <w:color w:val="auto"/>
                      <w:szCs w:val="21"/>
                      <w:u w:val="none" w:color="auto"/>
                    </w:rPr>
                  </w:pPr>
                  <w:r>
                    <w:rPr>
                      <w:rFonts w:hint="eastAsia" w:cs="Times New Roman"/>
                      <w:color w:val="auto"/>
                      <w:szCs w:val="21"/>
                      <w:u w:val="none" w:color="auto"/>
                      <w:lang w:eastAsia="zh-CN" w:bidi="ar"/>
                    </w:rPr>
                    <w:t>校界</w:t>
                  </w:r>
                  <w:r>
                    <w:rPr>
                      <w:rFonts w:hint="default" w:ascii="Times New Roman" w:hAnsi="Times New Roman" w:cs="Times New Roman"/>
                      <w:color w:val="auto"/>
                      <w:szCs w:val="21"/>
                      <w:u w:val="none" w:color="auto"/>
                      <w:lang w:bidi="ar"/>
                    </w:rPr>
                    <w:t>外500m范围内无地下水集中式饮用水水源及特殊地水资源</w:t>
                  </w:r>
                </w:p>
              </w:tc>
            </w:tr>
            <w:tr w14:paraId="08F6A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tcBorders>
                    <w:top w:val="single" w:color="auto" w:sz="4" w:space="0"/>
                    <w:left w:val="single" w:color="auto" w:sz="4" w:space="0"/>
                    <w:bottom w:val="single" w:color="auto" w:sz="4" w:space="0"/>
                    <w:right w:val="single" w:color="auto" w:sz="4" w:space="0"/>
                  </w:tcBorders>
                  <w:noWrap w:val="0"/>
                  <w:vAlign w:val="center"/>
                </w:tcPr>
                <w:p w14:paraId="75486F84">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生态环境</w:t>
                  </w:r>
                </w:p>
              </w:tc>
              <w:tc>
                <w:tcPr>
                  <w:tcW w:w="4330" w:type="pct"/>
                  <w:gridSpan w:val="4"/>
                  <w:tcBorders>
                    <w:top w:val="single" w:color="auto" w:sz="4" w:space="0"/>
                    <w:left w:val="single" w:color="auto" w:sz="4" w:space="0"/>
                    <w:bottom w:val="single" w:color="auto" w:sz="4" w:space="0"/>
                    <w:right w:val="single" w:color="auto" w:sz="4" w:space="0"/>
                  </w:tcBorders>
                  <w:noWrap w:val="0"/>
                  <w:vAlign w:val="center"/>
                </w:tcPr>
                <w:p w14:paraId="14419689">
                  <w:pPr>
                    <w:jc w:val="center"/>
                    <w:rPr>
                      <w:rFonts w:hint="default" w:ascii="Times New Roman" w:hAnsi="Times New Roman" w:cs="Times New Roman"/>
                      <w:color w:val="auto"/>
                      <w:szCs w:val="21"/>
                      <w:u w:val="none" w:color="auto"/>
                      <w:lang w:bidi="ar"/>
                    </w:rPr>
                  </w:pPr>
                  <w:r>
                    <w:rPr>
                      <w:rFonts w:hint="default" w:ascii="Times New Roman" w:hAnsi="Times New Roman" w:cs="Times New Roman"/>
                      <w:color w:val="auto"/>
                      <w:szCs w:val="21"/>
                      <w:u w:val="none" w:color="auto"/>
                      <w:lang w:val="en-GB" w:bidi="ar"/>
                    </w:rPr>
                    <w:t>项目用地范围内无生态环境保护目标</w:t>
                  </w:r>
                </w:p>
              </w:tc>
            </w:tr>
          </w:tbl>
          <w:p w14:paraId="40F0925B">
            <w:pPr>
              <w:adjustRightInd w:val="0"/>
              <w:snapToGrid w:val="0"/>
              <w:spacing w:line="360" w:lineRule="auto"/>
              <w:rPr>
                <w:rFonts w:hint="default" w:ascii="Times New Roman" w:hAnsi="Times New Roman" w:cs="Times New Roman"/>
                <w:color w:val="auto"/>
                <w:kern w:val="0"/>
                <w:sz w:val="24"/>
                <w:highlight w:val="none"/>
                <w:u w:val="none" w:color="auto"/>
              </w:rPr>
            </w:pPr>
          </w:p>
        </w:tc>
      </w:tr>
      <w:tr w14:paraId="52E438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6" w:type="pct"/>
            <w:noWrap w:val="0"/>
            <w:tcMar>
              <w:left w:w="28" w:type="dxa"/>
              <w:right w:w="28" w:type="dxa"/>
            </w:tcMar>
            <w:vAlign w:val="center"/>
          </w:tcPr>
          <w:p w14:paraId="546567D8">
            <w:pPr>
              <w:adjustRightInd w:val="0"/>
              <w:snapToGrid w:val="0"/>
              <w:jc w:val="center"/>
              <w:rPr>
                <w:rFonts w:hint="default" w:ascii="Times New Roman" w:hAnsi="Times New Roman" w:cs="Times New Roman"/>
                <w:color w:val="auto"/>
                <w:kern w:val="0"/>
                <w:sz w:val="24"/>
                <w:highlight w:val="none"/>
                <w:u w:val="none" w:color="auto"/>
              </w:rPr>
            </w:pPr>
            <w:r>
              <w:rPr>
                <w:rFonts w:hint="default" w:ascii="Times New Roman" w:hAnsi="Times New Roman" w:cs="Times New Roman"/>
                <w:color w:val="auto"/>
                <w:kern w:val="0"/>
                <w:sz w:val="24"/>
                <w:highlight w:val="none"/>
                <w:u w:val="none" w:color="auto"/>
              </w:rPr>
              <w:t>污染</w:t>
            </w:r>
          </w:p>
          <w:p w14:paraId="75A5BBE3">
            <w:pPr>
              <w:adjustRightInd w:val="0"/>
              <w:snapToGrid w:val="0"/>
              <w:jc w:val="center"/>
              <w:rPr>
                <w:rFonts w:hint="default" w:ascii="Times New Roman" w:hAnsi="Times New Roman" w:cs="Times New Roman"/>
                <w:color w:val="auto"/>
                <w:kern w:val="0"/>
                <w:sz w:val="24"/>
                <w:highlight w:val="none"/>
                <w:u w:val="none" w:color="auto"/>
              </w:rPr>
            </w:pPr>
            <w:r>
              <w:rPr>
                <w:rFonts w:hint="default" w:ascii="Times New Roman" w:hAnsi="Times New Roman" w:cs="Times New Roman"/>
                <w:color w:val="auto"/>
                <w:kern w:val="0"/>
                <w:sz w:val="24"/>
                <w:highlight w:val="none"/>
                <w:u w:val="none" w:color="auto"/>
              </w:rPr>
              <w:t>物排</w:t>
            </w:r>
          </w:p>
          <w:p w14:paraId="75D084D8">
            <w:pPr>
              <w:adjustRightInd w:val="0"/>
              <w:snapToGrid w:val="0"/>
              <w:jc w:val="center"/>
              <w:rPr>
                <w:rFonts w:hint="default" w:ascii="Times New Roman" w:hAnsi="Times New Roman" w:cs="Times New Roman"/>
                <w:color w:val="auto"/>
                <w:kern w:val="0"/>
                <w:sz w:val="24"/>
                <w:highlight w:val="none"/>
                <w:u w:val="none" w:color="auto"/>
              </w:rPr>
            </w:pPr>
            <w:r>
              <w:rPr>
                <w:rFonts w:hint="default" w:ascii="Times New Roman" w:hAnsi="Times New Roman" w:cs="Times New Roman"/>
                <w:color w:val="auto"/>
                <w:kern w:val="0"/>
                <w:sz w:val="24"/>
                <w:highlight w:val="none"/>
                <w:u w:val="none" w:color="auto"/>
              </w:rPr>
              <w:t>放控</w:t>
            </w:r>
          </w:p>
          <w:p w14:paraId="597E842A">
            <w:pPr>
              <w:adjustRightInd w:val="0"/>
              <w:snapToGrid w:val="0"/>
              <w:jc w:val="center"/>
              <w:rPr>
                <w:rFonts w:hint="default" w:ascii="Times New Roman" w:hAnsi="Times New Roman" w:cs="Times New Roman"/>
                <w:color w:val="auto"/>
                <w:kern w:val="0"/>
                <w:sz w:val="24"/>
                <w:highlight w:val="none"/>
                <w:u w:val="none" w:color="auto"/>
              </w:rPr>
            </w:pPr>
            <w:r>
              <w:rPr>
                <w:rFonts w:hint="default" w:ascii="Times New Roman" w:hAnsi="Times New Roman" w:cs="Times New Roman"/>
                <w:color w:val="auto"/>
                <w:kern w:val="0"/>
                <w:sz w:val="24"/>
                <w:highlight w:val="none"/>
                <w:u w:val="none" w:color="auto"/>
              </w:rPr>
              <w:t>制标</w:t>
            </w:r>
          </w:p>
          <w:p w14:paraId="2292EE4E">
            <w:pPr>
              <w:adjustRightInd w:val="0"/>
              <w:snapToGrid w:val="0"/>
              <w:jc w:val="center"/>
              <w:rPr>
                <w:rFonts w:hint="default" w:ascii="Times New Roman" w:hAnsi="Times New Roman" w:cs="Times New Roman"/>
                <w:color w:val="auto"/>
                <w:kern w:val="0"/>
                <w:sz w:val="24"/>
                <w:highlight w:val="none"/>
                <w:u w:val="none" w:color="auto"/>
              </w:rPr>
            </w:pPr>
            <w:r>
              <w:rPr>
                <w:rFonts w:hint="default" w:ascii="Times New Roman" w:hAnsi="Times New Roman" w:cs="Times New Roman"/>
                <w:color w:val="auto"/>
                <w:kern w:val="0"/>
                <w:sz w:val="24"/>
                <w:highlight w:val="none"/>
                <w:u w:val="none" w:color="auto"/>
              </w:rPr>
              <w:t>准</w:t>
            </w:r>
          </w:p>
        </w:tc>
        <w:tc>
          <w:tcPr>
            <w:tcW w:w="4613" w:type="pct"/>
            <w:noWrap w:val="0"/>
            <w:vAlign w:val="center"/>
          </w:tcPr>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73"/>
              <w:gridCol w:w="2407"/>
              <w:gridCol w:w="974"/>
              <w:gridCol w:w="2471"/>
            </w:tblGrid>
            <w:tr w14:paraId="48128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Align w:val="center"/>
                </w:tcPr>
                <w:p w14:paraId="439174B8">
                  <w:pPr>
                    <w:adjustRightInd w:val="0"/>
                    <w:snapToGrid w:val="0"/>
                    <w:jc w:val="center"/>
                    <w:rPr>
                      <w:color w:val="auto"/>
                      <w:szCs w:val="21"/>
                      <w:u w:val="none" w:color="auto"/>
                    </w:rPr>
                  </w:pPr>
                  <w:r>
                    <w:rPr>
                      <w:color w:val="auto"/>
                      <w:szCs w:val="21"/>
                      <w:u w:val="none" w:color="auto"/>
                    </w:rPr>
                    <w:t>类别</w:t>
                  </w:r>
                </w:p>
              </w:tc>
              <w:tc>
                <w:tcPr>
                  <w:tcW w:w="1463" w:type="pct"/>
                  <w:vAlign w:val="center"/>
                </w:tcPr>
                <w:p w14:paraId="05E0D73F">
                  <w:pPr>
                    <w:adjustRightInd w:val="0"/>
                    <w:snapToGrid w:val="0"/>
                    <w:jc w:val="center"/>
                    <w:rPr>
                      <w:color w:val="auto"/>
                      <w:szCs w:val="21"/>
                      <w:u w:val="none" w:color="auto"/>
                    </w:rPr>
                  </w:pPr>
                  <w:r>
                    <w:rPr>
                      <w:color w:val="auto"/>
                      <w:szCs w:val="21"/>
                      <w:u w:val="none" w:color="auto"/>
                    </w:rPr>
                    <w:t>执行标准</w:t>
                  </w:r>
                </w:p>
              </w:tc>
              <w:tc>
                <w:tcPr>
                  <w:tcW w:w="2094" w:type="pct"/>
                  <w:gridSpan w:val="2"/>
                  <w:vAlign w:val="center"/>
                </w:tcPr>
                <w:p w14:paraId="33554FE3">
                  <w:pPr>
                    <w:adjustRightInd w:val="0"/>
                    <w:snapToGrid w:val="0"/>
                    <w:jc w:val="center"/>
                    <w:rPr>
                      <w:color w:val="auto"/>
                      <w:szCs w:val="21"/>
                      <w:u w:val="none" w:color="auto"/>
                    </w:rPr>
                  </w:pPr>
                  <w:r>
                    <w:rPr>
                      <w:color w:val="auto"/>
                      <w:szCs w:val="21"/>
                      <w:u w:val="none" w:color="auto"/>
                    </w:rPr>
                    <w:t>标准值</w:t>
                  </w:r>
                </w:p>
              </w:tc>
            </w:tr>
            <w:tr w14:paraId="3D2D5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Merge w:val="restart"/>
                  <w:vAlign w:val="center"/>
                </w:tcPr>
                <w:p w14:paraId="3CB947FE">
                  <w:pPr>
                    <w:adjustRightInd w:val="0"/>
                    <w:snapToGrid w:val="0"/>
                    <w:jc w:val="center"/>
                    <w:rPr>
                      <w:color w:val="auto"/>
                      <w:szCs w:val="21"/>
                      <w:u w:val="none" w:color="auto"/>
                    </w:rPr>
                  </w:pPr>
                  <w:r>
                    <w:rPr>
                      <w:color w:val="auto"/>
                      <w:szCs w:val="21"/>
                      <w:u w:val="none" w:color="auto"/>
                    </w:rPr>
                    <w:t>废气</w:t>
                  </w:r>
                </w:p>
              </w:tc>
              <w:tc>
                <w:tcPr>
                  <w:tcW w:w="1463" w:type="pct"/>
                  <w:vMerge w:val="restart"/>
                  <w:vAlign w:val="center"/>
                </w:tcPr>
                <w:p w14:paraId="573F5DF4">
                  <w:pPr>
                    <w:adjustRightInd w:val="0"/>
                    <w:snapToGrid w:val="0"/>
                    <w:jc w:val="center"/>
                    <w:rPr>
                      <w:color w:val="auto"/>
                      <w:szCs w:val="21"/>
                      <w:u w:val="none" w:color="auto"/>
                    </w:rPr>
                  </w:pPr>
                  <w:r>
                    <w:rPr>
                      <w:color w:val="auto"/>
                      <w:szCs w:val="21"/>
                      <w:u w:val="none" w:color="auto"/>
                    </w:rPr>
                    <w:t>《大气污染物综合排放标准》（GB16297-1996）表2中二级标准</w:t>
                  </w:r>
                </w:p>
              </w:tc>
              <w:tc>
                <w:tcPr>
                  <w:tcW w:w="592" w:type="pct"/>
                  <w:vMerge w:val="restart"/>
                  <w:vAlign w:val="center"/>
                </w:tcPr>
                <w:p w14:paraId="1A37702E">
                  <w:pPr>
                    <w:pStyle w:val="171"/>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氯化</w:t>
                  </w:r>
                </w:p>
                <w:p w14:paraId="67B150FE">
                  <w:pPr>
                    <w:pStyle w:val="171"/>
                    <w:adjustRightInd w:val="0"/>
                    <w:snapToGrid w:val="0"/>
                    <w:jc w:val="center"/>
                    <w:rPr>
                      <w:color w:val="auto"/>
                      <w:szCs w:val="21"/>
                      <w:u w:val="none" w:color="auto"/>
                    </w:rPr>
                  </w:pPr>
                  <w:r>
                    <w:rPr>
                      <w:rFonts w:hint="default" w:ascii="Times New Roman" w:hAnsi="Times New Roman" w:cs="Times New Roman"/>
                      <w:color w:val="auto"/>
                      <w:szCs w:val="21"/>
                      <w:highlight w:val="none"/>
                      <w:u w:val="none" w:color="auto"/>
                    </w:rPr>
                    <w:t>氢</w:t>
                  </w:r>
                </w:p>
              </w:tc>
              <w:tc>
                <w:tcPr>
                  <w:tcW w:w="1502" w:type="pct"/>
                  <w:vAlign w:val="center"/>
                </w:tcPr>
                <w:p w14:paraId="397B3575">
                  <w:pPr>
                    <w:jc w:val="center"/>
                    <w:rPr>
                      <w:color w:val="auto"/>
                      <w:szCs w:val="21"/>
                      <w:u w:val="none" w:color="auto"/>
                    </w:rPr>
                  </w:pPr>
                  <w:r>
                    <w:rPr>
                      <w:color w:val="auto"/>
                      <w:szCs w:val="21"/>
                      <w:u w:val="none" w:color="auto"/>
                    </w:rPr>
                    <w:t>最高允许排放浓度</w:t>
                  </w:r>
                  <w:r>
                    <w:rPr>
                      <w:rFonts w:hint="eastAsia"/>
                      <w:color w:val="auto"/>
                      <w:szCs w:val="21"/>
                      <w:u w:val="none" w:color="auto"/>
                      <w:lang w:val="en-US" w:eastAsia="zh-CN"/>
                    </w:rPr>
                    <w:t>100</w:t>
                  </w:r>
                  <w:r>
                    <w:rPr>
                      <w:color w:val="auto"/>
                      <w:szCs w:val="21"/>
                      <w:u w:val="none" w:color="auto"/>
                    </w:rPr>
                    <w:t>mg/m</w:t>
                  </w:r>
                  <w:r>
                    <w:rPr>
                      <w:color w:val="auto"/>
                      <w:szCs w:val="21"/>
                      <w:u w:val="none" w:color="auto"/>
                      <w:vertAlign w:val="superscript"/>
                    </w:rPr>
                    <w:t>3</w:t>
                  </w:r>
                  <w:r>
                    <w:rPr>
                      <w:color w:val="auto"/>
                      <w:szCs w:val="21"/>
                      <w:u w:val="none" w:color="auto"/>
                    </w:rPr>
                    <w:t>，排气筒高度为20m时，最高允许排放速率</w:t>
                  </w:r>
                  <w:r>
                    <w:rPr>
                      <w:rFonts w:hint="eastAsia"/>
                      <w:color w:val="auto"/>
                      <w:szCs w:val="21"/>
                      <w:u w:val="none" w:color="auto"/>
                      <w:lang w:val="en-US" w:eastAsia="zh-CN"/>
                    </w:rPr>
                    <w:t>0.43</w:t>
                  </w:r>
                  <w:r>
                    <w:rPr>
                      <w:color w:val="auto"/>
                      <w:szCs w:val="21"/>
                      <w:u w:val="none" w:color="auto"/>
                    </w:rPr>
                    <w:t>kg/h</w:t>
                  </w:r>
                </w:p>
              </w:tc>
            </w:tr>
            <w:tr w14:paraId="5853F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Merge w:val="continue"/>
                  <w:vAlign w:val="center"/>
                </w:tcPr>
                <w:p w14:paraId="797A7D70">
                  <w:pPr>
                    <w:adjustRightInd w:val="0"/>
                    <w:snapToGrid w:val="0"/>
                    <w:jc w:val="center"/>
                    <w:rPr>
                      <w:color w:val="auto"/>
                      <w:szCs w:val="21"/>
                      <w:u w:val="none" w:color="auto"/>
                    </w:rPr>
                  </w:pPr>
                </w:p>
              </w:tc>
              <w:tc>
                <w:tcPr>
                  <w:tcW w:w="1463" w:type="pct"/>
                  <w:vMerge w:val="continue"/>
                  <w:vAlign w:val="center"/>
                </w:tcPr>
                <w:p w14:paraId="06C196F6">
                  <w:pPr>
                    <w:adjustRightInd w:val="0"/>
                    <w:snapToGrid w:val="0"/>
                    <w:jc w:val="center"/>
                    <w:rPr>
                      <w:color w:val="auto"/>
                      <w:szCs w:val="21"/>
                      <w:u w:val="none" w:color="auto"/>
                    </w:rPr>
                  </w:pPr>
                </w:p>
              </w:tc>
              <w:tc>
                <w:tcPr>
                  <w:tcW w:w="592" w:type="pct"/>
                  <w:vMerge w:val="continue"/>
                  <w:vAlign w:val="center"/>
                </w:tcPr>
                <w:p w14:paraId="431A7FAC">
                  <w:pPr>
                    <w:pStyle w:val="13"/>
                    <w:ind w:firstLine="0" w:firstLineChars="0"/>
                    <w:jc w:val="center"/>
                    <w:rPr>
                      <w:color w:val="auto"/>
                      <w:szCs w:val="21"/>
                      <w:u w:val="none" w:color="auto"/>
                    </w:rPr>
                  </w:pPr>
                </w:p>
              </w:tc>
              <w:tc>
                <w:tcPr>
                  <w:tcW w:w="1502" w:type="pct"/>
                  <w:vAlign w:val="center"/>
                </w:tcPr>
                <w:p w14:paraId="360FDA64">
                  <w:pPr>
                    <w:jc w:val="center"/>
                    <w:rPr>
                      <w:color w:val="auto"/>
                      <w:szCs w:val="21"/>
                      <w:u w:val="none" w:color="auto"/>
                    </w:rPr>
                  </w:pPr>
                  <w:r>
                    <w:rPr>
                      <w:bCs/>
                      <w:color w:val="auto"/>
                      <w:szCs w:val="21"/>
                      <w:u w:val="none" w:color="auto"/>
                    </w:rPr>
                    <w:t>无组织排放监控浓度限值周界外浓度最高点</w:t>
                  </w:r>
                  <w:r>
                    <w:rPr>
                      <w:rFonts w:hint="eastAsia"/>
                      <w:bCs/>
                      <w:color w:val="auto"/>
                      <w:szCs w:val="21"/>
                      <w:u w:val="none" w:color="auto"/>
                      <w:lang w:val="en-US" w:eastAsia="zh-CN"/>
                    </w:rPr>
                    <w:t>0.2</w:t>
                  </w:r>
                  <w:r>
                    <w:rPr>
                      <w:bCs/>
                      <w:color w:val="auto"/>
                      <w:szCs w:val="21"/>
                      <w:u w:val="none" w:color="auto"/>
                    </w:rPr>
                    <w:t>mg/m</w:t>
                  </w:r>
                  <w:r>
                    <w:rPr>
                      <w:bCs/>
                      <w:color w:val="auto"/>
                      <w:szCs w:val="21"/>
                      <w:u w:val="none" w:color="auto"/>
                      <w:vertAlign w:val="superscript"/>
                    </w:rPr>
                    <w:t>3</w:t>
                  </w:r>
                </w:p>
              </w:tc>
            </w:tr>
            <w:tr w14:paraId="40A5F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Merge w:val="continue"/>
                  <w:vAlign w:val="center"/>
                </w:tcPr>
                <w:p w14:paraId="2A56999C">
                  <w:pPr>
                    <w:adjustRightInd w:val="0"/>
                    <w:snapToGrid w:val="0"/>
                    <w:jc w:val="center"/>
                    <w:rPr>
                      <w:color w:val="auto"/>
                      <w:szCs w:val="21"/>
                      <w:u w:val="none" w:color="auto"/>
                    </w:rPr>
                  </w:pPr>
                </w:p>
              </w:tc>
              <w:tc>
                <w:tcPr>
                  <w:tcW w:w="1463" w:type="pct"/>
                  <w:vMerge w:val="continue"/>
                  <w:vAlign w:val="center"/>
                </w:tcPr>
                <w:p w14:paraId="6D3F6EB7">
                  <w:pPr>
                    <w:adjustRightInd w:val="0"/>
                    <w:snapToGrid w:val="0"/>
                    <w:jc w:val="center"/>
                    <w:rPr>
                      <w:color w:val="auto"/>
                      <w:szCs w:val="21"/>
                      <w:u w:val="none" w:color="auto"/>
                    </w:rPr>
                  </w:pPr>
                </w:p>
              </w:tc>
              <w:tc>
                <w:tcPr>
                  <w:tcW w:w="592" w:type="pct"/>
                  <w:vMerge w:val="restart"/>
                  <w:vAlign w:val="center"/>
                </w:tcPr>
                <w:p w14:paraId="54005204">
                  <w:pPr>
                    <w:pStyle w:val="171"/>
                    <w:adjustRightInd w:val="0"/>
                    <w:snapToGrid w:val="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硫酸</w:t>
                  </w:r>
                </w:p>
                <w:p w14:paraId="56AD6AB6">
                  <w:pPr>
                    <w:adjustRightInd w:val="0"/>
                    <w:snapToGrid w:val="0"/>
                    <w:jc w:val="center"/>
                    <w:rPr>
                      <w:color w:val="auto"/>
                      <w:szCs w:val="21"/>
                      <w:u w:val="none" w:color="auto"/>
                    </w:rPr>
                  </w:pPr>
                  <w:r>
                    <w:rPr>
                      <w:rFonts w:hint="default" w:ascii="Times New Roman" w:hAnsi="Times New Roman" w:cs="Times New Roman"/>
                      <w:color w:val="auto"/>
                      <w:szCs w:val="21"/>
                      <w:highlight w:val="none"/>
                      <w:u w:val="none" w:color="auto"/>
                    </w:rPr>
                    <w:t>雾</w:t>
                  </w:r>
                </w:p>
              </w:tc>
              <w:tc>
                <w:tcPr>
                  <w:tcW w:w="1502" w:type="pct"/>
                  <w:vAlign w:val="center"/>
                </w:tcPr>
                <w:p w14:paraId="0EE8836C">
                  <w:pPr>
                    <w:jc w:val="center"/>
                    <w:rPr>
                      <w:color w:val="auto"/>
                      <w:szCs w:val="21"/>
                      <w:u w:val="none" w:color="auto"/>
                    </w:rPr>
                  </w:pPr>
                  <w:r>
                    <w:rPr>
                      <w:color w:val="auto"/>
                      <w:szCs w:val="21"/>
                      <w:u w:val="none" w:color="auto"/>
                    </w:rPr>
                    <w:t>最高允许排放浓度</w:t>
                  </w:r>
                  <w:r>
                    <w:rPr>
                      <w:rFonts w:hint="eastAsia"/>
                      <w:color w:val="auto"/>
                      <w:szCs w:val="21"/>
                      <w:u w:val="none" w:color="auto"/>
                      <w:lang w:val="en-US" w:eastAsia="zh-CN"/>
                    </w:rPr>
                    <w:t>45</w:t>
                  </w:r>
                  <w:r>
                    <w:rPr>
                      <w:color w:val="auto"/>
                      <w:szCs w:val="21"/>
                      <w:u w:val="none" w:color="auto"/>
                    </w:rPr>
                    <w:t>mg/m</w:t>
                  </w:r>
                  <w:r>
                    <w:rPr>
                      <w:color w:val="auto"/>
                      <w:szCs w:val="21"/>
                      <w:u w:val="none" w:color="auto"/>
                      <w:vertAlign w:val="superscript"/>
                    </w:rPr>
                    <w:t>3</w:t>
                  </w:r>
                  <w:r>
                    <w:rPr>
                      <w:color w:val="auto"/>
                      <w:szCs w:val="21"/>
                      <w:u w:val="none" w:color="auto"/>
                    </w:rPr>
                    <w:t>，排气筒高度为20m时，最高允许排放速率</w:t>
                  </w:r>
                  <w:r>
                    <w:rPr>
                      <w:rFonts w:hint="eastAsia"/>
                      <w:color w:val="auto"/>
                      <w:szCs w:val="21"/>
                      <w:u w:val="none" w:color="auto"/>
                      <w:lang w:val="en-US" w:eastAsia="zh-CN"/>
                    </w:rPr>
                    <w:t>2.6</w:t>
                  </w:r>
                  <w:r>
                    <w:rPr>
                      <w:color w:val="auto"/>
                      <w:szCs w:val="21"/>
                      <w:u w:val="none" w:color="auto"/>
                    </w:rPr>
                    <w:t>kg/h</w:t>
                  </w:r>
                </w:p>
              </w:tc>
            </w:tr>
            <w:tr w14:paraId="5ED62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Merge w:val="continue"/>
                  <w:vAlign w:val="center"/>
                </w:tcPr>
                <w:p w14:paraId="7C82F3A8">
                  <w:pPr>
                    <w:adjustRightInd w:val="0"/>
                    <w:snapToGrid w:val="0"/>
                    <w:jc w:val="center"/>
                    <w:rPr>
                      <w:color w:val="auto"/>
                      <w:szCs w:val="21"/>
                      <w:u w:val="none" w:color="auto"/>
                    </w:rPr>
                  </w:pPr>
                </w:p>
              </w:tc>
              <w:tc>
                <w:tcPr>
                  <w:tcW w:w="1463" w:type="pct"/>
                  <w:vMerge w:val="continue"/>
                  <w:vAlign w:val="center"/>
                </w:tcPr>
                <w:p w14:paraId="70102786">
                  <w:pPr>
                    <w:adjustRightInd w:val="0"/>
                    <w:snapToGrid w:val="0"/>
                    <w:jc w:val="center"/>
                    <w:rPr>
                      <w:color w:val="auto"/>
                      <w:szCs w:val="21"/>
                      <w:u w:val="none" w:color="auto"/>
                    </w:rPr>
                  </w:pPr>
                </w:p>
              </w:tc>
              <w:tc>
                <w:tcPr>
                  <w:tcW w:w="592" w:type="pct"/>
                  <w:vMerge w:val="continue"/>
                  <w:vAlign w:val="center"/>
                </w:tcPr>
                <w:p w14:paraId="7701A514">
                  <w:pPr>
                    <w:pStyle w:val="13"/>
                    <w:ind w:firstLine="0" w:firstLineChars="0"/>
                    <w:jc w:val="center"/>
                    <w:rPr>
                      <w:color w:val="auto"/>
                      <w:szCs w:val="21"/>
                      <w:u w:val="none" w:color="auto"/>
                    </w:rPr>
                  </w:pPr>
                </w:p>
              </w:tc>
              <w:tc>
                <w:tcPr>
                  <w:tcW w:w="1502" w:type="pct"/>
                  <w:vAlign w:val="center"/>
                </w:tcPr>
                <w:p w14:paraId="558F0A7E">
                  <w:pPr>
                    <w:jc w:val="center"/>
                    <w:rPr>
                      <w:color w:val="auto"/>
                      <w:szCs w:val="21"/>
                      <w:u w:val="none" w:color="auto"/>
                    </w:rPr>
                  </w:pPr>
                  <w:r>
                    <w:rPr>
                      <w:bCs/>
                      <w:color w:val="auto"/>
                      <w:szCs w:val="21"/>
                      <w:u w:val="none" w:color="auto"/>
                    </w:rPr>
                    <w:t>无组织排放监控浓度限值周界外浓度最高点</w:t>
                  </w:r>
                  <w:r>
                    <w:rPr>
                      <w:rFonts w:hint="eastAsia"/>
                      <w:bCs/>
                      <w:color w:val="auto"/>
                      <w:szCs w:val="21"/>
                      <w:u w:val="none" w:color="auto"/>
                      <w:lang w:val="en-US" w:eastAsia="zh-CN"/>
                    </w:rPr>
                    <w:t>1.2</w:t>
                  </w:r>
                  <w:r>
                    <w:rPr>
                      <w:bCs/>
                      <w:color w:val="auto"/>
                      <w:szCs w:val="21"/>
                      <w:u w:val="none" w:color="auto"/>
                    </w:rPr>
                    <w:t>mg/m</w:t>
                  </w:r>
                  <w:r>
                    <w:rPr>
                      <w:bCs/>
                      <w:color w:val="auto"/>
                      <w:szCs w:val="21"/>
                      <w:u w:val="none" w:color="auto"/>
                      <w:vertAlign w:val="superscript"/>
                    </w:rPr>
                    <w:t>3</w:t>
                  </w:r>
                </w:p>
              </w:tc>
            </w:tr>
            <w:tr w14:paraId="01434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Merge w:val="continue"/>
                  <w:vAlign w:val="center"/>
                </w:tcPr>
                <w:p w14:paraId="65AAEECE">
                  <w:pPr>
                    <w:adjustRightInd w:val="0"/>
                    <w:snapToGrid w:val="0"/>
                    <w:jc w:val="center"/>
                    <w:rPr>
                      <w:color w:val="auto"/>
                      <w:szCs w:val="21"/>
                      <w:u w:val="none" w:color="auto"/>
                    </w:rPr>
                  </w:pPr>
                </w:p>
              </w:tc>
              <w:tc>
                <w:tcPr>
                  <w:tcW w:w="1463" w:type="pct"/>
                  <w:vMerge w:val="continue"/>
                  <w:vAlign w:val="center"/>
                </w:tcPr>
                <w:p w14:paraId="7F3B367F">
                  <w:pPr>
                    <w:adjustRightInd w:val="0"/>
                    <w:snapToGrid w:val="0"/>
                    <w:jc w:val="center"/>
                    <w:rPr>
                      <w:color w:val="auto"/>
                      <w:szCs w:val="21"/>
                      <w:u w:val="none" w:color="auto"/>
                    </w:rPr>
                  </w:pPr>
                </w:p>
              </w:tc>
              <w:tc>
                <w:tcPr>
                  <w:tcW w:w="592" w:type="pct"/>
                  <w:vAlign w:val="center"/>
                </w:tcPr>
                <w:p w14:paraId="7F45914D">
                  <w:pPr>
                    <w:pStyle w:val="13"/>
                    <w:ind w:firstLine="0" w:firstLineChars="0"/>
                    <w:jc w:val="center"/>
                    <w:rPr>
                      <w:rFonts w:hint="eastAsia" w:eastAsia="宋体"/>
                      <w:color w:val="auto"/>
                      <w:szCs w:val="21"/>
                      <w:u w:val="none" w:color="auto"/>
                      <w:lang w:val="en-US" w:eastAsia="zh-CN"/>
                    </w:rPr>
                  </w:pPr>
                  <w:r>
                    <w:rPr>
                      <w:rFonts w:hint="eastAsia"/>
                      <w:color w:val="auto"/>
                      <w:szCs w:val="21"/>
                      <w:u w:val="none" w:color="auto"/>
                      <w:lang w:val="en-US" w:eastAsia="zh-CN"/>
                    </w:rPr>
                    <w:t>颗粒物</w:t>
                  </w:r>
                </w:p>
              </w:tc>
              <w:tc>
                <w:tcPr>
                  <w:tcW w:w="1502" w:type="pct"/>
                  <w:vAlign w:val="center"/>
                </w:tcPr>
                <w:p w14:paraId="29696DD4">
                  <w:pPr>
                    <w:jc w:val="center"/>
                    <w:rPr>
                      <w:bCs/>
                      <w:color w:val="auto"/>
                      <w:szCs w:val="21"/>
                      <w:u w:val="none" w:color="auto"/>
                    </w:rPr>
                  </w:pPr>
                  <w:r>
                    <w:rPr>
                      <w:bCs/>
                      <w:color w:val="auto"/>
                      <w:szCs w:val="21"/>
                      <w:u w:val="none" w:color="auto"/>
                    </w:rPr>
                    <w:t>无组织排放监控浓度限值周界外浓度最高点</w:t>
                  </w:r>
                  <w:r>
                    <w:rPr>
                      <w:rFonts w:hint="eastAsia"/>
                      <w:bCs/>
                      <w:color w:val="auto"/>
                      <w:szCs w:val="21"/>
                      <w:u w:val="none" w:color="auto"/>
                      <w:lang w:val="en-US" w:eastAsia="zh-CN"/>
                    </w:rPr>
                    <w:t>1.0</w:t>
                  </w:r>
                  <w:r>
                    <w:rPr>
                      <w:bCs/>
                      <w:color w:val="auto"/>
                      <w:szCs w:val="21"/>
                      <w:u w:val="none" w:color="auto"/>
                    </w:rPr>
                    <w:t>mg/m</w:t>
                  </w:r>
                  <w:r>
                    <w:rPr>
                      <w:bCs/>
                      <w:color w:val="auto"/>
                      <w:szCs w:val="21"/>
                      <w:u w:val="none" w:color="auto"/>
                      <w:vertAlign w:val="superscript"/>
                    </w:rPr>
                    <w:t>3</w:t>
                  </w:r>
                </w:p>
              </w:tc>
            </w:tr>
            <w:tr w14:paraId="4D706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Merge w:val="continue"/>
                  <w:vAlign w:val="center"/>
                </w:tcPr>
                <w:p w14:paraId="7D6AD41A">
                  <w:pPr>
                    <w:adjustRightInd w:val="0"/>
                    <w:snapToGrid w:val="0"/>
                    <w:jc w:val="center"/>
                    <w:rPr>
                      <w:color w:val="auto"/>
                      <w:szCs w:val="21"/>
                      <w:u w:val="none" w:color="auto"/>
                    </w:rPr>
                  </w:pPr>
                </w:p>
              </w:tc>
              <w:tc>
                <w:tcPr>
                  <w:tcW w:w="1463" w:type="pct"/>
                  <w:vMerge w:val="continue"/>
                  <w:vAlign w:val="center"/>
                </w:tcPr>
                <w:p w14:paraId="0B98C0B7">
                  <w:pPr>
                    <w:adjustRightInd w:val="0"/>
                    <w:snapToGrid w:val="0"/>
                    <w:jc w:val="center"/>
                    <w:rPr>
                      <w:color w:val="auto"/>
                      <w:szCs w:val="21"/>
                      <w:u w:val="none" w:color="auto"/>
                    </w:rPr>
                  </w:pPr>
                </w:p>
              </w:tc>
              <w:tc>
                <w:tcPr>
                  <w:tcW w:w="592" w:type="pct"/>
                  <w:vAlign w:val="center"/>
                </w:tcPr>
                <w:p w14:paraId="008DC519">
                  <w:pPr>
                    <w:pStyle w:val="13"/>
                    <w:ind w:firstLine="0" w:firstLineChars="0"/>
                    <w:jc w:val="center"/>
                    <w:rPr>
                      <w:rFonts w:hint="eastAsia" w:eastAsia="宋体"/>
                      <w:color w:val="auto"/>
                      <w:szCs w:val="21"/>
                      <w:u w:val="none" w:color="auto"/>
                      <w:lang w:val="en-US" w:eastAsia="zh-CN"/>
                    </w:rPr>
                  </w:pPr>
                  <w:r>
                    <w:rPr>
                      <w:rFonts w:hint="eastAsia"/>
                      <w:color w:val="auto"/>
                      <w:szCs w:val="21"/>
                      <w:u w:val="none" w:color="auto"/>
                      <w:lang w:val="en-US" w:eastAsia="zh-CN"/>
                    </w:rPr>
                    <w:t>非甲烷总烃</w:t>
                  </w:r>
                </w:p>
              </w:tc>
              <w:tc>
                <w:tcPr>
                  <w:tcW w:w="1502" w:type="pct"/>
                  <w:vAlign w:val="center"/>
                </w:tcPr>
                <w:p w14:paraId="18C6DC40">
                  <w:pPr>
                    <w:jc w:val="center"/>
                    <w:rPr>
                      <w:bCs/>
                      <w:color w:val="auto"/>
                      <w:szCs w:val="21"/>
                      <w:u w:val="none" w:color="auto"/>
                    </w:rPr>
                  </w:pPr>
                  <w:r>
                    <w:rPr>
                      <w:bCs/>
                      <w:color w:val="auto"/>
                      <w:szCs w:val="21"/>
                      <w:u w:val="none" w:color="auto"/>
                    </w:rPr>
                    <w:t>无组织排放监控浓度限值周界外浓度最高点</w:t>
                  </w:r>
                  <w:r>
                    <w:rPr>
                      <w:rFonts w:hint="eastAsia"/>
                      <w:bCs/>
                      <w:color w:val="auto"/>
                      <w:szCs w:val="21"/>
                      <w:u w:val="none" w:color="auto"/>
                      <w:lang w:val="en-US" w:eastAsia="zh-CN"/>
                    </w:rPr>
                    <w:t>4.0</w:t>
                  </w:r>
                  <w:r>
                    <w:rPr>
                      <w:bCs/>
                      <w:color w:val="auto"/>
                      <w:szCs w:val="21"/>
                      <w:u w:val="none" w:color="auto"/>
                    </w:rPr>
                    <w:t>mg/m</w:t>
                  </w:r>
                  <w:r>
                    <w:rPr>
                      <w:bCs/>
                      <w:color w:val="auto"/>
                      <w:szCs w:val="21"/>
                      <w:u w:val="none" w:color="auto"/>
                      <w:vertAlign w:val="superscript"/>
                    </w:rPr>
                    <w:t>3</w:t>
                  </w:r>
                </w:p>
              </w:tc>
            </w:tr>
            <w:tr w14:paraId="2B244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1442" w:type="pct"/>
                  <w:vMerge w:val="continue"/>
                  <w:vAlign w:val="center"/>
                </w:tcPr>
                <w:p w14:paraId="5E3A3851">
                  <w:pPr>
                    <w:adjustRightInd w:val="0"/>
                    <w:snapToGrid w:val="0"/>
                    <w:jc w:val="center"/>
                    <w:rPr>
                      <w:color w:val="auto"/>
                      <w:szCs w:val="21"/>
                      <w:u w:val="none" w:color="auto"/>
                    </w:rPr>
                  </w:pPr>
                </w:p>
              </w:tc>
              <w:tc>
                <w:tcPr>
                  <w:tcW w:w="1463" w:type="pct"/>
                  <w:vMerge w:val="continue"/>
                  <w:vAlign w:val="center"/>
                </w:tcPr>
                <w:p w14:paraId="2533D1EE">
                  <w:pPr>
                    <w:adjustRightInd w:val="0"/>
                    <w:snapToGrid w:val="0"/>
                    <w:jc w:val="center"/>
                    <w:rPr>
                      <w:color w:val="auto"/>
                      <w:szCs w:val="21"/>
                      <w:u w:val="none" w:color="auto"/>
                    </w:rPr>
                  </w:pPr>
                </w:p>
              </w:tc>
              <w:tc>
                <w:tcPr>
                  <w:tcW w:w="592" w:type="pct"/>
                  <w:vMerge w:val="restart"/>
                  <w:vAlign w:val="center"/>
                </w:tcPr>
                <w:p w14:paraId="1F22F2A5">
                  <w:pPr>
                    <w:pStyle w:val="13"/>
                    <w:ind w:firstLine="0" w:firstLineChars="0"/>
                    <w:jc w:val="center"/>
                    <w:rPr>
                      <w:rFonts w:hint="default"/>
                      <w:color w:val="auto"/>
                      <w:szCs w:val="21"/>
                      <w:u w:val="none" w:color="auto"/>
                      <w:lang w:val="en-US" w:eastAsia="zh-CN"/>
                    </w:rPr>
                  </w:pPr>
                  <w:r>
                    <w:rPr>
                      <w:rFonts w:hint="eastAsia"/>
                      <w:color w:val="auto"/>
                      <w:szCs w:val="21"/>
                      <w:u w:val="none" w:color="auto"/>
                      <w:lang w:val="en-US" w:eastAsia="zh-CN"/>
                    </w:rPr>
                    <w:t>SO</w:t>
                  </w:r>
                  <w:r>
                    <w:rPr>
                      <w:rFonts w:hint="eastAsia"/>
                      <w:color w:val="auto"/>
                      <w:szCs w:val="21"/>
                      <w:u w:val="none" w:color="auto"/>
                      <w:vertAlign w:val="subscript"/>
                      <w:lang w:val="en-US" w:eastAsia="zh-CN"/>
                    </w:rPr>
                    <w:t>2</w:t>
                  </w:r>
                </w:p>
              </w:tc>
              <w:tc>
                <w:tcPr>
                  <w:tcW w:w="1502" w:type="pct"/>
                  <w:vAlign w:val="center"/>
                </w:tcPr>
                <w:p w14:paraId="21CCD2A2">
                  <w:pPr>
                    <w:jc w:val="center"/>
                    <w:rPr>
                      <w:bCs/>
                      <w:color w:val="auto"/>
                      <w:szCs w:val="21"/>
                      <w:u w:val="none" w:color="auto"/>
                    </w:rPr>
                  </w:pPr>
                  <w:r>
                    <w:rPr>
                      <w:color w:val="auto"/>
                      <w:szCs w:val="21"/>
                      <w:u w:val="none" w:color="auto"/>
                    </w:rPr>
                    <w:t>最高允许排放浓度</w:t>
                  </w:r>
                  <w:r>
                    <w:rPr>
                      <w:rFonts w:hint="eastAsia"/>
                      <w:color w:val="auto"/>
                      <w:szCs w:val="21"/>
                      <w:u w:val="none" w:color="auto"/>
                      <w:lang w:val="en-US" w:eastAsia="zh-CN"/>
                    </w:rPr>
                    <w:t>550</w:t>
                  </w:r>
                  <w:r>
                    <w:rPr>
                      <w:color w:val="auto"/>
                      <w:szCs w:val="21"/>
                      <w:u w:val="none" w:color="auto"/>
                    </w:rPr>
                    <w:t>mg/m</w:t>
                  </w:r>
                  <w:r>
                    <w:rPr>
                      <w:color w:val="auto"/>
                      <w:szCs w:val="21"/>
                      <w:u w:val="none" w:color="auto"/>
                      <w:vertAlign w:val="superscript"/>
                    </w:rPr>
                    <w:t>3</w:t>
                  </w:r>
                  <w:r>
                    <w:rPr>
                      <w:color w:val="auto"/>
                      <w:szCs w:val="21"/>
                      <w:u w:val="none" w:color="auto"/>
                    </w:rPr>
                    <w:t>，排气筒高度为20m时，最高允许排放速率</w:t>
                  </w:r>
                  <w:r>
                    <w:rPr>
                      <w:rFonts w:hint="eastAsia"/>
                      <w:color w:val="auto"/>
                      <w:szCs w:val="21"/>
                      <w:u w:val="none" w:color="auto"/>
                      <w:lang w:val="en-US" w:eastAsia="zh-CN"/>
                    </w:rPr>
                    <w:t>4.3</w:t>
                  </w:r>
                  <w:r>
                    <w:rPr>
                      <w:color w:val="auto"/>
                      <w:szCs w:val="21"/>
                      <w:u w:val="none" w:color="auto"/>
                    </w:rPr>
                    <w:t>kg/h</w:t>
                  </w:r>
                </w:p>
              </w:tc>
            </w:tr>
            <w:tr w14:paraId="1F2DD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1442" w:type="pct"/>
                  <w:vMerge w:val="continue"/>
                  <w:vAlign w:val="center"/>
                </w:tcPr>
                <w:p w14:paraId="4EC244A0">
                  <w:pPr>
                    <w:jc w:val="center"/>
                    <w:rPr>
                      <w:color w:val="auto"/>
                      <w:u w:val="none" w:color="auto"/>
                    </w:rPr>
                  </w:pPr>
                </w:p>
              </w:tc>
              <w:tc>
                <w:tcPr>
                  <w:tcW w:w="1463" w:type="pct"/>
                  <w:vMerge w:val="continue"/>
                  <w:vAlign w:val="center"/>
                </w:tcPr>
                <w:p w14:paraId="625FA3EA">
                  <w:pPr>
                    <w:jc w:val="center"/>
                    <w:rPr>
                      <w:color w:val="auto"/>
                      <w:u w:val="none" w:color="auto"/>
                    </w:rPr>
                  </w:pPr>
                </w:p>
              </w:tc>
              <w:tc>
                <w:tcPr>
                  <w:tcW w:w="592" w:type="pct"/>
                  <w:vMerge w:val="continue"/>
                  <w:vAlign w:val="center"/>
                </w:tcPr>
                <w:p w14:paraId="6CF27B28">
                  <w:pPr>
                    <w:jc w:val="center"/>
                    <w:rPr>
                      <w:color w:val="auto"/>
                      <w:u w:val="none" w:color="auto"/>
                    </w:rPr>
                  </w:pPr>
                </w:p>
              </w:tc>
              <w:tc>
                <w:tcPr>
                  <w:tcW w:w="1502" w:type="pct"/>
                  <w:vAlign w:val="center"/>
                </w:tcPr>
                <w:p w14:paraId="535C0D9C">
                  <w:pPr>
                    <w:jc w:val="center"/>
                    <w:rPr>
                      <w:bCs/>
                      <w:color w:val="auto"/>
                      <w:szCs w:val="21"/>
                      <w:u w:val="none" w:color="auto"/>
                    </w:rPr>
                  </w:pPr>
                  <w:r>
                    <w:rPr>
                      <w:bCs/>
                      <w:color w:val="auto"/>
                      <w:szCs w:val="21"/>
                      <w:u w:val="none" w:color="auto"/>
                    </w:rPr>
                    <w:t>无组织排放监控浓度限值周界外浓度最高点</w:t>
                  </w:r>
                  <w:r>
                    <w:rPr>
                      <w:rFonts w:hint="eastAsia"/>
                      <w:bCs/>
                      <w:color w:val="auto"/>
                      <w:szCs w:val="21"/>
                      <w:u w:val="none" w:color="auto"/>
                      <w:lang w:val="en-US" w:eastAsia="zh-CN"/>
                    </w:rPr>
                    <w:t>0.4</w:t>
                  </w:r>
                  <w:r>
                    <w:rPr>
                      <w:bCs/>
                      <w:color w:val="auto"/>
                      <w:szCs w:val="21"/>
                      <w:u w:val="none" w:color="auto"/>
                    </w:rPr>
                    <w:t>mg/m</w:t>
                  </w:r>
                  <w:r>
                    <w:rPr>
                      <w:bCs/>
                      <w:color w:val="auto"/>
                      <w:szCs w:val="21"/>
                      <w:u w:val="none" w:color="auto"/>
                      <w:vertAlign w:val="superscript"/>
                    </w:rPr>
                    <w:t>3</w:t>
                  </w:r>
                </w:p>
              </w:tc>
            </w:tr>
            <w:tr w14:paraId="06C0B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1442" w:type="pct"/>
                  <w:vMerge w:val="continue"/>
                  <w:vAlign w:val="center"/>
                </w:tcPr>
                <w:p w14:paraId="449B8DA5">
                  <w:pPr>
                    <w:adjustRightInd w:val="0"/>
                    <w:snapToGrid w:val="0"/>
                    <w:jc w:val="center"/>
                    <w:rPr>
                      <w:color w:val="auto"/>
                      <w:szCs w:val="21"/>
                      <w:u w:val="none" w:color="auto"/>
                    </w:rPr>
                  </w:pPr>
                </w:p>
              </w:tc>
              <w:tc>
                <w:tcPr>
                  <w:tcW w:w="1463" w:type="pct"/>
                  <w:vMerge w:val="continue"/>
                  <w:vAlign w:val="center"/>
                </w:tcPr>
                <w:p w14:paraId="43096739">
                  <w:pPr>
                    <w:adjustRightInd w:val="0"/>
                    <w:snapToGrid w:val="0"/>
                    <w:jc w:val="center"/>
                    <w:rPr>
                      <w:color w:val="auto"/>
                      <w:szCs w:val="21"/>
                      <w:u w:val="none" w:color="auto"/>
                    </w:rPr>
                  </w:pPr>
                </w:p>
              </w:tc>
              <w:tc>
                <w:tcPr>
                  <w:tcW w:w="592" w:type="pct"/>
                  <w:vMerge w:val="restart"/>
                  <w:vAlign w:val="center"/>
                </w:tcPr>
                <w:p w14:paraId="5FA36B11">
                  <w:pPr>
                    <w:pStyle w:val="13"/>
                    <w:ind w:firstLine="0" w:firstLineChars="0"/>
                    <w:jc w:val="center"/>
                    <w:rPr>
                      <w:rFonts w:hint="default"/>
                      <w:color w:val="auto"/>
                      <w:szCs w:val="21"/>
                      <w:u w:val="none" w:color="auto"/>
                      <w:lang w:val="en-US" w:eastAsia="zh-CN"/>
                    </w:rPr>
                  </w:pPr>
                  <w:r>
                    <w:rPr>
                      <w:rFonts w:hint="eastAsia"/>
                      <w:color w:val="auto"/>
                      <w:szCs w:val="21"/>
                      <w:u w:val="none" w:color="auto"/>
                      <w:lang w:val="en-US" w:eastAsia="zh-CN"/>
                    </w:rPr>
                    <w:t>NO</w:t>
                  </w:r>
                  <w:r>
                    <w:rPr>
                      <w:rFonts w:hint="eastAsia"/>
                      <w:color w:val="auto"/>
                      <w:szCs w:val="21"/>
                      <w:u w:val="none" w:color="auto"/>
                      <w:vertAlign w:val="subscript"/>
                      <w:lang w:val="en-US" w:eastAsia="zh-CN"/>
                    </w:rPr>
                    <w:t>X</w:t>
                  </w:r>
                </w:p>
              </w:tc>
              <w:tc>
                <w:tcPr>
                  <w:tcW w:w="1502" w:type="pct"/>
                  <w:vAlign w:val="center"/>
                </w:tcPr>
                <w:p w14:paraId="3E7F13A6">
                  <w:pPr>
                    <w:jc w:val="center"/>
                    <w:rPr>
                      <w:bCs/>
                      <w:color w:val="auto"/>
                      <w:szCs w:val="21"/>
                      <w:u w:val="none" w:color="auto"/>
                    </w:rPr>
                  </w:pPr>
                  <w:r>
                    <w:rPr>
                      <w:color w:val="auto"/>
                      <w:szCs w:val="21"/>
                      <w:u w:val="none" w:color="auto"/>
                    </w:rPr>
                    <w:t>最高允许排放浓度</w:t>
                  </w:r>
                  <w:r>
                    <w:rPr>
                      <w:rFonts w:hint="eastAsia"/>
                      <w:color w:val="auto"/>
                      <w:szCs w:val="21"/>
                      <w:u w:val="none" w:color="auto"/>
                      <w:lang w:val="en-US" w:eastAsia="zh-CN"/>
                    </w:rPr>
                    <w:t>240</w:t>
                  </w:r>
                  <w:r>
                    <w:rPr>
                      <w:color w:val="auto"/>
                      <w:szCs w:val="21"/>
                      <w:u w:val="none" w:color="auto"/>
                    </w:rPr>
                    <w:t>mg/m</w:t>
                  </w:r>
                  <w:r>
                    <w:rPr>
                      <w:color w:val="auto"/>
                      <w:szCs w:val="21"/>
                      <w:u w:val="none" w:color="auto"/>
                      <w:vertAlign w:val="superscript"/>
                    </w:rPr>
                    <w:t>3</w:t>
                  </w:r>
                  <w:r>
                    <w:rPr>
                      <w:color w:val="auto"/>
                      <w:szCs w:val="21"/>
                      <w:u w:val="none" w:color="auto"/>
                    </w:rPr>
                    <w:t>，排气筒高度为20m时，最高允许排放速率</w:t>
                  </w:r>
                  <w:r>
                    <w:rPr>
                      <w:rFonts w:hint="eastAsia"/>
                      <w:color w:val="auto"/>
                      <w:szCs w:val="21"/>
                      <w:u w:val="none" w:color="auto"/>
                      <w:lang w:val="en-US" w:eastAsia="zh-CN"/>
                    </w:rPr>
                    <w:t>1.3</w:t>
                  </w:r>
                  <w:r>
                    <w:rPr>
                      <w:color w:val="auto"/>
                      <w:szCs w:val="21"/>
                      <w:u w:val="none" w:color="auto"/>
                    </w:rPr>
                    <w:t>kg/h</w:t>
                  </w:r>
                </w:p>
              </w:tc>
            </w:tr>
            <w:tr w14:paraId="12C31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1442" w:type="pct"/>
                  <w:vMerge w:val="continue"/>
                  <w:vAlign w:val="center"/>
                </w:tcPr>
                <w:p w14:paraId="4236754C">
                  <w:pPr>
                    <w:jc w:val="center"/>
                    <w:rPr>
                      <w:color w:val="auto"/>
                      <w:u w:val="none" w:color="auto"/>
                    </w:rPr>
                  </w:pPr>
                </w:p>
              </w:tc>
              <w:tc>
                <w:tcPr>
                  <w:tcW w:w="1463" w:type="pct"/>
                  <w:vMerge w:val="continue"/>
                  <w:vAlign w:val="center"/>
                </w:tcPr>
                <w:p w14:paraId="4EFED3E5">
                  <w:pPr>
                    <w:jc w:val="center"/>
                    <w:rPr>
                      <w:color w:val="auto"/>
                      <w:u w:val="none" w:color="auto"/>
                    </w:rPr>
                  </w:pPr>
                </w:p>
              </w:tc>
              <w:tc>
                <w:tcPr>
                  <w:tcW w:w="592" w:type="pct"/>
                  <w:vMerge w:val="continue"/>
                  <w:vAlign w:val="center"/>
                </w:tcPr>
                <w:p w14:paraId="51C527F5">
                  <w:pPr>
                    <w:jc w:val="center"/>
                    <w:rPr>
                      <w:color w:val="auto"/>
                      <w:u w:val="none" w:color="auto"/>
                    </w:rPr>
                  </w:pPr>
                </w:p>
              </w:tc>
              <w:tc>
                <w:tcPr>
                  <w:tcW w:w="1502" w:type="pct"/>
                  <w:vAlign w:val="center"/>
                </w:tcPr>
                <w:p w14:paraId="56468F29">
                  <w:pPr>
                    <w:jc w:val="center"/>
                    <w:rPr>
                      <w:bCs/>
                      <w:color w:val="auto"/>
                      <w:szCs w:val="21"/>
                      <w:u w:val="none" w:color="auto"/>
                    </w:rPr>
                  </w:pPr>
                  <w:r>
                    <w:rPr>
                      <w:bCs/>
                      <w:color w:val="auto"/>
                      <w:szCs w:val="21"/>
                      <w:u w:val="none" w:color="auto"/>
                    </w:rPr>
                    <w:t>无组织排放监控浓度限值周界外浓度最高点</w:t>
                  </w:r>
                  <w:r>
                    <w:rPr>
                      <w:rFonts w:hint="eastAsia"/>
                      <w:bCs/>
                      <w:color w:val="auto"/>
                      <w:szCs w:val="21"/>
                      <w:u w:val="none" w:color="auto"/>
                      <w:lang w:val="en-US" w:eastAsia="zh-CN"/>
                    </w:rPr>
                    <w:t>0.12</w:t>
                  </w:r>
                  <w:r>
                    <w:rPr>
                      <w:bCs/>
                      <w:color w:val="auto"/>
                      <w:szCs w:val="21"/>
                      <w:u w:val="none" w:color="auto"/>
                    </w:rPr>
                    <w:t>mg/m</w:t>
                  </w:r>
                  <w:r>
                    <w:rPr>
                      <w:bCs/>
                      <w:color w:val="auto"/>
                      <w:szCs w:val="21"/>
                      <w:u w:val="none" w:color="auto"/>
                      <w:vertAlign w:val="superscript"/>
                    </w:rPr>
                    <w:t>3</w:t>
                  </w:r>
                </w:p>
              </w:tc>
            </w:tr>
            <w:tr w14:paraId="117DD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Merge w:val="continue"/>
                  <w:vAlign w:val="center"/>
                </w:tcPr>
                <w:p w14:paraId="2AD6DB7B">
                  <w:pPr>
                    <w:adjustRightInd w:val="0"/>
                    <w:snapToGrid w:val="0"/>
                    <w:jc w:val="center"/>
                    <w:rPr>
                      <w:color w:val="auto"/>
                      <w:szCs w:val="21"/>
                      <w:u w:val="none" w:color="auto"/>
                    </w:rPr>
                  </w:pPr>
                </w:p>
              </w:tc>
              <w:tc>
                <w:tcPr>
                  <w:tcW w:w="1463" w:type="pct"/>
                  <w:vMerge w:val="restart"/>
                  <w:vAlign w:val="center"/>
                </w:tcPr>
                <w:p w14:paraId="58D6D202">
                  <w:pPr>
                    <w:pStyle w:val="175"/>
                    <w:adjustRightInd w:val="0"/>
                    <w:snapToGrid w:val="0"/>
                    <w:spacing w:line="240" w:lineRule="auto"/>
                    <w:rPr>
                      <w:b/>
                      <w:bCs/>
                      <w:color w:val="auto"/>
                      <w:u w:val="none" w:color="auto"/>
                    </w:rPr>
                  </w:pPr>
                  <w:r>
                    <w:rPr>
                      <w:bCs/>
                      <w:color w:val="auto"/>
                      <w:u w:val="none" w:color="auto"/>
                    </w:rPr>
                    <w:t>《餐饮业油烟污染物排放标准》（DB41/1604-2018）表1，</w:t>
                  </w:r>
                  <w:r>
                    <w:rPr>
                      <w:rFonts w:hint="eastAsia"/>
                      <w:bCs/>
                      <w:color w:val="auto"/>
                      <w:u w:val="none" w:color="auto"/>
                      <w:lang w:val="en-US" w:eastAsia="zh-CN"/>
                    </w:rPr>
                    <w:t>大</w:t>
                  </w:r>
                  <w:r>
                    <w:rPr>
                      <w:bCs/>
                      <w:color w:val="auto"/>
                      <w:u w:val="none" w:color="auto"/>
                    </w:rPr>
                    <w:t>型标准</w:t>
                  </w:r>
                </w:p>
              </w:tc>
              <w:tc>
                <w:tcPr>
                  <w:tcW w:w="592" w:type="pct"/>
                  <w:vAlign w:val="center"/>
                </w:tcPr>
                <w:p w14:paraId="4FC78D6E">
                  <w:pPr>
                    <w:pStyle w:val="175"/>
                    <w:adjustRightInd w:val="0"/>
                    <w:snapToGrid w:val="0"/>
                    <w:spacing w:line="240" w:lineRule="auto"/>
                    <w:rPr>
                      <w:b/>
                      <w:bCs/>
                      <w:color w:val="auto"/>
                      <w:u w:val="none" w:color="auto"/>
                    </w:rPr>
                  </w:pPr>
                  <w:r>
                    <w:rPr>
                      <w:bCs/>
                      <w:color w:val="auto"/>
                      <w:u w:val="none" w:color="auto"/>
                    </w:rPr>
                    <w:t>油烟</w:t>
                  </w:r>
                </w:p>
              </w:tc>
              <w:tc>
                <w:tcPr>
                  <w:tcW w:w="1502" w:type="pct"/>
                  <w:vAlign w:val="center"/>
                </w:tcPr>
                <w:p w14:paraId="4B0CE4F4">
                  <w:pPr>
                    <w:pStyle w:val="175"/>
                    <w:adjustRightInd w:val="0"/>
                    <w:snapToGrid w:val="0"/>
                    <w:spacing w:line="240" w:lineRule="auto"/>
                    <w:rPr>
                      <w:bCs/>
                      <w:color w:val="auto"/>
                      <w:u w:val="none" w:color="auto"/>
                    </w:rPr>
                  </w:pPr>
                  <w:r>
                    <w:rPr>
                      <w:rFonts w:hint="eastAsia"/>
                      <w:bCs/>
                      <w:color w:val="auto"/>
                      <w:szCs w:val="21"/>
                      <w:u w:val="none" w:color="auto"/>
                      <w:lang w:val="en-US" w:eastAsia="zh-CN"/>
                    </w:rPr>
                    <w:t>1.0</w:t>
                  </w:r>
                  <w:r>
                    <w:rPr>
                      <w:bCs/>
                      <w:color w:val="auto"/>
                      <w:szCs w:val="21"/>
                      <w:u w:val="none" w:color="auto"/>
                    </w:rPr>
                    <w:t>mg/m</w:t>
                  </w:r>
                  <w:r>
                    <w:rPr>
                      <w:bCs/>
                      <w:color w:val="auto"/>
                      <w:szCs w:val="21"/>
                      <w:u w:val="none" w:color="auto"/>
                      <w:vertAlign w:val="superscript"/>
                    </w:rPr>
                    <w:t>3</w:t>
                  </w:r>
                </w:p>
              </w:tc>
            </w:tr>
            <w:tr w14:paraId="4FF17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Merge w:val="continue"/>
                  <w:vAlign w:val="center"/>
                </w:tcPr>
                <w:p w14:paraId="44DC1CFB">
                  <w:pPr>
                    <w:adjustRightInd w:val="0"/>
                    <w:snapToGrid w:val="0"/>
                    <w:jc w:val="center"/>
                    <w:rPr>
                      <w:color w:val="auto"/>
                      <w:szCs w:val="21"/>
                      <w:u w:val="none" w:color="auto"/>
                    </w:rPr>
                  </w:pPr>
                </w:p>
              </w:tc>
              <w:tc>
                <w:tcPr>
                  <w:tcW w:w="1463" w:type="pct"/>
                  <w:vMerge w:val="continue"/>
                  <w:vAlign w:val="center"/>
                </w:tcPr>
                <w:p w14:paraId="68F99DCA">
                  <w:pPr>
                    <w:pStyle w:val="175"/>
                    <w:adjustRightInd w:val="0"/>
                    <w:snapToGrid w:val="0"/>
                    <w:spacing w:line="240" w:lineRule="auto"/>
                    <w:rPr>
                      <w:bCs/>
                      <w:color w:val="auto"/>
                      <w:u w:val="none" w:color="auto"/>
                    </w:rPr>
                  </w:pPr>
                </w:p>
              </w:tc>
              <w:tc>
                <w:tcPr>
                  <w:tcW w:w="592" w:type="pct"/>
                  <w:vAlign w:val="center"/>
                </w:tcPr>
                <w:p w14:paraId="74CCE784">
                  <w:pPr>
                    <w:pStyle w:val="175"/>
                    <w:adjustRightInd w:val="0"/>
                    <w:snapToGrid w:val="0"/>
                    <w:spacing w:line="240" w:lineRule="auto"/>
                    <w:rPr>
                      <w:rFonts w:hint="eastAsia" w:eastAsia="宋体"/>
                      <w:bCs/>
                      <w:color w:val="auto"/>
                      <w:u w:val="none" w:color="auto"/>
                      <w:lang w:val="en-US" w:eastAsia="zh-CN"/>
                    </w:rPr>
                  </w:pPr>
                  <w:r>
                    <w:rPr>
                      <w:rFonts w:hint="eastAsia"/>
                      <w:bCs/>
                      <w:color w:val="auto"/>
                      <w:u w:val="none" w:color="auto"/>
                      <w:lang w:val="en-US" w:eastAsia="zh-CN"/>
                    </w:rPr>
                    <w:t>非甲烷总烃</w:t>
                  </w:r>
                </w:p>
              </w:tc>
              <w:tc>
                <w:tcPr>
                  <w:tcW w:w="1502" w:type="pct"/>
                  <w:vAlign w:val="center"/>
                </w:tcPr>
                <w:p w14:paraId="04E1A27E">
                  <w:pPr>
                    <w:pStyle w:val="175"/>
                    <w:adjustRightInd w:val="0"/>
                    <w:snapToGrid w:val="0"/>
                    <w:spacing w:line="240" w:lineRule="auto"/>
                    <w:rPr>
                      <w:bCs/>
                      <w:color w:val="auto"/>
                      <w:u w:val="none" w:color="auto"/>
                    </w:rPr>
                  </w:pPr>
                  <w:r>
                    <w:rPr>
                      <w:rFonts w:hint="eastAsia"/>
                      <w:bCs/>
                      <w:color w:val="auto"/>
                      <w:szCs w:val="21"/>
                      <w:u w:val="none" w:color="auto"/>
                      <w:lang w:val="en-US" w:eastAsia="zh-CN"/>
                    </w:rPr>
                    <w:t>10</w:t>
                  </w:r>
                  <w:r>
                    <w:rPr>
                      <w:bCs/>
                      <w:color w:val="auto"/>
                      <w:szCs w:val="21"/>
                      <w:u w:val="none" w:color="auto"/>
                    </w:rPr>
                    <w:t>mg/m</w:t>
                  </w:r>
                  <w:r>
                    <w:rPr>
                      <w:bCs/>
                      <w:color w:val="auto"/>
                      <w:szCs w:val="21"/>
                      <w:u w:val="none" w:color="auto"/>
                      <w:vertAlign w:val="superscript"/>
                    </w:rPr>
                    <w:t>3</w:t>
                  </w:r>
                </w:p>
              </w:tc>
            </w:tr>
            <w:tr w14:paraId="7AA7B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Merge w:val="continue"/>
                  <w:vAlign w:val="center"/>
                </w:tcPr>
                <w:p w14:paraId="6E76969B">
                  <w:pPr>
                    <w:adjustRightInd w:val="0"/>
                    <w:snapToGrid w:val="0"/>
                    <w:jc w:val="center"/>
                    <w:rPr>
                      <w:color w:val="auto"/>
                      <w:szCs w:val="21"/>
                      <w:u w:val="none" w:color="auto"/>
                    </w:rPr>
                  </w:pPr>
                </w:p>
              </w:tc>
              <w:tc>
                <w:tcPr>
                  <w:tcW w:w="1463" w:type="pct"/>
                  <w:vMerge w:val="continue"/>
                  <w:vAlign w:val="center"/>
                </w:tcPr>
                <w:p w14:paraId="4244663A">
                  <w:pPr>
                    <w:pStyle w:val="175"/>
                    <w:adjustRightInd w:val="0"/>
                    <w:snapToGrid w:val="0"/>
                    <w:spacing w:line="240" w:lineRule="auto"/>
                    <w:rPr>
                      <w:bCs/>
                      <w:color w:val="auto"/>
                      <w:u w:val="none" w:color="auto"/>
                    </w:rPr>
                  </w:pPr>
                </w:p>
              </w:tc>
              <w:tc>
                <w:tcPr>
                  <w:tcW w:w="2094" w:type="pct"/>
                  <w:gridSpan w:val="2"/>
                  <w:vAlign w:val="center"/>
                </w:tcPr>
                <w:p w14:paraId="54CA55B2">
                  <w:pPr>
                    <w:pStyle w:val="175"/>
                    <w:adjustRightInd w:val="0"/>
                    <w:snapToGrid w:val="0"/>
                    <w:spacing w:line="240" w:lineRule="auto"/>
                    <w:rPr>
                      <w:bCs/>
                      <w:color w:val="auto"/>
                      <w:u w:val="none" w:color="auto"/>
                    </w:rPr>
                  </w:pPr>
                  <w:r>
                    <w:rPr>
                      <w:rFonts w:hint="eastAsia"/>
                      <w:bCs/>
                      <w:color w:val="auto"/>
                      <w:u w:val="none" w:color="auto"/>
                      <w:lang w:val="en-US" w:eastAsia="zh-CN"/>
                    </w:rPr>
                    <w:t>去除效率≥95%</w:t>
                  </w:r>
                </w:p>
              </w:tc>
            </w:tr>
            <w:tr w14:paraId="3F8E6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Merge w:val="restart"/>
                  <w:vAlign w:val="center"/>
                </w:tcPr>
                <w:p w14:paraId="59F027AB">
                  <w:pPr>
                    <w:adjustRightInd w:val="0"/>
                    <w:snapToGrid w:val="0"/>
                    <w:jc w:val="center"/>
                    <w:rPr>
                      <w:color w:val="auto"/>
                      <w:szCs w:val="21"/>
                      <w:u w:val="none" w:color="auto"/>
                    </w:rPr>
                  </w:pPr>
                  <w:r>
                    <w:rPr>
                      <w:color w:val="auto"/>
                      <w:szCs w:val="21"/>
                      <w:u w:val="none" w:color="auto"/>
                    </w:rPr>
                    <w:t>废水</w:t>
                  </w:r>
                </w:p>
              </w:tc>
              <w:tc>
                <w:tcPr>
                  <w:tcW w:w="1463" w:type="pct"/>
                  <w:vMerge w:val="restart"/>
                  <w:vAlign w:val="center"/>
                </w:tcPr>
                <w:p w14:paraId="7F0A0078">
                  <w:pPr>
                    <w:jc w:val="center"/>
                    <w:rPr>
                      <w:color w:val="auto"/>
                      <w:szCs w:val="21"/>
                      <w:u w:val="none" w:color="auto"/>
                    </w:rPr>
                  </w:pPr>
                  <w:r>
                    <w:rPr>
                      <w:color w:val="auto"/>
                      <w:szCs w:val="21"/>
                      <w:u w:val="none" w:color="auto"/>
                    </w:rPr>
                    <w:t>《污水综合排放标准》（GB8978-1996）表4三级标准</w:t>
                  </w:r>
                </w:p>
              </w:tc>
              <w:tc>
                <w:tcPr>
                  <w:tcW w:w="592" w:type="pct"/>
                  <w:vAlign w:val="center"/>
                </w:tcPr>
                <w:p w14:paraId="1207C8C2">
                  <w:pPr>
                    <w:jc w:val="center"/>
                    <w:rPr>
                      <w:color w:val="auto"/>
                      <w:szCs w:val="21"/>
                      <w:u w:val="none" w:color="auto"/>
                    </w:rPr>
                  </w:pPr>
                  <w:r>
                    <w:rPr>
                      <w:color w:val="auto"/>
                      <w:szCs w:val="21"/>
                      <w:u w:val="none" w:color="auto"/>
                    </w:rPr>
                    <w:t>COD</w:t>
                  </w:r>
                </w:p>
              </w:tc>
              <w:tc>
                <w:tcPr>
                  <w:tcW w:w="1502" w:type="pct"/>
                  <w:vAlign w:val="center"/>
                </w:tcPr>
                <w:p w14:paraId="6940CC00">
                  <w:pPr>
                    <w:jc w:val="center"/>
                    <w:rPr>
                      <w:color w:val="auto"/>
                      <w:szCs w:val="21"/>
                      <w:u w:val="none" w:color="auto"/>
                    </w:rPr>
                  </w:pPr>
                  <w:r>
                    <w:rPr>
                      <w:color w:val="auto"/>
                      <w:szCs w:val="21"/>
                      <w:u w:val="none" w:color="auto"/>
                    </w:rPr>
                    <w:t>500mg/L</w:t>
                  </w:r>
                </w:p>
              </w:tc>
            </w:tr>
            <w:tr w14:paraId="43FDE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Merge w:val="continue"/>
                  <w:vAlign w:val="center"/>
                </w:tcPr>
                <w:p w14:paraId="6E49497F">
                  <w:pPr>
                    <w:adjustRightInd w:val="0"/>
                    <w:snapToGrid w:val="0"/>
                    <w:jc w:val="center"/>
                    <w:rPr>
                      <w:color w:val="auto"/>
                      <w:szCs w:val="21"/>
                      <w:u w:val="none" w:color="auto"/>
                    </w:rPr>
                  </w:pPr>
                </w:p>
              </w:tc>
              <w:tc>
                <w:tcPr>
                  <w:tcW w:w="1463" w:type="pct"/>
                  <w:vMerge w:val="continue"/>
                  <w:vAlign w:val="center"/>
                </w:tcPr>
                <w:p w14:paraId="4299CE52">
                  <w:pPr>
                    <w:adjustRightInd w:val="0"/>
                    <w:snapToGrid w:val="0"/>
                    <w:jc w:val="center"/>
                    <w:rPr>
                      <w:color w:val="auto"/>
                      <w:szCs w:val="21"/>
                      <w:u w:val="none" w:color="auto"/>
                    </w:rPr>
                  </w:pPr>
                </w:p>
              </w:tc>
              <w:tc>
                <w:tcPr>
                  <w:tcW w:w="592" w:type="pct"/>
                  <w:vAlign w:val="center"/>
                </w:tcPr>
                <w:p w14:paraId="117057A4">
                  <w:pPr>
                    <w:jc w:val="center"/>
                    <w:rPr>
                      <w:color w:val="auto"/>
                      <w:szCs w:val="21"/>
                      <w:u w:val="none" w:color="auto"/>
                    </w:rPr>
                  </w:pPr>
                  <w:r>
                    <w:rPr>
                      <w:color w:val="auto"/>
                      <w:szCs w:val="21"/>
                      <w:u w:val="none" w:color="auto"/>
                    </w:rPr>
                    <w:t>BOD</w:t>
                  </w:r>
                  <w:r>
                    <w:rPr>
                      <w:color w:val="auto"/>
                      <w:szCs w:val="21"/>
                      <w:u w:val="none" w:color="auto"/>
                      <w:vertAlign w:val="subscript"/>
                    </w:rPr>
                    <w:t>5</w:t>
                  </w:r>
                </w:p>
              </w:tc>
              <w:tc>
                <w:tcPr>
                  <w:tcW w:w="1502" w:type="pct"/>
                  <w:vAlign w:val="center"/>
                </w:tcPr>
                <w:p w14:paraId="14ED15ED">
                  <w:pPr>
                    <w:jc w:val="center"/>
                    <w:rPr>
                      <w:color w:val="auto"/>
                      <w:szCs w:val="21"/>
                      <w:u w:val="none" w:color="auto"/>
                    </w:rPr>
                  </w:pPr>
                  <w:r>
                    <w:rPr>
                      <w:color w:val="auto"/>
                      <w:szCs w:val="21"/>
                      <w:u w:val="none" w:color="auto"/>
                    </w:rPr>
                    <w:t>300mg/L</w:t>
                  </w:r>
                </w:p>
              </w:tc>
            </w:tr>
            <w:tr w14:paraId="60F9F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Merge w:val="continue"/>
                  <w:vAlign w:val="center"/>
                </w:tcPr>
                <w:p w14:paraId="35BBE555">
                  <w:pPr>
                    <w:adjustRightInd w:val="0"/>
                    <w:snapToGrid w:val="0"/>
                    <w:jc w:val="center"/>
                    <w:rPr>
                      <w:color w:val="auto"/>
                      <w:szCs w:val="21"/>
                      <w:u w:val="none" w:color="auto"/>
                    </w:rPr>
                  </w:pPr>
                </w:p>
              </w:tc>
              <w:tc>
                <w:tcPr>
                  <w:tcW w:w="1463" w:type="pct"/>
                  <w:vMerge w:val="continue"/>
                  <w:vAlign w:val="center"/>
                </w:tcPr>
                <w:p w14:paraId="051208CA">
                  <w:pPr>
                    <w:adjustRightInd w:val="0"/>
                    <w:snapToGrid w:val="0"/>
                    <w:jc w:val="center"/>
                    <w:rPr>
                      <w:color w:val="auto"/>
                      <w:szCs w:val="21"/>
                      <w:u w:val="none" w:color="auto"/>
                    </w:rPr>
                  </w:pPr>
                </w:p>
              </w:tc>
              <w:tc>
                <w:tcPr>
                  <w:tcW w:w="592" w:type="pct"/>
                  <w:vAlign w:val="center"/>
                </w:tcPr>
                <w:p w14:paraId="52CBF5C8">
                  <w:pPr>
                    <w:jc w:val="center"/>
                    <w:rPr>
                      <w:color w:val="auto"/>
                      <w:szCs w:val="21"/>
                      <w:u w:val="none" w:color="auto"/>
                    </w:rPr>
                  </w:pPr>
                  <w:r>
                    <w:rPr>
                      <w:color w:val="auto"/>
                      <w:szCs w:val="21"/>
                      <w:u w:val="none" w:color="auto"/>
                    </w:rPr>
                    <w:t>NH</w:t>
                  </w:r>
                  <w:r>
                    <w:rPr>
                      <w:color w:val="auto"/>
                      <w:szCs w:val="21"/>
                      <w:u w:val="none" w:color="auto"/>
                      <w:vertAlign w:val="subscript"/>
                    </w:rPr>
                    <w:t>3</w:t>
                  </w:r>
                  <w:r>
                    <w:rPr>
                      <w:color w:val="auto"/>
                      <w:szCs w:val="21"/>
                      <w:u w:val="none" w:color="auto"/>
                    </w:rPr>
                    <w:t>-N</w:t>
                  </w:r>
                </w:p>
              </w:tc>
              <w:tc>
                <w:tcPr>
                  <w:tcW w:w="1502" w:type="pct"/>
                  <w:vAlign w:val="center"/>
                </w:tcPr>
                <w:p w14:paraId="381725DA">
                  <w:pPr>
                    <w:jc w:val="center"/>
                    <w:rPr>
                      <w:color w:val="auto"/>
                      <w:szCs w:val="21"/>
                      <w:u w:val="none" w:color="auto"/>
                    </w:rPr>
                  </w:pPr>
                  <w:r>
                    <w:rPr>
                      <w:color w:val="auto"/>
                      <w:szCs w:val="21"/>
                      <w:u w:val="none" w:color="auto"/>
                    </w:rPr>
                    <w:t>/</w:t>
                  </w:r>
                </w:p>
              </w:tc>
            </w:tr>
            <w:tr w14:paraId="167F3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Merge w:val="continue"/>
                  <w:vAlign w:val="center"/>
                </w:tcPr>
                <w:p w14:paraId="3D92A184">
                  <w:pPr>
                    <w:adjustRightInd w:val="0"/>
                    <w:snapToGrid w:val="0"/>
                    <w:jc w:val="center"/>
                    <w:rPr>
                      <w:color w:val="auto"/>
                      <w:szCs w:val="21"/>
                      <w:u w:val="none" w:color="auto"/>
                    </w:rPr>
                  </w:pPr>
                </w:p>
              </w:tc>
              <w:tc>
                <w:tcPr>
                  <w:tcW w:w="1463" w:type="pct"/>
                  <w:vMerge w:val="continue"/>
                  <w:vAlign w:val="center"/>
                </w:tcPr>
                <w:p w14:paraId="2A497B9D">
                  <w:pPr>
                    <w:adjustRightInd w:val="0"/>
                    <w:snapToGrid w:val="0"/>
                    <w:jc w:val="center"/>
                    <w:rPr>
                      <w:color w:val="auto"/>
                      <w:szCs w:val="21"/>
                      <w:u w:val="none" w:color="auto"/>
                    </w:rPr>
                  </w:pPr>
                </w:p>
              </w:tc>
              <w:tc>
                <w:tcPr>
                  <w:tcW w:w="592" w:type="pct"/>
                  <w:vAlign w:val="center"/>
                </w:tcPr>
                <w:p w14:paraId="6E67145A">
                  <w:pPr>
                    <w:jc w:val="center"/>
                    <w:rPr>
                      <w:color w:val="auto"/>
                      <w:szCs w:val="21"/>
                      <w:u w:val="none" w:color="auto"/>
                    </w:rPr>
                  </w:pPr>
                  <w:r>
                    <w:rPr>
                      <w:color w:val="auto"/>
                      <w:szCs w:val="21"/>
                      <w:u w:val="none" w:color="auto"/>
                    </w:rPr>
                    <w:t>SS</w:t>
                  </w:r>
                </w:p>
              </w:tc>
              <w:tc>
                <w:tcPr>
                  <w:tcW w:w="1502" w:type="pct"/>
                  <w:vAlign w:val="center"/>
                </w:tcPr>
                <w:p w14:paraId="53EB382E">
                  <w:pPr>
                    <w:jc w:val="center"/>
                    <w:rPr>
                      <w:color w:val="auto"/>
                      <w:szCs w:val="21"/>
                      <w:u w:val="none" w:color="auto"/>
                    </w:rPr>
                  </w:pPr>
                  <w:r>
                    <w:rPr>
                      <w:color w:val="auto"/>
                      <w:szCs w:val="21"/>
                      <w:u w:val="none" w:color="auto"/>
                    </w:rPr>
                    <w:t>400mg/L</w:t>
                  </w:r>
                </w:p>
              </w:tc>
            </w:tr>
            <w:tr w14:paraId="45678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Merge w:val="continue"/>
                  <w:vAlign w:val="center"/>
                </w:tcPr>
                <w:p w14:paraId="57C2A553">
                  <w:pPr>
                    <w:adjustRightInd w:val="0"/>
                    <w:snapToGrid w:val="0"/>
                    <w:jc w:val="center"/>
                    <w:rPr>
                      <w:color w:val="auto"/>
                      <w:szCs w:val="21"/>
                      <w:u w:val="none" w:color="auto"/>
                    </w:rPr>
                  </w:pPr>
                </w:p>
              </w:tc>
              <w:tc>
                <w:tcPr>
                  <w:tcW w:w="1463" w:type="pct"/>
                  <w:vMerge w:val="restart"/>
                  <w:vAlign w:val="center"/>
                </w:tcPr>
                <w:p w14:paraId="6DCF07A3">
                  <w:pPr>
                    <w:jc w:val="center"/>
                    <w:rPr>
                      <w:color w:val="auto"/>
                      <w:szCs w:val="21"/>
                      <w:u w:val="none" w:color="auto"/>
                    </w:rPr>
                  </w:pPr>
                  <w:r>
                    <w:rPr>
                      <w:color w:val="auto"/>
                      <w:szCs w:val="21"/>
                      <w:u w:val="none" w:color="auto"/>
                    </w:rPr>
                    <w:t>镇平县污水处理厂进水水质指标</w:t>
                  </w:r>
                </w:p>
              </w:tc>
              <w:tc>
                <w:tcPr>
                  <w:tcW w:w="592" w:type="pct"/>
                  <w:vAlign w:val="center"/>
                </w:tcPr>
                <w:p w14:paraId="41725746">
                  <w:pPr>
                    <w:jc w:val="center"/>
                    <w:rPr>
                      <w:color w:val="auto"/>
                      <w:szCs w:val="21"/>
                      <w:u w:val="none" w:color="auto"/>
                    </w:rPr>
                  </w:pPr>
                  <w:r>
                    <w:rPr>
                      <w:color w:val="auto"/>
                      <w:szCs w:val="21"/>
                      <w:u w:val="none" w:color="auto"/>
                    </w:rPr>
                    <w:t>COD</w:t>
                  </w:r>
                </w:p>
              </w:tc>
              <w:tc>
                <w:tcPr>
                  <w:tcW w:w="1502" w:type="pct"/>
                  <w:vAlign w:val="center"/>
                </w:tcPr>
                <w:p w14:paraId="354E5EFA">
                  <w:pPr>
                    <w:jc w:val="center"/>
                    <w:rPr>
                      <w:color w:val="auto"/>
                      <w:szCs w:val="21"/>
                      <w:u w:val="none" w:color="auto"/>
                    </w:rPr>
                  </w:pPr>
                  <w:r>
                    <w:rPr>
                      <w:rFonts w:hint="eastAsia"/>
                      <w:color w:val="auto"/>
                      <w:szCs w:val="21"/>
                      <w:u w:val="none" w:color="auto"/>
                      <w:lang w:val="en-US" w:eastAsia="zh-CN"/>
                    </w:rPr>
                    <w:t>370</w:t>
                  </w:r>
                  <w:r>
                    <w:rPr>
                      <w:color w:val="auto"/>
                      <w:szCs w:val="21"/>
                      <w:u w:val="none" w:color="auto"/>
                    </w:rPr>
                    <w:t>mg/L</w:t>
                  </w:r>
                </w:p>
              </w:tc>
            </w:tr>
            <w:tr w14:paraId="3576F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Merge w:val="continue"/>
                  <w:vAlign w:val="center"/>
                </w:tcPr>
                <w:p w14:paraId="53D1FECD">
                  <w:pPr>
                    <w:adjustRightInd w:val="0"/>
                    <w:snapToGrid w:val="0"/>
                    <w:jc w:val="center"/>
                    <w:rPr>
                      <w:color w:val="auto"/>
                      <w:szCs w:val="21"/>
                      <w:u w:val="none" w:color="auto"/>
                    </w:rPr>
                  </w:pPr>
                </w:p>
              </w:tc>
              <w:tc>
                <w:tcPr>
                  <w:tcW w:w="1463" w:type="pct"/>
                  <w:vMerge w:val="continue"/>
                  <w:vAlign w:val="center"/>
                </w:tcPr>
                <w:p w14:paraId="5302DA39">
                  <w:pPr>
                    <w:adjustRightInd w:val="0"/>
                    <w:snapToGrid w:val="0"/>
                    <w:jc w:val="center"/>
                    <w:rPr>
                      <w:color w:val="auto"/>
                      <w:szCs w:val="21"/>
                      <w:u w:val="none" w:color="auto"/>
                    </w:rPr>
                  </w:pPr>
                </w:p>
              </w:tc>
              <w:tc>
                <w:tcPr>
                  <w:tcW w:w="592" w:type="pct"/>
                  <w:vAlign w:val="center"/>
                </w:tcPr>
                <w:p w14:paraId="5158C5BD">
                  <w:pPr>
                    <w:jc w:val="center"/>
                    <w:rPr>
                      <w:color w:val="auto"/>
                      <w:szCs w:val="21"/>
                      <w:u w:val="none" w:color="auto"/>
                    </w:rPr>
                  </w:pPr>
                  <w:r>
                    <w:rPr>
                      <w:color w:val="auto"/>
                      <w:szCs w:val="21"/>
                      <w:u w:val="none" w:color="auto"/>
                    </w:rPr>
                    <w:t>BOD</w:t>
                  </w:r>
                  <w:r>
                    <w:rPr>
                      <w:color w:val="auto"/>
                      <w:szCs w:val="21"/>
                      <w:u w:val="none" w:color="auto"/>
                      <w:vertAlign w:val="subscript"/>
                    </w:rPr>
                    <w:t>5</w:t>
                  </w:r>
                </w:p>
              </w:tc>
              <w:tc>
                <w:tcPr>
                  <w:tcW w:w="1502" w:type="pct"/>
                  <w:vAlign w:val="center"/>
                </w:tcPr>
                <w:p w14:paraId="663221EF">
                  <w:pPr>
                    <w:jc w:val="center"/>
                    <w:rPr>
                      <w:color w:val="auto"/>
                      <w:szCs w:val="21"/>
                      <w:u w:val="none" w:color="auto"/>
                    </w:rPr>
                  </w:pPr>
                  <w:r>
                    <w:rPr>
                      <w:rFonts w:hint="eastAsia"/>
                      <w:color w:val="auto"/>
                      <w:szCs w:val="21"/>
                      <w:u w:val="none" w:color="auto"/>
                      <w:lang w:val="en-US" w:eastAsia="zh-CN"/>
                    </w:rPr>
                    <w:t>160</w:t>
                  </w:r>
                  <w:r>
                    <w:rPr>
                      <w:color w:val="auto"/>
                      <w:szCs w:val="21"/>
                      <w:u w:val="none" w:color="auto"/>
                    </w:rPr>
                    <w:t>mg/L</w:t>
                  </w:r>
                </w:p>
              </w:tc>
            </w:tr>
            <w:tr w14:paraId="1A060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Merge w:val="continue"/>
                  <w:vAlign w:val="center"/>
                </w:tcPr>
                <w:p w14:paraId="7078B1D0">
                  <w:pPr>
                    <w:adjustRightInd w:val="0"/>
                    <w:snapToGrid w:val="0"/>
                    <w:jc w:val="center"/>
                    <w:rPr>
                      <w:color w:val="auto"/>
                      <w:szCs w:val="21"/>
                      <w:u w:val="none" w:color="auto"/>
                    </w:rPr>
                  </w:pPr>
                </w:p>
              </w:tc>
              <w:tc>
                <w:tcPr>
                  <w:tcW w:w="1463" w:type="pct"/>
                  <w:vMerge w:val="continue"/>
                  <w:vAlign w:val="center"/>
                </w:tcPr>
                <w:p w14:paraId="18C39508">
                  <w:pPr>
                    <w:adjustRightInd w:val="0"/>
                    <w:snapToGrid w:val="0"/>
                    <w:jc w:val="center"/>
                    <w:rPr>
                      <w:color w:val="auto"/>
                      <w:szCs w:val="21"/>
                      <w:u w:val="none" w:color="auto"/>
                    </w:rPr>
                  </w:pPr>
                </w:p>
              </w:tc>
              <w:tc>
                <w:tcPr>
                  <w:tcW w:w="592" w:type="pct"/>
                  <w:vAlign w:val="center"/>
                </w:tcPr>
                <w:p w14:paraId="5AFC19CB">
                  <w:pPr>
                    <w:jc w:val="center"/>
                    <w:rPr>
                      <w:color w:val="auto"/>
                      <w:szCs w:val="21"/>
                      <w:u w:val="none" w:color="auto"/>
                    </w:rPr>
                  </w:pPr>
                  <w:r>
                    <w:rPr>
                      <w:color w:val="auto"/>
                      <w:szCs w:val="21"/>
                      <w:u w:val="none" w:color="auto"/>
                    </w:rPr>
                    <w:t>NH</w:t>
                  </w:r>
                  <w:r>
                    <w:rPr>
                      <w:color w:val="auto"/>
                      <w:szCs w:val="21"/>
                      <w:u w:val="none" w:color="auto"/>
                      <w:vertAlign w:val="subscript"/>
                    </w:rPr>
                    <w:t>3</w:t>
                  </w:r>
                  <w:r>
                    <w:rPr>
                      <w:color w:val="auto"/>
                      <w:szCs w:val="21"/>
                      <w:u w:val="none" w:color="auto"/>
                    </w:rPr>
                    <w:t>-N</w:t>
                  </w:r>
                </w:p>
              </w:tc>
              <w:tc>
                <w:tcPr>
                  <w:tcW w:w="1502" w:type="pct"/>
                  <w:vAlign w:val="center"/>
                </w:tcPr>
                <w:p w14:paraId="72ABC2FB">
                  <w:pPr>
                    <w:jc w:val="center"/>
                    <w:rPr>
                      <w:color w:val="auto"/>
                      <w:szCs w:val="21"/>
                      <w:u w:val="none" w:color="auto"/>
                    </w:rPr>
                  </w:pPr>
                  <w:r>
                    <w:rPr>
                      <w:rFonts w:hint="eastAsia"/>
                      <w:color w:val="auto"/>
                      <w:szCs w:val="21"/>
                      <w:u w:val="none" w:color="auto"/>
                      <w:lang w:val="en-US" w:eastAsia="zh-CN"/>
                    </w:rPr>
                    <w:t>30</w:t>
                  </w:r>
                  <w:r>
                    <w:rPr>
                      <w:color w:val="auto"/>
                      <w:szCs w:val="21"/>
                      <w:u w:val="none" w:color="auto"/>
                    </w:rPr>
                    <w:t>mg/L</w:t>
                  </w:r>
                </w:p>
              </w:tc>
            </w:tr>
            <w:tr w14:paraId="19B84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Merge w:val="continue"/>
                  <w:vAlign w:val="center"/>
                </w:tcPr>
                <w:p w14:paraId="4C52E0A4">
                  <w:pPr>
                    <w:adjustRightInd w:val="0"/>
                    <w:snapToGrid w:val="0"/>
                    <w:jc w:val="center"/>
                    <w:rPr>
                      <w:color w:val="auto"/>
                      <w:szCs w:val="21"/>
                      <w:u w:val="none" w:color="auto"/>
                    </w:rPr>
                  </w:pPr>
                </w:p>
              </w:tc>
              <w:tc>
                <w:tcPr>
                  <w:tcW w:w="1463" w:type="pct"/>
                  <w:vMerge w:val="continue"/>
                  <w:vAlign w:val="center"/>
                </w:tcPr>
                <w:p w14:paraId="1DB0EB6B">
                  <w:pPr>
                    <w:adjustRightInd w:val="0"/>
                    <w:snapToGrid w:val="0"/>
                    <w:jc w:val="center"/>
                    <w:rPr>
                      <w:color w:val="auto"/>
                      <w:szCs w:val="21"/>
                      <w:u w:val="none" w:color="auto"/>
                    </w:rPr>
                  </w:pPr>
                </w:p>
              </w:tc>
              <w:tc>
                <w:tcPr>
                  <w:tcW w:w="592" w:type="pct"/>
                  <w:vAlign w:val="center"/>
                </w:tcPr>
                <w:p w14:paraId="70B2EA91">
                  <w:pPr>
                    <w:jc w:val="center"/>
                    <w:rPr>
                      <w:color w:val="auto"/>
                      <w:szCs w:val="21"/>
                      <w:u w:val="none" w:color="auto"/>
                    </w:rPr>
                  </w:pPr>
                  <w:r>
                    <w:rPr>
                      <w:color w:val="auto"/>
                      <w:szCs w:val="21"/>
                      <w:u w:val="none" w:color="auto"/>
                    </w:rPr>
                    <w:t>SS</w:t>
                  </w:r>
                </w:p>
              </w:tc>
              <w:tc>
                <w:tcPr>
                  <w:tcW w:w="1502" w:type="pct"/>
                  <w:vAlign w:val="center"/>
                </w:tcPr>
                <w:p w14:paraId="39A7BAF7">
                  <w:pPr>
                    <w:jc w:val="center"/>
                    <w:rPr>
                      <w:color w:val="auto"/>
                      <w:szCs w:val="21"/>
                      <w:u w:val="none" w:color="auto"/>
                    </w:rPr>
                  </w:pPr>
                  <w:r>
                    <w:rPr>
                      <w:rFonts w:hint="eastAsia"/>
                      <w:color w:val="auto"/>
                      <w:szCs w:val="21"/>
                      <w:u w:val="none" w:color="auto"/>
                      <w:lang w:val="en-US" w:eastAsia="zh-CN"/>
                    </w:rPr>
                    <w:t>230</w:t>
                  </w:r>
                  <w:r>
                    <w:rPr>
                      <w:color w:val="auto"/>
                      <w:szCs w:val="21"/>
                      <w:u w:val="none" w:color="auto"/>
                    </w:rPr>
                    <w:t>mg/L</w:t>
                  </w:r>
                </w:p>
              </w:tc>
            </w:tr>
            <w:tr w14:paraId="6D2F7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Merge w:val="continue"/>
                  <w:vAlign w:val="center"/>
                </w:tcPr>
                <w:p w14:paraId="697DF623">
                  <w:pPr>
                    <w:adjustRightInd w:val="0"/>
                    <w:snapToGrid w:val="0"/>
                    <w:jc w:val="center"/>
                    <w:rPr>
                      <w:color w:val="auto"/>
                      <w:szCs w:val="21"/>
                      <w:u w:val="none" w:color="auto"/>
                    </w:rPr>
                  </w:pPr>
                </w:p>
              </w:tc>
              <w:tc>
                <w:tcPr>
                  <w:tcW w:w="1463" w:type="pct"/>
                  <w:vMerge w:val="restart"/>
                  <w:vAlign w:val="center"/>
                </w:tcPr>
                <w:p w14:paraId="7C7F3585">
                  <w:pPr>
                    <w:adjustRightInd w:val="0"/>
                    <w:snapToGrid w:val="0"/>
                    <w:jc w:val="center"/>
                    <w:rPr>
                      <w:color w:val="auto"/>
                      <w:szCs w:val="21"/>
                      <w:u w:val="none" w:color="auto"/>
                    </w:rPr>
                  </w:pPr>
                  <w:r>
                    <w:rPr>
                      <w:color w:val="auto"/>
                      <w:szCs w:val="21"/>
                      <w:u w:val="none" w:color="auto"/>
                    </w:rPr>
                    <w:t>《城镇污水处理厂污染物排放标准》（GB18918-2002）一级A标准</w:t>
                  </w:r>
                </w:p>
              </w:tc>
              <w:tc>
                <w:tcPr>
                  <w:tcW w:w="592" w:type="pct"/>
                  <w:vAlign w:val="center"/>
                </w:tcPr>
                <w:p w14:paraId="312228E2">
                  <w:pPr>
                    <w:jc w:val="center"/>
                    <w:rPr>
                      <w:color w:val="auto"/>
                      <w:szCs w:val="21"/>
                      <w:u w:val="none" w:color="auto"/>
                    </w:rPr>
                  </w:pPr>
                  <w:r>
                    <w:rPr>
                      <w:color w:val="auto"/>
                      <w:szCs w:val="21"/>
                      <w:u w:val="none" w:color="auto"/>
                    </w:rPr>
                    <w:t>COD</w:t>
                  </w:r>
                </w:p>
              </w:tc>
              <w:tc>
                <w:tcPr>
                  <w:tcW w:w="1502" w:type="pct"/>
                  <w:vAlign w:val="center"/>
                </w:tcPr>
                <w:p w14:paraId="1C925CC4">
                  <w:pPr>
                    <w:jc w:val="center"/>
                    <w:rPr>
                      <w:color w:val="auto"/>
                      <w:szCs w:val="21"/>
                      <w:u w:val="none" w:color="auto"/>
                    </w:rPr>
                  </w:pPr>
                  <w:r>
                    <w:rPr>
                      <w:color w:val="auto"/>
                      <w:szCs w:val="21"/>
                      <w:u w:val="none" w:color="auto"/>
                    </w:rPr>
                    <w:t>50mg/L</w:t>
                  </w:r>
                </w:p>
              </w:tc>
            </w:tr>
            <w:tr w14:paraId="3C7DC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Merge w:val="continue"/>
                  <w:vAlign w:val="center"/>
                </w:tcPr>
                <w:p w14:paraId="47128802">
                  <w:pPr>
                    <w:adjustRightInd w:val="0"/>
                    <w:snapToGrid w:val="0"/>
                    <w:jc w:val="center"/>
                    <w:rPr>
                      <w:color w:val="auto"/>
                      <w:szCs w:val="21"/>
                      <w:u w:val="none" w:color="auto"/>
                    </w:rPr>
                  </w:pPr>
                </w:p>
              </w:tc>
              <w:tc>
                <w:tcPr>
                  <w:tcW w:w="1463" w:type="pct"/>
                  <w:vMerge w:val="continue"/>
                  <w:vAlign w:val="center"/>
                </w:tcPr>
                <w:p w14:paraId="01E080B8">
                  <w:pPr>
                    <w:adjustRightInd w:val="0"/>
                    <w:snapToGrid w:val="0"/>
                    <w:jc w:val="center"/>
                    <w:rPr>
                      <w:color w:val="auto"/>
                      <w:szCs w:val="21"/>
                      <w:u w:val="none" w:color="auto"/>
                    </w:rPr>
                  </w:pPr>
                </w:p>
              </w:tc>
              <w:tc>
                <w:tcPr>
                  <w:tcW w:w="592" w:type="pct"/>
                  <w:vAlign w:val="center"/>
                </w:tcPr>
                <w:p w14:paraId="52771FE9">
                  <w:pPr>
                    <w:jc w:val="center"/>
                    <w:rPr>
                      <w:color w:val="auto"/>
                      <w:szCs w:val="21"/>
                      <w:u w:val="none" w:color="auto"/>
                    </w:rPr>
                  </w:pPr>
                  <w:r>
                    <w:rPr>
                      <w:color w:val="auto"/>
                      <w:szCs w:val="21"/>
                      <w:u w:val="none" w:color="auto"/>
                    </w:rPr>
                    <w:t>BOD</w:t>
                  </w:r>
                  <w:r>
                    <w:rPr>
                      <w:color w:val="auto"/>
                      <w:szCs w:val="21"/>
                      <w:u w:val="none" w:color="auto"/>
                      <w:vertAlign w:val="subscript"/>
                    </w:rPr>
                    <w:t>5</w:t>
                  </w:r>
                </w:p>
              </w:tc>
              <w:tc>
                <w:tcPr>
                  <w:tcW w:w="1502" w:type="pct"/>
                  <w:vAlign w:val="center"/>
                </w:tcPr>
                <w:p w14:paraId="22F25804">
                  <w:pPr>
                    <w:jc w:val="center"/>
                    <w:rPr>
                      <w:color w:val="auto"/>
                      <w:szCs w:val="21"/>
                      <w:u w:val="none" w:color="auto"/>
                    </w:rPr>
                  </w:pPr>
                  <w:r>
                    <w:rPr>
                      <w:color w:val="auto"/>
                      <w:szCs w:val="21"/>
                      <w:u w:val="none" w:color="auto"/>
                    </w:rPr>
                    <w:t>10mg/L</w:t>
                  </w:r>
                </w:p>
              </w:tc>
            </w:tr>
            <w:tr w14:paraId="74187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Merge w:val="continue"/>
                  <w:vAlign w:val="center"/>
                </w:tcPr>
                <w:p w14:paraId="455860E1">
                  <w:pPr>
                    <w:adjustRightInd w:val="0"/>
                    <w:snapToGrid w:val="0"/>
                    <w:jc w:val="center"/>
                    <w:rPr>
                      <w:color w:val="auto"/>
                      <w:szCs w:val="21"/>
                      <w:u w:val="none" w:color="auto"/>
                    </w:rPr>
                  </w:pPr>
                </w:p>
              </w:tc>
              <w:tc>
                <w:tcPr>
                  <w:tcW w:w="1463" w:type="pct"/>
                  <w:vMerge w:val="continue"/>
                  <w:vAlign w:val="center"/>
                </w:tcPr>
                <w:p w14:paraId="47B9A1AA">
                  <w:pPr>
                    <w:adjustRightInd w:val="0"/>
                    <w:snapToGrid w:val="0"/>
                    <w:jc w:val="center"/>
                    <w:rPr>
                      <w:color w:val="auto"/>
                      <w:szCs w:val="21"/>
                      <w:u w:val="none" w:color="auto"/>
                    </w:rPr>
                  </w:pPr>
                </w:p>
              </w:tc>
              <w:tc>
                <w:tcPr>
                  <w:tcW w:w="592" w:type="pct"/>
                  <w:vAlign w:val="center"/>
                </w:tcPr>
                <w:p w14:paraId="7097A60A">
                  <w:pPr>
                    <w:jc w:val="center"/>
                    <w:rPr>
                      <w:color w:val="auto"/>
                      <w:szCs w:val="21"/>
                      <w:u w:val="none" w:color="auto"/>
                    </w:rPr>
                  </w:pPr>
                  <w:r>
                    <w:rPr>
                      <w:color w:val="auto"/>
                      <w:szCs w:val="21"/>
                      <w:u w:val="none" w:color="auto"/>
                    </w:rPr>
                    <w:t>NH</w:t>
                  </w:r>
                  <w:r>
                    <w:rPr>
                      <w:color w:val="auto"/>
                      <w:szCs w:val="21"/>
                      <w:u w:val="none" w:color="auto"/>
                      <w:vertAlign w:val="subscript"/>
                    </w:rPr>
                    <w:t>3</w:t>
                  </w:r>
                  <w:r>
                    <w:rPr>
                      <w:color w:val="auto"/>
                      <w:szCs w:val="21"/>
                      <w:u w:val="none" w:color="auto"/>
                    </w:rPr>
                    <w:t>-N</w:t>
                  </w:r>
                </w:p>
              </w:tc>
              <w:tc>
                <w:tcPr>
                  <w:tcW w:w="1502" w:type="pct"/>
                  <w:vAlign w:val="center"/>
                </w:tcPr>
                <w:p w14:paraId="6B9806C9">
                  <w:pPr>
                    <w:jc w:val="center"/>
                    <w:rPr>
                      <w:color w:val="auto"/>
                      <w:szCs w:val="21"/>
                      <w:u w:val="none" w:color="auto"/>
                    </w:rPr>
                  </w:pPr>
                  <w:r>
                    <w:rPr>
                      <w:color w:val="auto"/>
                      <w:szCs w:val="21"/>
                      <w:u w:val="none" w:color="auto"/>
                    </w:rPr>
                    <w:t>5（8）mg/L</w:t>
                  </w:r>
                </w:p>
              </w:tc>
            </w:tr>
            <w:tr w14:paraId="09DC1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Merge w:val="continue"/>
                  <w:vAlign w:val="center"/>
                </w:tcPr>
                <w:p w14:paraId="3AD06E8F">
                  <w:pPr>
                    <w:adjustRightInd w:val="0"/>
                    <w:snapToGrid w:val="0"/>
                    <w:jc w:val="center"/>
                    <w:rPr>
                      <w:color w:val="auto"/>
                      <w:szCs w:val="21"/>
                      <w:u w:val="none" w:color="auto"/>
                    </w:rPr>
                  </w:pPr>
                </w:p>
              </w:tc>
              <w:tc>
                <w:tcPr>
                  <w:tcW w:w="1463" w:type="pct"/>
                  <w:vMerge w:val="continue"/>
                  <w:vAlign w:val="center"/>
                </w:tcPr>
                <w:p w14:paraId="0786F624">
                  <w:pPr>
                    <w:adjustRightInd w:val="0"/>
                    <w:snapToGrid w:val="0"/>
                    <w:jc w:val="center"/>
                    <w:rPr>
                      <w:color w:val="auto"/>
                      <w:szCs w:val="21"/>
                      <w:u w:val="none" w:color="auto"/>
                    </w:rPr>
                  </w:pPr>
                </w:p>
              </w:tc>
              <w:tc>
                <w:tcPr>
                  <w:tcW w:w="592" w:type="pct"/>
                  <w:vAlign w:val="center"/>
                </w:tcPr>
                <w:p w14:paraId="55526012">
                  <w:pPr>
                    <w:jc w:val="center"/>
                    <w:rPr>
                      <w:color w:val="auto"/>
                      <w:szCs w:val="21"/>
                      <w:u w:val="none" w:color="auto"/>
                    </w:rPr>
                  </w:pPr>
                  <w:r>
                    <w:rPr>
                      <w:color w:val="auto"/>
                      <w:szCs w:val="21"/>
                      <w:u w:val="none" w:color="auto"/>
                    </w:rPr>
                    <w:t>SS</w:t>
                  </w:r>
                </w:p>
              </w:tc>
              <w:tc>
                <w:tcPr>
                  <w:tcW w:w="1502" w:type="pct"/>
                  <w:vAlign w:val="center"/>
                </w:tcPr>
                <w:p w14:paraId="35E7085E">
                  <w:pPr>
                    <w:jc w:val="center"/>
                    <w:rPr>
                      <w:color w:val="auto"/>
                      <w:szCs w:val="21"/>
                      <w:u w:val="none" w:color="auto"/>
                    </w:rPr>
                  </w:pPr>
                  <w:r>
                    <w:rPr>
                      <w:color w:val="auto"/>
                      <w:szCs w:val="21"/>
                      <w:u w:val="none" w:color="auto"/>
                    </w:rPr>
                    <w:t>10mg/L</w:t>
                  </w:r>
                </w:p>
              </w:tc>
            </w:tr>
            <w:tr w14:paraId="547EB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Merge w:val="restart"/>
                  <w:vAlign w:val="center"/>
                </w:tcPr>
                <w:p w14:paraId="7739B639">
                  <w:pPr>
                    <w:adjustRightInd w:val="0"/>
                    <w:snapToGrid w:val="0"/>
                    <w:jc w:val="center"/>
                    <w:rPr>
                      <w:color w:val="auto"/>
                      <w:szCs w:val="21"/>
                      <w:u w:val="none" w:color="auto"/>
                    </w:rPr>
                  </w:pPr>
                  <w:r>
                    <w:rPr>
                      <w:color w:val="auto"/>
                      <w:szCs w:val="21"/>
                      <w:u w:val="none" w:color="auto"/>
                    </w:rPr>
                    <w:t>噪声</w:t>
                  </w:r>
                </w:p>
              </w:tc>
              <w:tc>
                <w:tcPr>
                  <w:tcW w:w="1463" w:type="pct"/>
                  <w:vMerge w:val="restart"/>
                  <w:vAlign w:val="center"/>
                </w:tcPr>
                <w:p w14:paraId="4367787B">
                  <w:pPr>
                    <w:adjustRightInd w:val="0"/>
                    <w:snapToGrid w:val="0"/>
                    <w:jc w:val="center"/>
                    <w:rPr>
                      <w:color w:val="auto"/>
                      <w:szCs w:val="21"/>
                      <w:u w:val="none" w:color="auto"/>
                    </w:rPr>
                  </w:pPr>
                  <w:r>
                    <w:rPr>
                      <w:color w:val="auto"/>
                      <w:szCs w:val="21"/>
                      <w:u w:val="none" w:color="auto"/>
                    </w:rPr>
                    <w:t>《工业企业厂界环境噪声排放标准》</w:t>
                  </w:r>
                  <w:r>
                    <w:rPr>
                      <w:rFonts w:hint="eastAsia"/>
                      <w:color w:val="auto"/>
                      <w:szCs w:val="21"/>
                      <w:u w:val="none" w:color="auto"/>
                    </w:rPr>
                    <w:t>（</w:t>
                  </w:r>
                  <w:r>
                    <w:rPr>
                      <w:color w:val="auto"/>
                      <w:szCs w:val="21"/>
                      <w:u w:val="none" w:color="auto"/>
                    </w:rPr>
                    <w:t>GB12348-2008</w:t>
                  </w:r>
                  <w:r>
                    <w:rPr>
                      <w:rFonts w:hint="eastAsia"/>
                      <w:color w:val="auto"/>
                      <w:szCs w:val="21"/>
                      <w:u w:val="none" w:color="auto"/>
                    </w:rPr>
                    <w:t>）</w:t>
                  </w:r>
                </w:p>
              </w:tc>
              <w:tc>
                <w:tcPr>
                  <w:tcW w:w="592" w:type="pct"/>
                  <w:vMerge w:val="restart"/>
                  <w:vAlign w:val="center"/>
                </w:tcPr>
                <w:p w14:paraId="66C20579">
                  <w:pPr>
                    <w:adjustRightInd w:val="0"/>
                    <w:snapToGrid w:val="0"/>
                    <w:jc w:val="center"/>
                    <w:rPr>
                      <w:color w:val="auto"/>
                      <w:szCs w:val="21"/>
                      <w:u w:val="none" w:color="auto"/>
                    </w:rPr>
                  </w:pPr>
                  <w:r>
                    <w:rPr>
                      <w:color w:val="auto"/>
                      <w:szCs w:val="21"/>
                      <w:u w:val="none" w:color="auto"/>
                    </w:rPr>
                    <w:t>2类</w:t>
                  </w:r>
                </w:p>
              </w:tc>
              <w:tc>
                <w:tcPr>
                  <w:tcW w:w="1502" w:type="pct"/>
                  <w:vAlign w:val="center"/>
                </w:tcPr>
                <w:p w14:paraId="1FB572AB">
                  <w:pPr>
                    <w:jc w:val="center"/>
                    <w:rPr>
                      <w:color w:val="auto"/>
                      <w:szCs w:val="21"/>
                      <w:u w:val="none" w:color="auto"/>
                    </w:rPr>
                  </w:pPr>
                  <w:r>
                    <w:rPr>
                      <w:color w:val="auto"/>
                      <w:szCs w:val="21"/>
                      <w:u w:val="none" w:color="auto"/>
                    </w:rPr>
                    <w:t>昼间：60dB(A)</w:t>
                  </w:r>
                </w:p>
              </w:tc>
            </w:tr>
            <w:tr w14:paraId="0ED03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Merge w:val="continue"/>
                  <w:vAlign w:val="center"/>
                </w:tcPr>
                <w:p w14:paraId="2ED03CED">
                  <w:pPr>
                    <w:adjustRightInd w:val="0"/>
                    <w:snapToGrid w:val="0"/>
                    <w:jc w:val="center"/>
                    <w:rPr>
                      <w:color w:val="auto"/>
                      <w:szCs w:val="21"/>
                      <w:u w:val="none" w:color="auto"/>
                    </w:rPr>
                  </w:pPr>
                </w:p>
              </w:tc>
              <w:tc>
                <w:tcPr>
                  <w:tcW w:w="1463" w:type="pct"/>
                  <w:vMerge w:val="continue"/>
                  <w:vAlign w:val="center"/>
                </w:tcPr>
                <w:p w14:paraId="045041D3">
                  <w:pPr>
                    <w:adjustRightInd w:val="0"/>
                    <w:snapToGrid w:val="0"/>
                    <w:jc w:val="center"/>
                    <w:rPr>
                      <w:color w:val="auto"/>
                      <w:szCs w:val="21"/>
                      <w:u w:val="none" w:color="auto"/>
                    </w:rPr>
                  </w:pPr>
                </w:p>
              </w:tc>
              <w:tc>
                <w:tcPr>
                  <w:tcW w:w="592" w:type="pct"/>
                  <w:vMerge w:val="continue"/>
                  <w:vAlign w:val="center"/>
                </w:tcPr>
                <w:p w14:paraId="7A0542ED">
                  <w:pPr>
                    <w:adjustRightInd w:val="0"/>
                    <w:snapToGrid w:val="0"/>
                    <w:jc w:val="center"/>
                    <w:rPr>
                      <w:color w:val="auto"/>
                      <w:szCs w:val="21"/>
                      <w:u w:val="none" w:color="auto"/>
                    </w:rPr>
                  </w:pPr>
                </w:p>
              </w:tc>
              <w:tc>
                <w:tcPr>
                  <w:tcW w:w="1502" w:type="pct"/>
                  <w:vAlign w:val="center"/>
                </w:tcPr>
                <w:p w14:paraId="78E9566A">
                  <w:pPr>
                    <w:adjustRightInd w:val="0"/>
                    <w:snapToGrid w:val="0"/>
                    <w:jc w:val="center"/>
                    <w:rPr>
                      <w:color w:val="auto"/>
                      <w:szCs w:val="21"/>
                      <w:u w:val="none" w:color="auto"/>
                    </w:rPr>
                  </w:pPr>
                  <w:r>
                    <w:rPr>
                      <w:color w:val="auto"/>
                      <w:szCs w:val="21"/>
                      <w:u w:val="none" w:color="auto"/>
                    </w:rPr>
                    <w:t>夜间：50dB(A)</w:t>
                  </w:r>
                </w:p>
              </w:tc>
            </w:tr>
            <w:tr w14:paraId="21F07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2" w:type="pct"/>
                  <w:vAlign w:val="center"/>
                </w:tcPr>
                <w:p w14:paraId="2FB06C40">
                  <w:pPr>
                    <w:jc w:val="center"/>
                    <w:rPr>
                      <w:color w:val="auto"/>
                      <w:szCs w:val="21"/>
                      <w:u w:val="none" w:color="auto"/>
                    </w:rPr>
                  </w:pPr>
                  <w:r>
                    <w:rPr>
                      <w:color w:val="auto"/>
                      <w:szCs w:val="21"/>
                      <w:u w:val="none" w:color="auto"/>
                    </w:rPr>
                    <w:t>固废</w:t>
                  </w:r>
                </w:p>
              </w:tc>
              <w:tc>
                <w:tcPr>
                  <w:tcW w:w="3557" w:type="pct"/>
                  <w:gridSpan w:val="3"/>
                  <w:vAlign w:val="center"/>
                </w:tcPr>
                <w:p w14:paraId="157725B5">
                  <w:pPr>
                    <w:jc w:val="center"/>
                    <w:rPr>
                      <w:color w:val="auto"/>
                      <w:szCs w:val="21"/>
                      <w:u w:val="none" w:color="auto"/>
                    </w:rPr>
                  </w:pPr>
                  <w:r>
                    <w:rPr>
                      <w:color w:val="auto"/>
                      <w:szCs w:val="21"/>
                      <w:u w:val="none" w:color="auto"/>
                    </w:rPr>
                    <w:t>一般固体废物执行《一般工业固体废物贮存和填埋污染控制标准》（GB18599-2020）；危险废物执行《危险废物贮存污染控制标准》（GB18597-2023）</w:t>
                  </w:r>
                </w:p>
              </w:tc>
            </w:tr>
          </w:tbl>
          <w:p w14:paraId="787480C3">
            <w:pPr>
              <w:rPr>
                <w:rFonts w:hint="default" w:ascii="Times New Roman" w:hAnsi="Times New Roman" w:cs="Times New Roman"/>
                <w:color w:val="auto"/>
                <w:sz w:val="24"/>
                <w:highlight w:val="none"/>
                <w:u w:val="none" w:color="auto"/>
              </w:rPr>
            </w:pPr>
          </w:p>
        </w:tc>
      </w:tr>
      <w:tr w14:paraId="00F69B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21" w:hRule="atLeast"/>
          <w:jc w:val="center"/>
        </w:trPr>
        <w:tc>
          <w:tcPr>
            <w:tcW w:w="386" w:type="pct"/>
            <w:noWrap w:val="0"/>
            <w:vAlign w:val="center"/>
          </w:tcPr>
          <w:p w14:paraId="76A14BCC">
            <w:pPr>
              <w:adjustRightInd w:val="0"/>
              <w:snapToGrid w:val="0"/>
              <w:jc w:val="center"/>
              <w:rPr>
                <w:rFonts w:hint="default" w:ascii="Times New Roman" w:hAnsi="Times New Roman" w:cs="Times New Roman"/>
                <w:color w:val="auto"/>
                <w:kern w:val="0"/>
                <w:sz w:val="24"/>
                <w:highlight w:val="none"/>
                <w:u w:val="none" w:color="auto"/>
              </w:rPr>
            </w:pPr>
            <w:r>
              <w:rPr>
                <w:rFonts w:hint="default" w:ascii="Times New Roman" w:hAnsi="Times New Roman" w:cs="Times New Roman"/>
                <w:color w:val="auto"/>
                <w:kern w:val="0"/>
                <w:sz w:val="24"/>
                <w:highlight w:val="none"/>
                <w:u w:val="none" w:color="auto"/>
              </w:rPr>
              <w:t>总量</w:t>
            </w:r>
          </w:p>
          <w:p w14:paraId="34C61305">
            <w:pPr>
              <w:adjustRightInd w:val="0"/>
              <w:snapToGrid w:val="0"/>
              <w:jc w:val="center"/>
              <w:rPr>
                <w:rFonts w:hint="default" w:ascii="Times New Roman" w:hAnsi="Times New Roman" w:cs="Times New Roman"/>
                <w:color w:val="auto"/>
                <w:kern w:val="0"/>
                <w:sz w:val="24"/>
                <w:highlight w:val="none"/>
                <w:u w:val="none" w:color="auto"/>
              </w:rPr>
            </w:pPr>
            <w:r>
              <w:rPr>
                <w:rFonts w:hint="default" w:ascii="Times New Roman" w:hAnsi="Times New Roman" w:cs="Times New Roman"/>
                <w:color w:val="auto"/>
                <w:kern w:val="0"/>
                <w:sz w:val="24"/>
                <w:highlight w:val="none"/>
                <w:u w:val="none" w:color="auto"/>
              </w:rPr>
              <w:t>控制</w:t>
            </w:r>
          </w:p>
          <w:p w14:paraId="01676C33">
            <w:pPr>
              <w:adjustRightInd w:val="0"/>
              <w:snapToGrid w:val="0"/>
              <w:jc w:val="center"/>
              <w:rPr>
                <w:rFonts w:hint="default" w:ascii="Times New Roman" w:hAnsi="Times New Roman" w:cs="Times New Roman"/>
                <w:color w:val="auto"/>
                <w:kern w:val="0"/>
                <w:sz w:val="24"/>
                <w:highlight w:val="none"/>
                <w:u w:val="none" w:color="auto"/>
              </w:rPr>
            </w:pPr>
            <w:r>
              <w:rPr>
                <w:rFonts w:hint="default" w:ascii="Times New Roman" w:hAnsi="Times New Roman" w:cs="Times New Roman"/>
                <w:color w:val="auto"/>
                <w:kern w:val="0"/>
                <w:sz w:val="24"/>
                <w:highlight w:val="none"/>
                <w:u w:val="none" w:color="auto"/>
              </w:rPr>
              <w:t>指标</w:t>
            </w:r>
          </w:p>
        </w:tc>
        <w:tc>
          <w:tcPr>
            <w:tcW w:w="4613" w:type="pct"/>
            <w:noWrap w:val="0"/>
            <w:vAlign w:val="center"/>
          </w:tcPr>
          <w:p w14:paraId="779B73E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根据《国务院关于印发“十四五”节能减排综合工作方案的通知》（国发〔2021〕33号）、生态环境部办公厅《关于做好“十四五”主要污染物总量减排工作的通知》（环办综合函〔2021〕323号），“十四五”时期，国家明确列入总量减排的主要污染物为：化学需氧量、氨氮、氮氧化物、挥发性有机物四项。</w:t>
            </w:r>
          </w:p>
          <w:p w14:paraId="455E5600">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highlight w:val="none"/>
                <w:u w:val="none" w:color="auto"/>
                <w:lang w:bidi="ar"/>
              </w:rPr>
            </w:pPr>
            <w:r>
              <w:rPr>
                <w:rFonts w:hint="default" w:ascii="Times New Roman" w:hAnsi="Times New Roman" w:eastAsia="宋体" w:cs="Times New Roman"/>
                <w:color w:val="auto"/>
                <w:kern w:val="0"/>
                <w:sz w:val="24"/>
                <w:szCs w:val="24"/>
                <w:highlight w:val="none"/>
                <w:u w:val="none" w:color="auto"/>
                <w:lang w:bidi="ar"/>
              </w:rPr>
              <w:t>（1）大气污染物总量：项目营运期废气类型主要为颗粒物和非甲烷总烃，经过处理后颗粒物排放量为</w:t>
            </w:r>
            <w:r>
              <w:rPr>
                <w:rFonts w:hint="default" w:ascii="Times New Roman" w:hAnsi="Times New Roman" w:eastAsia="宋体" w:cs="Times New Roman"/>
                <w:color w:val="auto"/>
                <w:kern w:val="0"/>
                <w:sz w:val="24"/>
                <w:szCs w:val="24"/>
                <w:highlight w:val="none"/>
                <w:u w:val="none" w:color="auto"/>
                <w:lang w:val="en-US" w:eastAsia="zh-CN" w:bidi="ar"/>
              </w:rPr>
              <w:t>104.52kg/a</w:t>
            </w:r>
            <w:r>
              <w:rPr>
                <w:rFonts w:hint="default" w:ascii="Times New Roman" w:hAnsi="Times New Roman" w:eastAsia="宋体" w:cs="Times New Roman"/>
                <w:color w:val="auto"/>
                <w:kern w:val="0"/>
                <w:sz w:val="24"/>
                <w:szCs w:val="24"/>
                <w:highlight w:val="none"/>
                <w:u w:val="none" w:color="auto"/>
                <w:lang w:bidi="ar"/>
              </w:rPr>
              <w:t>，非甲烷总烃排放量为</w:t>
            </w:r>
            <w:r>
              <w:rPr>
                <w:rFonts w:hint="default" w:ascii="Times New Roman" w:hAnsi="Times New Roman" w:eastAsia="宋体" w:cs="Times New Roman"/>
                <w:color w:val="auto"/>
                <w:kern w:val="0"/>
                <w:sz w:val="24"/>
                <w:szCs w:val="24"/>
                <w:highlight w:val="none"/>
                <w:u w:val="none" w:color="auto"/>
                <w:lang w:val="en-US" w:eastAsia="zh-CN" w:bidi="ar"/>
              </w:rPr>
              <w:t>230kg/</w:t>
            </w:r>
            <w:r>
              <w:rPr>
                <w:rFonts w:hint="eastAsia" w:cs="Times New Roman"/>
                <w:color w:val="auto"/>
                <w:kern w:val="0"/>
                <w:sz w:val="24"/>
                <w:szCs w:val="24"/>
                <w:highlight w:val="none"/>
                <w:u w:val="none" w:color="auto"/>
                <w:lang w:val="en-US" w:eastAsia="zh-CN" w:bidi="ar"/>
              </w:rPr>
              <w:t>a</w:t>
            </w:r>
            <w:r>
              <w:rPr>
                <w:rFonts w:hint="default" w:ascii="Times New Roman" w:hAnsi="Times New Roman" w:eastAsia="宋体" w:cs="Times New Roman"/>
                <w:color w:val="auto"/>
                <w:kern w:val="0"/>
                <w:sz w:val="24"/>
                <w:szCs w:val="24"/>
                <w:highlight w:val="none"/>
                <w:u w:val="none" w:color="auto"/>
                <w:lang w:bidi="ar"/>
              </w:rPr>
              <w:t>。</w:t>
            </w:r>
          </w:p>
          <w:p w14:paraId="539CF4F2">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highlight w:val="none"/>
                <w:u w:val="none" w:color="auto"/>
                <w:lang w:bidi="ar"/>
              </w:rPr>
            </w:pPr>
            <w:r>
              <w:rPr>
                <w:rFonts w:hint="default" w:ascii="Times New Roman" w:hAnsi="Times New Roman" w:eastAsia="宋体" w:cs="Times New Roman"/>
                <w:color w:val="auto"/>
                <w:kern w:val="0"/>
                <w:sz w:val="24"/>
                <w:szCs w:val="24"/>
                <w:highlight w:val="none"/>
                <w:u w:val="none" w:color="auto"/>
                <w:lang w:bidi="ar"/>
              </w:rPr>
              <w:t>（2）废水污染物总量：本项目营运期</w:t>
            </w:r>
            <w:r>
              <w:rPr>
                <w:rFonts w:hint="default" w:ascii="Times New Roman" w:hAnsi="Times New Roman" w:eastAsia="宋体" w:cs="Times New Roman"/>
                <w:color w:val="auto"/>
                <w:sz w:val="24"/>
                <w:szCs w:val="24"/>
                <w:highlight w:val="none"/>
                <w:u w:val="none" w:color="auto"/>
                <w:lang w:val="en-US" w:eastAsia="zh-CN"/>
              </w:rPr>
              <w:t>师生日常生活污水与经现有地埋式隔油池（1座，地埋式，容积230m</w:t>
            </w:r>
            <w:r>
              <w:rPr>
                <w:rFonts w:hint="default" w:ascii="Times New Roman" w:hAnsi="Times New Roman" w:eastAsia="宋体" w:cs="Times New Roman"/>
                <w:color w:val="auto"/>
                <w:sz w:val="24"/>
                <w:szCs w:val="24"/>
                <w:highlight w:val="none"/>
                <w:u w:val="none" w:color="auto"/>
                <w:vertAlign w:val="superscript"/>
                <w:lang w:val="en-US" w:eastAsia="zh-CN"/>
              </w:rPr>
              <w:t>3</w:t>
            </w:r>
            <w:r>
              <w:rPr>
                <w:rFonts w:hint="default" w:ascii="Times New Roman" w:hAnsi="Times New Roman" w:eastAsia="宋体" w:cs="Times New Roman"/>
                <w:color w:val="auto"/>
                <w:sz w:val="24"/>
                <w:szCs w:val="24"/>
                <w:highlight w:val="none"/>
                <w:u w:val="none" w:color="auto"/>
                <w:lang w:val="en-US" w:eastAsia="zh-CN"/>
              </w:rPr>
              <w:t>）处理后的</w:t>
            </w:r>
            <w:r>
              <w:rPr>
                <w:rFonts w:hint="eastAsia" w:cs="Times New Roman"/>
                <w:color w:val="auto"/>
                <w:sz w:val="24"/>
                <w:szCs w:val="24"/>
                <w:highlight w:val="none"/>
                <w:u w:val="none" w:color="auto"/>
                <w:lang w:val="en-US" w:eastAsia="zh-CN"/>
              </w:rPr>
              <w:t>餐厅</w:t>
            </w:r>
            <w:r>
              <w:rPr>
                <w:rFonts w:hint="default" w:ascii="Times New Roman" w:hAnsi="Times New Roman" w:eastAsia="宋体" w:cs="Times New Roman"/>
                <w:color w:val="auto"/>
                <w:sz w:val="24"/>
                <w:szCs w:val="24"/>
                <w:highlight w:val="none"/>
                <w:u w:val="none" w:color="auto"/>
                <w:lang w:val="en-US" w:eastAsia="zh-CN"/>
              </w:rPr>
              <w:t>废水以及经中和池（新建，1座，地埋式，容积5m</w:t>
            </w:r>
            <w:r>
              <w:rPr>
                <w:rFonts w:hint="default" w:ascii="Times New Roman" w:hAnsi="Times New Roman" w:eastAsia="宋体" w:cs="Times New Roman"/>
                <w:color w:val="auto"/>
                <w:sz w:val="24"/>
                <w:szCs w:val="24"/>
                <w:highlight w:val="none"/>
                <w:u w:val="none" w:color="auto"/>
                <w:vertAlign w:val="superscript"/>
                <w:lang w:val="en-US" w:eastAsia="zh-CN"/>
              </w:rPr>
              <w:t>3</w:t>
            </w:r>
            <w:r>
              <w:rPr>
                <w:rFonts w:hint="default" w:ascii="Times New Roman" w:hAnsi="Times New Roman" w:eastAsia="宋体" w:cs="Times New Roman"/>
                <w:color w:val="auto"/>
                <w:sz w:val="24"/>
                <w:szCs w:val="24"/>
                <w:highlight w:val="none"/>
                <w:u w:val="none" w:color="auto"/>
                <w:lang w:val="en-US" w:eastAsia="zh-CN"/>
              </w:rPr>
              <w:t>）处理后的实验室废水一起进入现有地埋式化粪池（1座，地埋式，现有容积650m</w:t>
            </w:r>
            <w:r>
              <w:rPr>
                <w:rFonts w:hint="default" w:ascii="Times New Roman" w:hAnsi="Times New Roman" w:eastAsia="宋体" w:cs="Times New Roman"/>
                <w:color w:val="auto"/>
                <w:sz w:val="24"/>
                <w:szCs w:val="24"/>
                <w:highlight w:val="none"/>
                <w:u w:val="none" w:color="auto"/>
                <w:vertAlign w:val="superscript"/>
                <w:lang w:val="en-US" w:eastAsia="zh-CN"/>
              </w:rPr>
              <w:t>3</w:t>
            </w:r>
            <w:r>
              <w:rPr>
                <w:rFonts w:hint="default" w:ascii="Times New Roman" w:hAnsi="Times New Roman" w:eastAsia="宋体" w:cs="Times New Roman"/>
                <w:color w:val="auto"/>
                <w:sz w:val="24"/>
                <w:szCs w:val="24"/>
                <w:highlight w:val="none"/>
                <w:u w:val="none" w:color="auto"/>
                <w:lang w:val="en-US" w:eastAsia="zh-CN"/>
              </w:rPr>
              <w:t>）处理后</w:t>
            </w:r>
            <w:r>
              <w:rPr>
                <w:rFonts w:hint="default" w:ascii="Times New Roman" w:hAnsi="Times New Roman" w:eastAsia="宋体" w:cs="Times New Roman"/>
                <w:color w:val="auto"/>
                <w:kern w:val="0"/>
                <w:sz w:val="24"/>
                <w:szCs w:val="24"/>
                <w:highlight w:val="none"/>
                <w:u w:val="none" w:color="auto"/>
              </w:rPr>
              <w:t>满足《污水综合排放标准》（GB8978-1996）表4三级标准及镇平县</w:t>
            </w:r>
            <w:r>
              <w:rPr>
                <w:rFonts w:hint="default" w:ascii="Times New Roman" w:hAnsi="Times New Roman" w:eastAsia="宋体" w:cs="Times New Roman"/>
                <w:color w:val="auto"/>
                <w:kern w:val="0"/>
                <w:sz w:val="24"/>
                <w:szCs w:val="24"/>
                <w:highlight w:val="none"/>
                <w:u w:val="none" w:color="auto"/>
                <w:lang w:val="en-US" w:eastAsia="zh-CN"/>
              </w:rPr>
              <w:t>污水处理中心</w:t>
            </w:r>
            <w:r>
              <w:rPr>
                <w:rFonts w:hint="default" w:ascii="Times New Roman" w:hAnsi="Times New Roman" w:eastAsia="宋体" w:cs="Times New Roman"/>
                <w:color w:val="auto"/>
                <w:kern w:val="0"/>
                <w:sz w:val="24"/>
                <w:szCs w:val="24"/>
                <w:highlight w:val="none"/>
                <w:u w:val="none" w:color="auto"/>
              </w:rPr>
              <w:t>进水水质指标后经市政污水管网进入镇平县</w:t>
            </w:r>
            <w:r>
              <w:rPr>
                <w:rFonts w:hint="default" w:ascii="Times New Roman" w:hAnsi="Times New Roman" w:eastAsia="宋体" w:cs="Times New Roman"/>
                <w:color w:val="auto"/>
                <w:kern w:val="0"/>
                <w:sz w:val="24"/>
                <w:szCs w:val="24"/>
                <w:highlight w:val="none"/>
                <w:u w:val="none" w:color="auto"/>
                <w:lang w:val="en-US" w:eastAsia="zh-CN"/>
              </w:rPr>
              <w:t>污水处理中心</w:t>
            </w:r>
            <w:r>
              <w:rPr>
                <w:rFonts w:hint="default" w:ascii="Times New Roman" w:hAnsi="Times New Roman" w:eastAsia="宋体" w:cs="Times New Roman"/>
                <w:color w:val="auto"/>
                <w:kern w:val="0"/>
                <w:sz w:val="24"/>
                <w:szCs w:val="24"/>
                <w:highlight w:val="none"/>
                <w:u w:val="none" w:color="auto"/>
              </w:rPr>
              <w:t>进一步处理达到《城镇污水处理厂污染物排放标准》（GB18918-2002）一级A标准后</w:t>
            </w:r>
            <w:r>
              <w:rPr>
                <w:rFonts w:hint="default" w:ascii="Times New Roman" w:hAnsi="Times New Roman" w:eastAsia="宋体" w:cs="Times New Roman"/>
                <w:color w:val="auto"/>
                <w:sz w:val="24"/>
                <w:szCs w:val="24"/>
                <w:highlight w:val="none"/>
                <w:u w:val="none" w:color="auto"/>
              </w:rPr>
              <w:t>排入</w:t>
            </w:r>
            <w:r>
              <w:rPr>
                <w:rFonts w:hint="default" w:ascii="Times New Roman" w:hAnsi="Times New Roman" w:eastAsia="宋体" w:cs="Times New Roman"/>
                <w:color w:val="auto"/>
                <w:sz w:val="24"/>
                <w:szCs w:val="24"/>
                <w:highlight w:val="none"/>
                <w:u w:val="none" w:color="auto"/>
                <w:lang w:val="en-US" w:eastAsia="zh-CN"/>
              </w:rPr>
              <w:t>西三里河</w:t>
            </w:r>
            <w:r>
              <w:rPr>
                <w:rFonts w:hint="default" w:ascii="Times New Roman" w:hAnsi="Times New Roman" w:eastAsia="宋体" w:cs="Times New Roman"/>
                <w:color w:val="auto"/>
                <w:kern w:val="0"/>
                <w:sz w:val="24"/>
                <w:szCs w:val="24"/>
                <w:highlight w:val="none"/>
                <w:u w:val="none" w:color="auto"/>
                <w:lang w:bidi="ar"/>
              </w:rPr>
              <w:t>。</w:t>
            </w:r>
            <w:r>
              <w:rPr>
                <w:rFonts w:hint="default" w:ascii="Times New Roman" w:hAnsi="Times New Roman" w:eastAsia="宋体" w:cs="Times New Roman"/>
                <w:color w:val="auto"/>
                <w:sz w:val="24"/>
                <w:szCs w:val="24"/>
                <w:highlight w:val="none"/>
                <w:u w:val="none" w:color="auto"/>
              </w:rPr>
              <w:t>因此项目远期废水总量控制指标为：COD：</w:t>
            </w:r>
            <w:r>
              <w:rPr>
                <w:rFonts w:hint="default" w:ascii="Times New Roman" w:hAnsi="Times New Roman" w:eastAsia="宋体" w:cs="Times New Roman"/>
                <w:color w:val="auto"/>
                <w:sz w:val="24"/>
                <w:szCs w:val="24"/>
                <w:highlight w:val="none"/>
                <w:u w:val="none" w:color="auto"/>
                <w:lang w:val="en-US" w:eastAsia="zh-CN"/>
              </w:rPr>
              <w:t>25.54</w:t>
            </w:r>
            <w:r>
              <w:rPr>
                <w:rFonts w:hint="default" w:ascii="Times New Roman" w:hAnsi="Times New Roman" w:eastAsia="宋体" w:cs="Times New Roman"/>
                <w:color w:val="auto"/>
                <w:sz w:val="24"/>
                <w:szCs w:val="24"/>
                <w:highlight w:val="none"/>
                <w:u w:val="none" w:color="auto"/>
              </w:rPr>
              <w:t>t/a，NH</w:t>
            </w:r>
            <w:r>
              <w:rPr>
                <w:rFonts w:hint="default" w:ascii="Times New Roman" w:hAnsi="Times New Roman" w:eastAsia="宋体" w:cs="Times New Roman"/>
                <w:color w:val="auto"/>
                <w:sz w:val="24"/>
                <w:szCs w:val="24"/>
                <w:highlight w:val="none"/>
                <w:u w:val="none" w:color="auto"/>
                <w:vertAlign w:val="subscript"/>
              </w:rPr>
              <w:t>3</w:t>
            </w:r>
            <w:r>
              <w:rPr>
                <w:rFonts w:hint="default" w:ascii="Times New Roman" w:hAnsi="Times New Roman" w:eastAsia="宋体" w:cs="Times New Roman"/>
                <w:color w:val="auto"/>
                <w:sz w:val="24"/>
                <w:szCs w:val="24"/>
                <w:highlight w:val="none"/>
                <w:u w:val="none" w:color="auto"/>
              </w:rPr>
              <w:t>-N：</w:t>
            </w:r>
            <w:r>
              <w:rPr>
                <w:rFonts w:hint="default" w:ascii="Times New Roman" w:hAnsi="Times New Roman" w:eastAsia="宋体" w:cs="Times New Roman"/>
                <w:color w:val="auto"/>
                <w:sz w:val="24"/>
                <w:szCs w:val="24"/>
                <w:highlight w:val="none"/>
                <w:u w:val="none" w:color="auto"/>
                <w:lang w:val="en-US" w:eastAsia="zh-CN"/>
              </w:rPr>
              <w:t>12.87</w:t>
            </w:r>
            <w:r>
              <w:rPr>
                <w:rFonts w:hint="default" w:ascii="Times New Roman" w:hAnsi="Times New Roman" w:eastAsia="宋体" w:cs="Times New Roman"/>
                <w:color w:val="auto"/>
                <w:sz w:val="24"/>
                <w:szCs w:val="24"/>
                <w:highlight w:val="none"/>
                <w:u w:val="none" w:color="auto"/>
              </w:rPr>
              <w:t>t/a；经镇平县污水处理中心处理后的污染物总量控制为：COD：</w:t>
            </w:r>
            <w:r>
              <w:rPr>
                <w:rFonts w:hint="default" w:ascii="Times New Roman" w:hAnsi="Times New Roman" w:eastAsia="宋体" w:cs="Times New Roman"/>
                <w:color w:val="auto"/>
                <w:sz w:val="24"/>
                <w:szCs w:val="24"/>
                <w:highlight w:val="none"/>
                <w:u w:val="none" w:color="auto"/>
                <w:lang w:val="en-US" w:eastAsia="zh-CN"/>
              </w:rPr>
              <w:t>5.26</w:t>
            </w:r>
            <w:r>
              <w:rPr>
                <w:rFonts w:hint="default" w:ascii="Times New Roman" w:hAnsi="Times New Roman" w:eastAsia="宋体" w:cs="Times New Roman"/>
                <w:color w:val="auto"/>
                <w:sz w:val="24"/>
                <w:szCs w:val="24"/>
                <w:highlight w:val="none"/>
                <w:u w:val="none" w:color="auto"/>
              </w:rPr>
              <w:t>t/a，NH</w:t>
            </w:r>
            <w:r>
              <w:rPr>
                <w:rFonts w:hint="default" w:ascii="Times New Roman" w:hAnsi="Times New Roman" w:eastAsia="宋体" w:cs="Times New Roman"/>
                <w:color w:val="auto"/>
                <w:sz w:val="24"/>
                <w:szCs w:val="24"/>
                <w:highlight w:val="none"/>
                <w:u w:val="none" w:color="auto"/>
                <w:vertAlign w:val="subscript"/>
              </w:rPr>
              <w:t>3</w:t>
            </w:r>
            <w:r>
              <w:rPr>
                <w:rFonts w:hint="default" w:ascii="Times New Roman" w:hAnsi="Times New Roman" w:eastAsia="宋体" w:cs="Times New Roman"/>
                <w:color w:val="auto"/>
                <w:sz w:val="24"/>
                <w:szCs w:val="24"/>
                <w:highlight w:val="none"/>
                <w:u w:val="none" w:color="auto"/>
              </w:rPr>
              <w:t>-N：</w:t>
            </w:r>
            <w:r>
              <w:rPr>
                <w:rFonts w:hint="default" w:ascii="Times New Roman" w:hAnsi="Times New Roman" w:eastAsia="宋体" w:cs="Times New Roman"/>
                <w:color w:val="auto"/>
                <w:sz w:val="24"/>
                <w:szCs w:val="24"/>
                <w:highlight w:val="none"/>
                <w:u w:val="none" w:color="auto"/>
                <w:lang w:val="en-US" w:eastAsia="zh-CN"/>
              </w:rPr>
              <w:t>0.53</w:t>
            </w:r>
            <w:r>
              <w:rPr>
                <w:rFonts w:hint="default" w:ascii="Times New Roman" w:hAnsi="Times New Roman" w:eastAsia="宋体" w:cs="Times New Roman"/>
                <w:color w:val="auto"/>
                <w:sz w:val="24"/>
                <w:szCs w:val="24"/>
                <w:highlight w:val="none"/>
                <w:u w:val="none" w:color="auto"/>
              </w:rPr>
              <w:t>t/a</w:t>
            </w:r>
            <w:r>
              <w:rPr>
                <w:rFonts w:hint="default" w:ascii="Times New Roman" w:hAnsi="Times New Roman" w:eastAsia="宋体" w:cs="Times New Roman"/>
                <w:color w:val="auto"/>
                <w:kern w:val="0"/>
                <w:sz w:val="24"/>
                <w:szCs w:val="24"/>
                <w:highlight w:val="none"/>
                <w:u w:val="none" w:color="auto"/>
                <w:lang w:bidi="ar"/>
              </w:rPr>
              <w:t>。</w:t>
            </w:r>
          </w:p>
          <w:p w14:paraId="0DAE9A88">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lang w:bidi="ar"/>
              </w:rPr>
              <w:t>（3）总量替代方案</w:t>
            </w:r>
          </w:p>
          <w:p w14:paraId="5976E04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highlight w:val="none"/>
                <w:u w:val="none" w:color="auto"/>
                <w:lang w:bidi="ar"/>
              </w:rPr>
            </w:pPr>
            <w:r>
              <w:rPr>
                <w:rFonts w:hint="default" w:ascii="Times New Roman" w:hAnsi="Times New Roman" w:eastAsia="宋体" w:cs="Times New Roman"/>
                <w:color w:val="auto"/>
                <w:sz w:val="24"/>
                <w:szCs w:val="24"/>
                <w:highlight w:val="none"/>
                <w:u w:val="none" w:color="auto"/>
              </w:rPr>
              <w:t>由于镇平县大气年平均浓度未达到二级空气质量标准，水环境质量良好，因此，大气总量指标实施双倍替代，替代量：</w:t>
            </w:r>
            <w:r>
              <w:rPr>
                <w:rFonts w:hint="default" w:ascii="Times New Roman" w:hAnsi="Times New Roman" w:eastAsia="宋体" w:cs="Times New Roman"/>
                <w:color w:val="auto"/>
                <w:kern w:val="0"/>
                <w:sz w:val="24"/>
                <w:szCs w:val="24"/>
                <w:highlight w:val="none"/>
                <w:u w:val="none" w:color="auto"/>
                <w:lang w:bidi="ar"/>
              </w:rPr>
              <w:t>颗粒物</w:t>
            </w:r>
            <w:r>
              <w:rPr>
                <w:rFonts w:hint="eastAsia" w:cs="Times New Roman"/>
                <w:color w:val="auto"/>
                <w:kern w:val="0"/>
                <w:sz w:val="24"/>
                <w:szCs w:val="24"/>
                <w:highlight w:val="none"/>
                <w:u w:val="none" w:color="auto"/>
                <w:lang w:val="en-US" w:eastAsia="zh-CN" w:bidi="ar"/>
              </w:rPr>
              <w:t>209.04</w:t>
            </w:r>
            <w:r>
              <w:rPr>
                <w:rFonts w:hint="default" w:ascii="Times New Roman" w:hAnsi="Times New Roman" w:eastAsia="宋体" w:cs="Times New Roman"/>
                <w:color w:val="auto"/>
                <w:kern w:val="0"/>
                <w:sz w:val="24"/>
                <w:szCs w:val="24"/>
                <w:highlight w:val="none"/>
                <w:u w:val="none" w:color="auto"/>
                <w:lang w:bidi="ar"/>
              </w:rPr>
              <w:t>kg/a，非甲烷总烃</w:t>
            </w:r>
            <w:r>
              <w:rPr>
                <w:rFonts w:hint="eastAsia" w:cs="Times New Roman"/>
                <w:color w:val="auto"/>
                <w:kern w:val="0"/>
                <w:sz w:val="24"/>
                <w:szCs w:val="24"/>
                <w:highlight w:val="none"/>
                <w:u w:val="none" w:color="auto"/>
                <w:lang w:val="en-US" w:eastAsia="zh-CN" w:bidi="ar"/>
              </w:rPr>
              <w:t>460</w:t>
            </w:r>
            <w:r>
              <w:rPr>
                <w:rFonts w:hint="default" w:ascii="Times New Roman" w:hAnsi="Times New Roman" w:eastAsia="宋体" w:cs="Times New Roman"/>
                <w:color w:val="auto"/>
                <w:kern w:val="0"/>
                <w:sz w:val="24"/>
                <w:szCs w:val="24"/>
                <w:highlight w:val="none"/>
                <w:u w:val="none" w:color="auto"/>
                <w:lang w:bidi="ar"/>
              </w:rPr>
              <w:t>kg/a，</w:t>
            </w:r>
            <w:r>
              <w:rPr>
                <w:rFonts w:hint="default" w:ascii="Times New Roman" w:hAnsi="Times New Roman" w:eastAsia="宋体" w:cs="Times New Roman"/>
                <w:color w:val="auto"/>
                <w:sz w:val="24"/>
                <w:szCs w:val="24"/>
                <w:highlight w:val="none"/>
                <w:u w:val="none" w:color="auto"/>
              </w:rPr>
              <w:t>废水总量控制指标采用等量替代，替代量：COD：</w:t>
            </w:r>
            <w:r>
              <w:rPr>
                <w:rFonts w:hint="default" w:ascii="Times New Roman" w:hAnsi="Times New Roman" w:eastAsia="宋体" w:cs="Times New Roman"/>
                <w:color w:val="auto"/>
                <w:sz w:val="24"/>
                <w:szCs w:val="24"/>
                <w:highlight w:val="none"/>
                <w:u w:val="none" w:color="auto"/>
                <w:lang w:val="en-US" w:eastAsia="zh-CN"/>
              </w:rPr>
              <w:t>5.26</w:t>
            </w:r>
            <w:r>
              <w:rPr>
                <w:rFonts w:hint="default" w:ascii="Times New Roman" w:hAnsi="Times New Roman" w:eastAsia="宋体" w:cs="Times New Roman"/>
                <w:color w:val="auto"/>
                <w:sz w:val="24"/>
                <w:szCs w:val="24"/>
                <w:highlight w:val="none"/>
                <w:u w:val="none" w:color="auto"/>
              </w:rPr>
              <w:t>t/a，NH</w:t>
            </w:r>
            <w:r>
              <w:rPr>
                <w:rFonts w:hint="default" w:ascii="Times New Roman" w:hAnsi="Times New Roman" w:eastAsia="宋体" w:cs="Times New Roman"/>
                <w:color w:val="auto"/>
                <w:sz w:val="24"/>
                <w:szCs w:val="24"/>
                <w:highlight w:val="none"/>
                <w:u w:val="none" w:color="auto"/>
                <w:vertAlign w:val="subscript"/>
              </w:rPr>
              <w:t>3</w:t>
            </w:r>
            <w:r>
              <w:rPr>
                <w:rFonts w:hint="default" w:ascii="Times New Roman" w:hAnsi="Times New Roman" w:eastAsia="宋体" w:cs="Times New Roman"/>
                <w:color w:val="auto"/>
                <w:sz w:val="24"/>
                <w:szCs w:val="24"/>
                <w:highlight w:val="none"/>
                <w:u w:val="none" w:color="auto"/>
              </w:rPr>
              <w:t>-N：</w:t>
            </w:r>
            <w:r>
              <w:rPr>
                <w:rFonts w:hint="default" w:ascii="Times New Roman" w:hAnsi="Times New Roman" w:eastAsia="宋体" w:cs="Times New Roman"/>
                <w:color w:val="auto"/>
                <w:sz w:val="24"/>
                <w:szCs w:val="24"/>
                <w:highlight w:val="none"/>
                <w:u w:val="none" w:color="auto"/>
                <w:lang w:val="en-US" w:eastAsia="zh-CN"/>
              </w:rPr>
              <w:t>0.53</w:t>
            </w:r>
            <w:r>
              <w:rPr>
                <w:rFonts w:hint="default" w:ascii="Times New Roman" w:hAnsi="Times New Roman" w:eastAsia="宋体" w:cs="Times New Roman"/>
                <w:color w:val="auto"/>
                <w:sz w:val="24"/>
                <w:szCs w:val="24"/>
                <w:highlight w:val="none"/>
                <w:u w:val="none" w:color="auto"/>
              </w:rPr>
              <w:t>t/a</w:t>
            </w:r>
            <w:r>
              <w:rPr>
                <w:rFonts w:hint="default" w:ascii="Times New Roman" w:hAnsi="Times New Roman" w:eastAsia="宋体" w:cs="Times New Roman"/>
                <w:color w:val="auto"/>
                <w:kern w:val="0"/>
                <w:sz w:val="24"/>
                <w:szCs w:val="24"/>
                <w:highlight w:val="none"/>
                <w:u w:val="none" w:color="auto"/>
                <w:lang w:bidi="ar"/>
              </w:rPr>
              <w:t>。</w:t>
            </w:r>
          </w:p>
          <w:p w14:paraId="1E139C85">
            <w:pPr>
              <w:pStyle w:val="34"/>
              <w:keepNext w:val="0"/>
              <w:keepLines w:val="0"/>
              <w:pageBreakBefore w:val="0"/>
              <w:widowControl w:val="0"/>
              <w:kinsoku/>
              <w:wordWrap/>
              <w:overflowPunct/>
              <w:topLinePunct w:val="0"/>
              <w:autoSpaceDE/>
              <w:autoSpaceDN/>
              <w:bidi w:val="0"/>
              <w:adjustRightInd/>
              <w:snapToGrid/>
              <w:spacing w:before="0" w:beforeAutospacing="0" w:after="0" w:line="240" w:lineRule="auto"/>
              <w:ind w:left="0" w:leftChars="0" w:right="0" w:firstLine="0" w:firstLineChars="0"/>
              <w:jc w:val="center"/>
              <w:textAlignment w:val="auto"/>
              <w:outlineLvl w:val="9"/>
              <w:rPr>
                <w:rFonts w:hint="default" w:ascii="Times New Roman" w:hAnsi="Times New Roman" w:eastAsia="宋体" w:cs="Times New Roman"/>
                <w:b/>
                <w:color w:val="auto"/>
                <w:kern w:val="2"/>
                <w:sz w:val="24"/>
                <w:szCs w:val="24"/>
                <w:highlight w:val="none"/>
                <w:u w:val="none" w:color="auto"/>
                <w:lang w:val="en-US" w:eastAsia="zh-CN" w:bidi="ar-SA"/>
              </w:rPr>
            </w:pPr>
            <w:r>
              <w:rPr>
                <w:rFonts w:hint="default" w:ascii="Times New Roman" w:hAnsi="Times New Roman" w:eastAsia="宋体" w:cs="Times New Roman"/>
                <w:b/>
                <w:bCs/>
                <w:color w:val="auto"/>
                <w:kern w:val="2"/>
                <w:sz w:val="24"/>
                <w:szCs w:val="24"/>
                <w:highlight w:val="none"/>
                <w:u w:val="none" w:color="auto"/>
                <w:lang w:val="en-US" w:eastAsia="zh-CN" w:bidi="ar-SA"/>
              </w:rPr>
              <w:t>表3-</w:t>
            </w:r>
            <w:r>
              <w:rPr>
                <w:rFonts w:hint="eastAsia" w:ascii="Times New Roman" w:hAnsi="Times New Roman" w:eastAsia="宋体" w:cs="Times New Roman"/>
                <w:b/>
                <w:bCs/>
                <w:color w:val="auto"/>
                <w:kern w:val="2"/>
                <w:sz w:val="24"/>
                <w:szCs w:val="24"/>
                <w:highlight w:val="none"/>
                <w:u w:val="none" w:color="auto"/>
                <w:lang w:val="en-US" w:eastAsia="zh-CN" w:bidi="ar-SA"/>
              </w:rPr>
              <w:t>5</w:t>
            </w:r>
            <w:r>
              <w:rPr>
                <w:rFonts w:hint="default" w:ascii="Times New Roman" w:hAnsi="Times New Roman" w:eastAsia="宋体" w:cs="Times New Roman"/>
                <w:b/>
                <w:bCs/>
                <w:color w:val="auto"/>
                <w:kern w:val="2"/>
                <w:sz w:val="24"/>
                <w:szCs w:val="24"/>
                <w:highlight w:val="none"/>
                <w:u w:val="none" w:color="auto"/>
                <w:lang w:val="en-US" w:eastAsia="zh-CN" w:bidi="ar-SA"/>
              </w:rPr>
              <w:t xml:space="preserve">       本项目扩建前后后全厂污染物排放“三本帐” </w:t>
            </w:r>
            <w:r>
              <w:rPr>
                <w:rFonts w:hint="default" w:ascii="Times New Roman" w:hAnsi="Times New Roman" w:eastAsia="宋体" w:cs="Times New Roman"/>
                <w:b/>
                <w:color w:val="auto"/>
                <w:kern w:val="2"/>
                <w:sz w:val="24"/>
                <w:szCs w:val="24"/>
                <w:highlight w:val="none"/>
                <w:u w:val="none" w:color="auto"/>
                <w:lang w:val="en-US" w:eastAsia="zh-CN" w:bidi="ar-SA"/>
              </w:rPr>
              <w:t xml:space="preserve">   </w:t>
            </w:r>
          </w:p>
          <w:tbl>
            <w:tblPr>
              <w:tblStyle w:val="172"/>
              <w:tblW w:w="5005"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10"/>
              <w:gridCol w:w="1539"/>
              <w:gridCol w:w="1178"/>
              <w:gridCol w:w="1021"/>
              <w:gridCol w:w="1145"/>
              <w:gridCol w:w="1281"/>
              <w:gridCol w:w="1367"/>
            </w:tblGrid>
            <w:tr w14:paraId="4BCDF1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364" w:type="pct"/>
                  <w:gridSpan w:val="2"/>
                  <w:noWrap w:val="0"/>
                  <w:vAlign w:val="center"/>
                </w:tcPr>
                <w:p w14:paraId="76BB9CC7">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3"/>
                      <w:sz w:val="21"/>
                      <w:szCs w:val="21"/>
                      <w:highlight w:val="none"/>
                      <w:u w:val="none" w:color="auto"/>
                    </w:rPr>
                    <w:t>名称</w:t>
                  </w:r>
                </w:p>
              </w:tc>
              <w:tc>
                <w:tcPr>
                  <w:tcW w:w="714" w:type="pct"/>
                  <w:noWrap w:val="0"/>
                  <w:vAlign w:val="center"/>
                </w:tcPr>
                <w:p w14:paraId="2D1BFBA6">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2"/>
                      <w:sz w:val="21"/>
                      <w:szCs w:val="21"/>
                      <w:highlight w:val="none"/>
                      <w:u w:val="none" w:color="auto"/>
                    </w:rPr>
                    <w:t>现有工程排放量</w:t>
                  </w:r>
                </w:p>
              </w:tc>
              <w:tc>
                <w:tcPr>
                  <w:tcW w:w="619" w:type="pct"/>
                  <w:noWrap w:val="0"/>
                  <w:vAlign w:val="center"/>
                </w:tcPr>
                <w:p w14:paraId="0EDC5554">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2"/>
                      <w:sz w:val="21"/>
                      <w:szCs w:val="21"/>
                      <w:highlight w:val="none"/>
                      <w:u w:val="none" w:color="auto"/>
                    </w:rPr>
                    <w:t>本项目排放量</w:t>
                  </w:r>
                </w:p>
              </w:tc>
              <w:tc>
                <w:tcPr>
                  <w:tcW w:w="694" w:type="pct"/>
                  <w:noWrap w:val="0"/>
                  <w:vAlign w:val="center"/>
                </w:tcPr>
                <w:p w14:paraId="18553A8E">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8"/>
                      <w:sz w:val="21"/>
                      <w:szCs w:val="21"/>
                      <w:highlight w:val="none"/>
                      <w:u w:val="none" w:color="auto"/>
                    </w:rPr>
                    <w:t>以新代老</w:t>
                  </w:r>
                  <w:r>
                    <w:rPr>
                      <w:rFonts w:hint="default" w:ascii="Times New Roman" w:hAnsi="Times New Roman" w:eastAsia="宋体" w:cs="Times New Roman"/>
                      <w:color w:val="auto"/>
                      <w:spacing w:val="-4"/>
                      <w:sz w:val="21"/>
                      <w:szCs w:val="21"/>
                      <w:highlight w:val="none"/>
                      <w:u w:val="none" w:color="auto"/>
                    </w:rPr>
                    <w:t>削减量</w:t>
                  </w:r>
                </w:p>
              </w:tc>
              <w:tc>
                <w:tcPr>
                  <w:tcW w:w="777" w:type="pct"/>
                  <w:noWrap w:val="0"/>
                  <w:vAlign w:val="center"/>
                </w:tcPr>
                <w:p w14:paraId="6B894DC0">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2"/>
                      <w:sz w:val="21"/>
                      <w:szCs w:val="21"/>
                      <w:highlight w:val="none"/>
                      <w:u w:val="none" w:color="auto"/>
                    </w:rPr>
                    <w:t>全厂最终排放量</w:t>
                  </w:r>
                </w:p>
              </w:tc>
              <w:tc>
                <w:tcPr>
                  <w:tcW w:w="829" w:type="pct"/>
                  <w:noWrap w:val="0"/>
                  <w:vAlign w:val="center"/>
                </w:tcPr>
                <w:p w14:paraId="4FE587AE">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pacing w:val="-1"/>
                      <w:sz w:val="21"/>
                      <w:szCs w:val="21"/>
                      <w:highlight w:val="none"/>
                      <w:u w:val="none" w:color="auto"/>
                    </w:rPr>
                    <w:t>排放增减量</w:t>
                  </w:r>
                </w:p>
              </w:tc>
            </w:tr>
            <w:tr w14:paraId="66865A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31" w:type="pct"/>
                  <w:vMerge w:val="restart"/>
                  <w:noWrap w:val="0"/>
                  <w:vAlign w:val="center"/>
                </w:tcPr>
                <w:p w14:paraId="18180AAC">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pacing w:val="-5"/>
                      <w:sz w:val="21"/>
                      <w:szCs w:val="21"/>
                      <w:highlight w:val="none"/>
                      <w:u w:val="none" w:color="auto"/>
                    </w:rPr>
                    <w:t>大气</w:t>
                  </w:r>
                  <w:r>
                    <w:rPr>
                      <w:rFonts w:hint="default" w:ascii="Times New Roman" w:hAnsi="Times New Roman" w:eastAsia="宋体" w:cs="Times New Roman"/>
                      <w:color w:val="auto"/>
                      <w:spacing w:val="-4"/>
                      <w:sz w:val="21"/>
                      <w:szCs w:val="21"/>
                      <w:highlight w:val="none"/>
                      <w:u w:val="none" w:color="auto"/>
                    </w:rPr>
                    <w:t>污染</w:t>
                  </w:r>
                  <w:r>
                    <w:rPr>
                      <w:rFonts w:hint="default" w:ascii="Times New Roman" w:hAnsi="Times New Roman" w:eastAsia="宋体" w:cs="Times New Roman"/>
                      <w:color w:val="auto"/>
                      <w:spacing w:val="-4"/>
                      <w:sz w:val="21"/>
                      <w:szCs w:val="21"/>
                      <w:highlight w:val="none"/>
                      <w:u w:val="none" w:color="auto"/>
                      <w:lang w:val="en-US" w:eastAsia="zh-CN"/>
                    </w:rPr>
                    <w:t>物</w:t>
                  </w:r>
                </w:p>
              </w:tc>
              <w:tc>
                <w:tcPr>
                  <w:tcW w:w="1553" w:type="dxa"/>
                  <w:noWrap w:val="0"/>
                  <w:vAlign w:val="center"/>
                </w:tcPr>
                <w:p w14:paraId="2032B600">
                  <w:pPr>
                    <w:pStyle w:val="149"/>
                    <w:keepNext w:val="0"/>
                    <w:keepLines w:val="0"/>
                    <w:pageBreakBefore w:val="0"/>
                    <w:widowControl w:val="0"/>
                    <w:kinsoku/>
                    <w:wordWrap/>
                    <w:overflowPunct/>
                    <w:topLinePunct w:val="0"/>
                    <w:bidi w:val="0"/>
                    <w:adjustRightInd w:val="0"/>
                    <w:snapToGrid w:val="0"/>
                    <w:spacing w:line="200" w:lineRule="exact"/>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u w:val="none" w:color="auto"/>
                    </w:rPr>
                    <w:t>颗粒物</w:t>
                  </w:r>
                </w:p>
              </w:tc>
              <w:tc>
                <w:tcPr>
                  <w:tcW w:w="1189" w:type="dxa"/>
                  <w:noWrap w:val="0"/>
                  <w:vAlign w:val="center"/>
                </w:tcPr>
                <w:p w14:paraId="09F8AFB4">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104.33</w:t>
                  </w:r>
                  <w:r>
                    <w:rPr>
                      <w:rFonts w:hint="default" w:ascii="Times New Roman" w:hAnsi="Times New Roman" w:eastAsia="宋体" w:cs="Times New Roman"/>
                      <w:i w:val="0"/>
                      <w:iCs w:val="0"/>
                      <w:color w:val="auto"/>
                      <w:kern w:val="0"/>
                      <w:sz w:val="21"/>
                      <w:szCs w:val="21"/>
                      <w:highlight w:val="none"/>
                      <w:u w:val="none" w:color="auto"/>
                      <w:lang w:val="en-US" w:eastAsia="zh-CN" w:bidi="ar"/>
                    </w:rPr>
                    <w:t>kg/a</w:t>
                  </w:r>
                </w:p>
              </w:tc>
              <w:tc>
                <w:tcPr>
                  <w:tcW w:w="1031" w:type="dxa"/>
                  <w:noWrap w:val="0"/>
                  <w:vAlign w:val="center"/>
                </w:tcPr>
                <w:p w14:paraId="7F78BDB0">
                  <w:pPr>
                    <w:pStyle w:val="149"/>
                    <w:keepNext w:val="0"/>
                    <w:keepLines w:val="0"/>
                    <w:pageBreakBefore w:val="0"/>
                    <w:widowControl w:val="0"/>
                    <w:kinsoku/>
                    <w:wordWrap/>
                    <w:overflowPunct/>
                    <w:topLinePunct w:val="0"/>
                    <w:bidi w:val="0"/>
                    <w:spacing w:line="200" w:lineRule="exact"/>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u w:val="none" w:color="auto"/>
                      <w:lang w:val="en-US" w:eastAsia="zh-CN"/>
                    </w:rPr>
                    <w:t>0.19</w:t>
                  </w:r>
                  <w:r>
                    <w:rPr>
                      <w:rFonts w:hint="default" w:ascii="Times New Roman" w:hAnsi="Times New Roman" w:eastAsia="宋体" w:cs="Times New Roman"/>
                      <w:i w:val="0"/>
                      <w:iCs w:val="0"/>
                      <w:color w:val="auto"/>
                      <w:kern w:val="0"/>
                      <w:sz w:val="21"/>
                      <w:szCs w:val="21"/>
                      <w:highlight w:val="none"/>
                      <w:u w:val="none" w:color="auto"/>
                      <w:lang w:val="en-US" w:eastAsia="zh-CN" w:bidi="ar"/>
                    </w:rPr>
                    <w:t>kg/a</w:t>
                  </w:r>
                </w:p>
              </w:tc>
              <w:tc>
                <w:tcPr>
                  <w:tcW w:w="694" w:type="pct"/>
                  <w:noWrap w:val="0"/>
                  <w:vAlign w:val="center"/>
                </w:tcPr>
                <w:p w14:paraId="42959A2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highlight w:val="none"/>
                      <w:u w:val="none" w:color="auto"/>
                      <w:lang w:val="en-US"/>
                    </w:rPr>
                  </w:pPr>
                  <w:r>
                    <w:rPr>
                      <w:rFonts w:hint="default" w:ascii="Times New Roman" w:hAnsi="Times New Roman" w:eastAsia="宋体" w:cs="Times New Roman"/>
                      <w:color w:val="auto"/>
                      <w:spacing w:val="-1"/>
                      <w:sz w:val="21"/>
                      <w:szCs w:val="21"/>
                      <w:highlight w:val="none"/>
                      <w:u w:val="none" w:color="auto"/>
                      <w:lang w:val="en-US" w:eastAsia="zh-CN"/>
                    </w:rPr>
                    <w:t>0</w:t>
                  </w:r>
                </w:p>
              </w:tc>
              <w:tc>
                <w:tcPr>
                  <w:tcW w:w="1294" w:type="dxa"/>
                  <w:noWrap w:val="0"/>
                  <w:vAlign w:val="center"/>
                </w:tcPr>
                <w:p w14:paraId="1393346F">
                  <w:pPr>
                    <w:keepNext w:val="0"/>
                    <w:keepLines w:val="0"/>
                    <w:pageBreakBefore w:val="0"/>
                    <w:widowControl/>
                    <w:suppressLineNumbers w:val="0"/>
                    <w:kinsoku/>
                    <w:wordWrap/>
                    <w:overflowPunct/>
                    <w:topLinePunct w:val="0"/>
                    <w:bidi w:val="0"/>
                    <w:spacing w:line="200" w:lineRule="exact"/>
                    <w:jc w:val="center"/>
                    <w:textAlignment w:val="bottom"/>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color="auto"/>
                      <w:lang w:val="en-US" w:eastAsia="zh-CN" w:bidi="ar"/>
                    </w:rPr>
                    <w:t>104.52kg/a</w:t>
                  </w:r>
                </w:p>
              </w:tc>
              <w:tc>
                <w:tcPr>
                  <w:tcW w:w="1380" w:type="dxa"/>
                  <w:noWrap w:val="0"/>
                  <w:vAlign w:val="center"/>
                </w:tcPr>
                <w:p w14:paraId="0A4C2909">
                  <w:pPr>
                    <w:pStyle w:val="149"/>
                    <w:keepNext w:val="0"/>
                    <w:keepLines w:val="0"/>
                    <w:pageBreakBefore w:val="0"/>
                    <w:widowControl w:val="0"/>
                    <w:kinsoku/>
                    <w:wordWrap/>
                    <w:overflowPunct/>
                    <w:topLinePunct w:val="0"/>
                    <w:bidi w:val="0"/>
                    <w:spacing w:line="200" w:lineRule="exact"/>
                    <w:rPr>
                      <w:rFonts w:hint="default" w:ascii="Times New Roman" w:hAnsi="Times New Roman" w:eastAsia="宋体" w:cs="Times New Roman"/>
                      <w:color w:val="auto"/>
                      <w:sz w:val="21"/>
                      <w:szCs w:val="21"/>
                      <w:highlight w:val="none"/>
                      <w:u w:val="none" w:color="auto"/>
                      <w:lang w:val="en-US"/>
                    </w:rPr>
                  </w:pPr>
                  <w:r>
                    <w:rPr>
                      <w:rFonts w:hint="default" w:ascii="Times New Roman" w:hAnsi="Times New Roman" w:eastAsia="宋体" w:cs="Times New Roman"/>
                      <w:color w:val="auto"/>
                      <w:sz w:val="21"/>
                      <w:szCs w:val="21"/>
                      <w:u w:val="none" w:color="auto"/>
                      <w:lang w:val="en-US" w:eastAsia="zh-CN"/>
                    </w:rPr>
                    <w:t>+0.19</w:t>
                  </w:r>
                  <w:r>
                    <w:rPr>
                      <w:rFonts w:hint="default" w:ascii="Times New Roman" w:hAnsi="Times New Roman" w:eastAsia="宋体" w:cs="Times New Roman"/>
                      <w:i w:val="0"/>
                      <w:iCs w:val="0"/>
                      <w:color w:val="auto"/>
                      <w:kern w:val="0"/>
                      <w:sz w:val="21"/>
                      <w:szCs w:val="21"/>
                      <w:highlight w:val="none"/>
                      <w:u w:val="none" w:color="auto"/>
                      <w:lang w:val="en-US" w:eastAsia="zh-CN" w:bidi="ar"/>
                    </w:rPr>
                    <w:t>kg/a</w:t>
                  </w:r>
                </w:p>
              </w:tc>
            </w:tr>
            <w:tr w14:paraId="45B1F5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31" w:type="pct"/>
                  <w:vMerge w:val="continue"/>
                  <w:noWrap w:val="0"/>
                  <w:vAlign w:val="center"/>
                </w:tcPr>
                <w:p w14:paraId="0A408949">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5"/>
                      <w:sz w:val="21"/>
                      <w:szCs w:val="21"/>
                      <w:highlight w:val="none"/>
                      <w:u w:val="none" w:color="auto"/>
                    </w:rPr>
                  </w:pPr>
                </w:p>
              </w:tc>
              <w:tc>
                <w:tcPr>
                  <w:tcW w:w="1553" w:type="dxa"/>
                  <w:noWrap w:val="0"/>
                  <w:vAlign w:val="center"/>
                </w:tcPr>
                <w:p w14:paraId="1B136C19">
                  <w:pPr>
                    <w:pStyle w:val="149"/>
                    <w:keepNext w:val="0"/>
                    <w:keepLines w:val="0"/>
                    <w:pageBreakBefore w:val="0"/>
                    <w:widowControl w:val="0"/>
                    <w:kinsoku/>
                    <w:wordWrap/>
                    <w:overflowPunct/>
                    <w:topLinePunct w:val="0"/>
                    <w:bidi w:val="0"/>
                    <w:adjustRightInd w:val="0"/>
                    <w:snapToGrid w:val="0"/>
                    <w:spacing w:line="200" w:lineRule="exact"/>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u w:val="none" w:color="auto"/>
                    </w:rPr>
                    <w:t>非甲烷总烃</w:t>
                  </w:r>
                </w:p>
              </w:tc>
              <w:tc>
                <w:tcPr>
                  <w:tcW w:w="1189" w:type="dxa"/>
                  <w:noWrap w:val="0"/>
                  <w:vAlign w:val="center"/>
                </w:tcPr>
                <w:p w14:paraId="52164F57">
                  <w:pPr>
                    <w:pStyle w:val="78"/>
                    <w:keepNext w:val="0"/>
                    <w:keepLines w:val="0"/>
                    <w:pageBreakBefore w:val="0"/>
                    <w:widowControl w:val="0"/>
                    <w:kinsoku/>
                    <w:wordWrap/>
                    <w:overflowPunct/>
                    <w:topLinePunct w:val="0"/>
                    <w:bidi w:val="0"/>
                    <w:spacing w:beforeLines="0" w:afterLines="0" w:line="200" w:lineRule="exact"/>
                    <w:rPr>
                      <w:rFonts w:hint="eastAsia" w:cs="Times New Roman"/>
                      <w:color w:val="auto"/>
                      <w:spacing w:val="-1"/>
                      <w:sz w:val="21"/>
                      <w:szCs w:val="21"/>
                      <w:highlight w:val="none"/>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1031" w:type="dxa"/>
                  <w:noWrap w:val="0"/>
                  <w:vAlign w:val="center"/>
                </w:tcPr>
                <w:p w14:paraId="00CFA917">
                  <w:pPr>
                    <w:pStyle w:val="149"/>
                    <w:keepNext w:val="0"/>
                    <w:keepLines w:val="0"/>
                    <w:pageBreakBefore w:val="0"/>
                    <w:widowControl w:val="0"/>
                    <w:kinsoku/>
                    <w:wordWrap/>
                    <w:overflowPunct/>
                    <w:topLinePunct w:val="0"/>
                    <w:bidi w:val="0"/>
                    <w:spacing w:line="200" w:lineRule="exact"/>
                    <w:rPr>
                      <w:rFonts w:hint="eastAsia"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color="auto"/>
                      <w:lang w:val="en-US" w:eastAsia="zh-CN" w:bidi="ar"/>
                    </w:rPr>
                    <w:t>230kg/a</w:t>
                  </w:r>
                </w:p>
              </w:tc>
              <w:tc>
                <w:tcPr>
                  <w:tcW w:w="694" w:type="pct"/>
                  <w:noWrap w:val="0"/>
                  <w:vAlign w:val="center"/>
                </w:tcPr>
                <w:p w14:paraId="490026F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highlight w:val="none"/>
                      <w:u w:val="none" w:color="auto"/>
                      <w:lang w:val="en-US" w:eastAsia="zh-CN"/>
                    </w:rPr>
                  </w:pPr>
                  <w:r>
                    <w:rPr>
                      <w:rFonts w:hint="eastAsia" w:ascii="Times New Roman" w:hAnsi="Times New Roman" w:eastAsia="宋体" w:cs="Times New Roman"/>
                      <w:color w:val="auto"/>
                      <w:spacing w:val="-1"/>
                      <w:sz w:val="21"/>
                      <w:szCs w:val="21"/>
                      <w:highlight w:val="none"/>
                      <w:u w:val="none" w:color="auto"/>
                      <w:lang w:val="en-US" w:eastAsia="zh-CN"/>
                    </w:rPr>
                    <w:t>0</w:t>
                  </w:r>
                </w:p>
              </w:tc>
              <w:tc>
                <w:tcPr>
                  <w:tcW w:w="1294" w:type="dxa"/>
                  <w:noWrap w:val="0"/>
                  <w:vAlign w:val="center"/>
                </w:tcPr>
                <w:p w14:paraId="4904305E">
                  <w:pPr>
                    <w:keepNext w:val="0"/>
                    <w:keepLines w:val="0"/>
                    <w:pageBreakBefore w:val="0"/>
                    <w:widowControl/>
                    <w:suppressLineNumbers w:val="0"/>
                    <w:kinsoku/>
                    <w:wordWrap/>
                    <w:overflowPunct/>
                    <w:topLinePunct w:val="0"/>
                    <w:bidi w:val="0"/>
                    <w:spacing w:line="200" w:lineRule="exact"/>
                    <w:jc w:val="center"/>
                    <w:textAlignment w:val="bottom"/>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color="auto"/>
                      <w:lang w:val="en-US" w:eastAsia="zh-CN" w:bidi="ar"/>
                    </w:rPr>
                    <w:t>230kg/a</w:t>
                  </w:r>
                </w:p>
              </w:tc>
              <w:tc>
                <w:tcPr>
                  <w:tcW w:w="1380" w:type="dxa"/>
                  <w:noWrap w:val="0"/>
                  <w:vAlign w:val="center"/>
                </w:tcPr>
                <w:p w14:paraId="38030C46">
                  <w:pPr>
                    <w:pStyle w:val="149"/>
                    <w:keepNext w:val="0"/>
                    <w:keepLines w:val="0"/>
                    <w:pageBreakBefore w:val="0"/>
                    <w:widowControl w:val="0"/>
                    <w:kinsoku/>
                    <w:wordWrap/>
                    <w:overflowPunct/>
                    <w:topLinePunct w:val="0"/>
                    <w:bidi w:val="0"/>
                    <w:spacing w:line="200" w:lineRule="exact"/>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highlight w:val="none"/>
                      <w:u w:val="none" w:color="auto"/>
                      <w:lang w:val="en-US" w:eastAsia="zh-CN" w:bidi="ar"/>
                    </w:rPr>
                    <w:t>+230kg/a</w:t>
                  </w:r>
                </w:p>
              </w:tc>
            </w:tr>
            <w:tr w14:paraId="25C761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31" w:type="pct"/>
                  <w:vMerge w:val="restart"/>
                  <w:noWrap w:val="0"/>
                  <w:vAlign w:val="center"/>
                </w:tcPr>
                <w:p w14:paraId="30E61CD2">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5"/>
                      <w:sz w:val="21"/>
                      <w:szCs w:val="21"/>
                      <w:highlight w:val="none"/>
                      <w:u w:val="none" w:color="auto"/>
                    </w:rPr>
                  </w:pPr>
                  <w:r>
                    <w:rPr>
                      <w:rFonts w:hint="default" w:ascii="Times New Roman" w:hAnsi="Times New Roman" w:eastAsia="宋体" w:cs="Times New Roman"/>
                      <w:color w:val="auto"/>
                      <w:spacing w:val="-5"/>
                      <w:sz w:val="21"/>
                      <w:szCs w:val="21"/>
                      <w:highlight w:val="none"/>
                      <w:u w:val="none" w:color="auto"/>
                    </w:rPr>
                    <w:t>废水</w:t>
                  </w:r>
                </w:p>
              </w:tc>
              <w:tc>
                <w:tcPr>
                  <w:tcW w:w="1553" w:type="dxa"/>
                  <w:noWrap w:val="0"/>
                  <w:vAlign w:val="center"/>
                </w:tcPr>
                <w:p w14:paraId="394E12CA">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snapToGrid w:val="0"/>
                      <w:color w:val="auto"/>
                      <w:kern w:val="21"/>
                      <w:sz w:val="21"/>
                      <w:szCs w:val="21"/>
                      <w:u w:val="none" w:color="auto"/>
                    </w:rPr>
                    <w:t>废水量</w:t>
                  </w:r>
                </w:p>
              </w:tc>
              <w:tc>
                <w:tcPr>
                  <w:tcW w:w="1189" w:type="dxa"/>
                  <w:noWrap w:val="0"/>
                  <w:vAlign w:val="center"/>
                </w:tcPr>
                <w:p w14:paraId="68DD5B59">
                  <w:pPr>
                    <w:pStyle w:val="78"/>
                    <w:keepNext w:val="0"/>
                    <w:keepLines w:val="0"/>
                    <w:pageBreakBefore w:val="0"/>
                    <w:widowControl w:val="0"/>
                    <w:kinsoku/>
                    <w:wordWrap/>
                    <w:overflowPunct/>
                    <w:topLinePunct w:val="0"/>
                    <w:bidi w:val="0"/>
                    <w:spacing w:beforeLines="0" w:afterLines="0" w:line="200" w:lineRule="exact"/>
                    <w:rPr>
                      <w:rFonts w:hint="eastAsia" w:cs="Times New Roman"/>
                      <w:color w:val="auto"/>
                      <w:spacing w:val="-1"/>
                      <w:sz w:val="21"/>
                      <w:szCs w:val="21"/>
                      <w:highlight w:val="none"/>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104219.2</w:t>
                  </w:r>
                  <w:r>
                    <w:rPr>
                      <w:rFonts w:hint="default" w:ascii="Times New Roman" w:hAnsi="Times New Roman" w:eastAsia="宋体" w:cs="Times New Roman"/>
                      <w:color w:val="auto"/>
                      <w:kern w:val="2"/>
                      <w:sz w:val="21"/>
                      <w:szCs w:val="21"/>
                      <w:u w:val="none" w:color="auto"/>
                    </w:rPr>
                    <w:t>m</w:t>
                  </w:r>
                  <w:r>
                    <w:rPr>
                      <w:rFonts w:hint="default" w:ascii="Times New Roman" w:hAnsi="Times New Roman" w:eastAsia="宋体" w:cs="Times New Roman"/>
                      <w:color w:val="auto"/>
                      <w:kern w:val="2"/>
                      <w:sz w:val="21"/>
                      <w:szCs w:val="21"/>
                      <w:u w:val="none" w:color="auto"/>
                      <w:vertAlign w:val="superscript"/>
                    </w:rPr>
                    <w:t>3</w:t>
                  </w:r>
                  <w:r>
                    <w:rPr>
                      <w:rFonts w:hint="default" w:ascii="Times New Roman" w:hAnsi="Times New Roman" w:eastAsia="宋体" w:cs="Times New Roman"/>
                      <w:color w:val="auto"/>
                      <w:kern w:val="2"/>
                      <w:sz w:val="21"/>
                      <w:szCs w:val="21"/>
                      <w:u w:val="none" w:color="auto"/>
                    </w:rPr>
                    <w:t>/a</w:t>
                  </w:r>
                </w:p>
              </w:tc>
              <w:tc>
                <w:tcPr>
                  <w:tcW w:w="1031" w:type="dxa"/>
                  <w:noWrap w:val="0"/>
                  <w:vAlign w:val="center"/>
                </w:tcPr>
                <w:p w14:paraId="2BA4E721">
                  <w:pPr>
                    <w:pStyle w:val="78"/>
                    <w:keepNext w:val="0"/>
                    <w:keepLines w:val="0"/>
                    <w:pageBreakBefore w:val="0"/>
                    <w:widowControl w:val="0"/>
                    <w:kinsoku/>
                    <w:wordWrap/>
                    <w:overflowPunct/>
                    <w:topLinePunct w:val="0"/>
                    <w:bidi w:val="0"/>
                    <w:spacing w:beforeLines="0" w:afterLines="0" w:line="200" w:lineRule="exact"/>
                    <w:rPr>
                      <w:rFonts w:hint="eastAsia" w:cs="Times New Roman"/>
                      <w:color w:val="auto"/>
                      <w:sz w:val="21"/>
                      <w:szCs w:val="21"/>
                      <w:highlight w:val="none"/>
                      <w:u w:val="none" w:color="auto"/>
                      <w:lang w:val="en-US" w:eastAsia="zh-CN"/>
                    </w:rPr>
                  </w:pPr>
                  <w:r>
                    <w:rPr>
                      <w:rFonts w:hint="default" w:ascii="Times New Roman" w:hAnsi="Times New Roman" w:eastAsia="宋体" w:cs="Times New Roman"/>
                      <w:color w:val="auto"/>
                      <w:kern w:val="2"/>
                      <w:sz w:val="21"/>
                      <w:szCs w:val="21"/>
                      <w:u w:val="none" w:color="auto"/>
                      <w:lang w:val="en-US" w:eastAsia="zh-CN"/>
                    </w:rPr>
                    <w:t>896</w:t>
                  </w:r>
                  <w:r>
                    <w:rPr>
                      <w:rFonts w:hint="default" w:ascii="Times New Roman" w:hAnsi="Times New Roman" w:eastAsia="宋体" w:cs="Times New Roman"/>
                      <w:color w:val="auto"/>
                      <w:kern w:val="2"/>
                      <w:sz w:val="21"/>
                      <w:szCs w:val="21"/>
                      <w:u w:val="none" w:color="auto"/>
                    </w:rPr>
                    <w:t>m</w:t>
                  </w:r>
                  <w:r>
                    <w:rPr>
                      <w:rFonts w:hint="default" w:ascii="Times New Roman" w:hAnsi="Times New Roman" w:eastAsia="宋体" w:cs="Times New Roman"/>
                      <w:color w:val="auto"/>
                      <w:kern w:val="2"/>
                      <w:sz w:val="21"/>
                      <w:szCs w:val="21"/>
                      <w:u w:val="none" w:color="auto"/>
                      <w:vertAlign w:val="superscript"/>
                    </w:rPr>
                    <w:t>3</w:t>
                  </w:r>
                  <w:r>
                    <w:rPr>
                      <w:rFonts w:hint="default" w:ascii="Times New Roman" w:hAnsi="Times New Roman" w:eastAsia="宋体" w:cs="Times New Roman"/>
                      <w:color w:val="auto"/>
                      <w:kern w:val="2"/>
                      <w:sz w:val="21"/>
                      <w:szCs w:val="21"/>
                      <w:u w:val="none" w:color="auto"/>
                    </w:rPr>
                    <w:t>/a</w:t>
                  </w:r>
                </w:p>
              </w:tc>
              <w:tc>
                <w:tcPr>
                  <w:tcW w:w="694" w:type="pct"/>
                  <w:noWrap w:val="0"/>
                  <w:vAlign w:val="center"/>
                </w:tcPr>
                <w:p w14:paraId="4439DD2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highlight w:val="none"/>
                      <w:u w:val="none" w:color="auto"/>
                      <w:lang w:val="en-US" w:eastAsia="zh-CN"/>
                    </w:rPr>
                  </w:pPr>
                  <w:r>
                    <w:rPr>
                      <w:rFonts w:hint="eastAsia" w:ascii="Times New Roman" w:hAnsi="Times New Roman" w:eastAsia="宋体" w:cs="Times New Roman"/>
                      <w:color w:val="auto"/>
                      <w:spacing w:val="-1"/>
                      <w:sz w:val="21"/>
                      <w:szCs w:val="21"/>
                      <w:highlight w:val="none"/>
                      <w:u w:val="none" w:color="auto"/>
                      <w:lang w:val="en-US" w:eastAsia="zh-CN"/>
                    </w:rPr>
                    <w:t>0</w:t>
                  </w:r>
                </w:p>
              </w:tc>
              <w:tc>
                <w:tcPr>
                  <w:tcW w:w="1294" w:type="dxa"/>
                  <w:noWrap w:val="0"/>
                  <w:vAlign w:val="center"/>
                </w:tcPr>
                <w:p w14:paraId="3966152B">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kern w:val="2"/>
                      <w:sz w:val="21"/>
                      <w:szCs w:val="21"/>
                      <w:u w:val="none" w:color="auto"/>
                      <w:lang w:val="en-US" w:eastAsia="zh-CN"/>
                    </w:rPr>
                    <w:t>105115.2</w:t>
                  </w:r>
                  <w:r>
                    <w:rPr>
                      <w:rFonts w:hint="default" w:ascii="Times New Roman" w:hAnsi="Times New Roman" w:eastAsia="宋体" w:cs="Times New Roman"/>
                      <w:color w:val="auto"/>
                      <w:kern w:val="2"/>
                      <w:sz w:val="21"/>
                      <w:szCs w:val="21"/>
                      <w:u w:val="none" w:color="auto"/>
                    </w:rPr>
                    <w:t>m</w:t>
                  </w:r>
                  <w:r>
                    <w:rPr>
                      <w:rFonts w:hint="default" w:ascii="Times New Roman" w:hAnsi="Times New Roman" w:eastAsia="宋体" w:cs="Times New Roman"/>
                      <w:color w:val="auto"/>
                      <w:kern w:val="2"/>
                      <w:sz w:val="21"/>
                      <w:szCs w:val="21"/>
                      <w:u w:val="none" w:color="auto"/>
                      <w:vertAlign w:val="superscript"/>
                    </w:rPr>
                    <w:t>3</w:t>
                  </w:r>
                  <w:r>
                    <w:rPr>
                      <w:rFonts w:hint="default" w:ascii="Times New Roman" w:hAnsi="Times New Roman" w:eastAsia="宋体" w:cs="Times New Roman"/>
                      <w:color w:val="auto"/>
                      <w:kern w:val="2"/>
                      <w:sz w:val="21"/>
                      <w:szCs w:val="21"/>
                      <w:u w:val="none" w:color="auto"/>
                    </w:rPr>
                    <w:t>/a</w:t>
                  </w:r>
                </w:p>
              </w:tc>
              <w:tc>
                <w:tcPr>
                  <w:tcW w:w="1380" w:type="dxa"/>
                  <w:noWrap w:val="0"/>
                  <w:vAlign w:val="center"/>
                </w:tcPr>
                <w:p w14:paraId="768B0986">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kern w:val="2"/>
                      <w:sz w:val="21"/>
                      <w:szCs w:val="21"/>
                      <w:u w:val="none" w:color="auto"/>
                      <w:lang w:val="en-US" w:eastAsia="zh-CN"/>
                    </w:rPr>
                    <w:t>+896</w:t>
                  </w:r>
                  <w:r>
                    <w:rPr>
                      <w:rFonts w:hint="default" w:ascii="Times New Roman" w:hAnsi="Times New Roman" w:eastAsia="宋体" w:cs="Times New Roman"/>
                      <w:color w:val="auto"/>
                      <w:kern w:val="2"/>
                      <w:sz w:val="21"/>
                      <w:szCs w:val="21"/>
                      <w:u w:val="none" w:color="auto"/>
                    </w:rPr>
                    <w:t>m</w:t>
                  </w:r>
                  <w:r>
                    <w:rPr>
                      <w:rFonts w:hint="default" w:ascii="Times New Roman" w:hAnsi="Times New Roman" w:eastAsia="宋体" w:cs="Times New Roman"/>
                      <w:color w:val="auto"/>
                      <w:kern w:val="2"/>
                      <w:sz w:val="21"/>
                      <w:szCs w:val="21"/>
                      <w:u w:val="none" w:color="auto"/>
                      <w:vertAlign w:val="superscript"/>
                    </w:rPr>
                    <w:t>3</w:t>
                  </w:r>
                  <w:r>
                    <w:rPr>
                      <w:rFonts w:hint="default" w:ascii="Times New Roman" w:hAnsi="Times New Roman" w:eastAsia="宋体" w:cs="Times New Roman"/>
                      <w:color w:val="auto"/>
                      <w:kern w:val="2"/>
                      <w:sz w:val="21"/>
                      <w:szCs w:val="21"/>
                      <w:u w:val="none" w:color="auto"/>
                    </w:rPr>
                    <w:t>/a</w:t>
                  </w:r>
                </w:p>
              </w:tc>
            </w:tr>
            <w:tr w14:paraId="4C5C2C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31" w:type="pct"/>
                  <w:vMerge w:val="continue"/>
                  <w:noWrap w:val="0"/>
                  <w:vAlign w:val="center"/>
                </w:tcPr>
                <w:p w14:paraId="0DC4A906">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5"/>
                      <w:sz w:val="21"/>
                      <w:szCs w:val="21"/>
                      <w:highlight w:val="none"/>
                      <w:u w:val="none" w:color="auto"/>
                    </w:rPr>
                  </w:pPr>
                </w:p>
              </w:tc>
              <w:tc>
                <w:tcPr>
                  <w:tcW w:w="1553" w:type="dxa"/>
                  <w:noWrap w:val="0"/>
                  <w:vAlign w:val="center"/>
                </w:tcPr>
                <w:p w14:paraId="197CD73B">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snapToGrid w:val="0"/>
                      <w:color w:val="auto"/>
                      <w:kern w:val="21"/>
                      <w:sz w:val="21"/>
                      <w:szCs w:val="21"/>
                      <w:u w:val="none" w:color="auto"/>
                    </w:rPr>
                    <w:t>COD</w:t>
                  </w:r>
                </w:p>
              </w:tc>
              <w:tc>
                <w:tcPr>
                  <w:tcW w:w="1189" w:type="dxa"/>
                  <w:noWrap w:val="0"/>
                  <w:vAlign w:val="center"/>
                </w:tcPr>
                <w:p w14:paraId="15BE16A9">
                  <w:pPr>
                    <w:pStyle w:val="78"/>
                    <w:keepNext w:val="0"/>
                    <w:keepLines w:val="0"/>
                    <w:pageBreakBefore w:val="0"/>
                    <w:widowControl w:val="0"/>
                    <w:kinsoku/>
                    <w:wordWrap/>
                    <w:overflowPunct/>
                    <w:topLinePunct w:val="0"/>
                    <w:bidi w:val="0"/>
                    <w:spacing w:beforeLines="0" w:afterLines="0" w:line="200" w:lineRule="exact"/>
                    <w:rPr>
                      <w:rFonts w:hint="eastAsia" w:cs="Times New Roman"/>
                      <w:color w:val="auto"/>
                      <w:spacing w:val="-1"/>
                      <w:sz w:val="21"/>
                      <w:szCs w:val="21"/>
                      <w:highlight w:val="none"/>
                      <w:u w:val="none" w:color="auto"/>
                      <w:lang w:val="en-US" w:eastAsia="zh-CN"/>
                    </w:rPr>
                  </w:pPr>
                  <w:r>
                    <w:rPr>
                      <w:rFonts w:hint="eastAsia" w:ascii="Times New Roman" w:cs="Times New Roman"/>
                      <w:snapToGrid w:val="0"/>
                      <w:color w:val="auto"/>
                      <w:kern w:val="21"/>
                      <w:sz w:val="21"/>
                      <w:szCs w:val="21"/>
                      <w:u w:val="none" w:color="auto"/>
                      <w:lang w:val="en-US" w:eastAsia="zh-CN"/>
                    </w:rPr>
                    <w:t>5.21</w:t>
                  </w:r>
                  <w:r>
                    <w:rPr>
                      <w:rFonts w:hint="default" w:ascii="Times New Roman" w:hAnsi="Times New Roman" w:eastAsia="宋体" w:cs="Times New Roman"/>
                      <w:color w:val="auto"/>
                      <w:kern w:val="2"/>
                      <w:sz w:val="21"/>
                      <w:szCs w:val="21"/>
                      <w:u w:val="none" w:color="auto"/>
                    </w:rPr>
                    <w:t>t/a</w:t>
                  </w:r>
                </w:p>
              </w:tc>
              <w:tc>
                <w:tcPr>
                  <w:tcW w:w="1031" w:type="dxa"/>
                  <w:noWrap w:val="0"/>
                  <w:vAlign w:val="center"/>
                </w:tcPr>
                <w:p w14:paraId="7511421B">
                  <w:pPr>
                    <w:pStyle w:val="78"/>
                    <w:keepNext w:val="0"/>
                    <w:keepLines w:val="0"/>
                    <w:pageBreakBefore w:val="0"/>
                    <w:widowControl w:val="0"/>
                    <w:kinsoku/>
                    <w:wordWrap/>
                    <w:overflowPunct/>
                    <w:topLinePunct w:val="0"/>
                    <w:bidi w:val="0"/>
                    <w:spacing w:beforeLines="0" w:afterLines="0" w:line="200" w:lineRule="exact"/>
                    <w:rPr>
                      <w:rFonts w:hint="eastAsia" w:cs="Times New Roman"/>
                      <w:color w:val="auto"/>
                      <w:sz w:val="21"/>
                      <w:szCs w:val="21"/>
                      <w:highlight w:val="none"/>
                      <w:u w:val="none" w:color="auto"/>
                      <w:lang w:val="en-US" w:eastAsia="zh-CN"/>
                    </w:rPr>
                  </w:pPr>
                  <w:r>
                    <w:rPr>
                      <w:rFonts w:hint="eastAsia" w:ascii="Times New Roman" w:cs="Times New Roman"/>
                      <w:color w:val="auto"/>
                      <w:sz w:val="21"/>
                      <w:szCs w:val="21"/>
                      <w:u w:val="none" w:color="auto"/>
                      <w:lang w:val="en-US" w:eastAsia="zh-CN"/>
                    </w:rPr>
                    <w:t>0.05</w:t>
                  </w:r>
                  <w:r>
                    <w:rPr>
                      <w:rFonts w:hint="default" w:ascii="Times New Roman" w:hAnsi="Times New Roman" w:eastAsia="宋体" w:cs="Times New Roman"/>
                      <w:color w:val="auto"/>
                      <w:kern w:val="2"/>
                      <w:sz w:val="21"/>
                      <w:szCs w:val="21"/>
                      <w:u w:val="none" w:color="auto"/>
                    </w:rPr>
                    <w:t>t/a</w:t>
                  </w:r>
                </w:p>
              </w:tc>
              <w:tc>
                <w:tcPr>
                  <w:tcW w:w="694" w:type="pct"/>
                  <w:noWrap w:val="0"/>
                  <w:vAlign w:val="center"/>
                </w:tcPr>
                <w:p w14:paraId="377F9CE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highlight w:val="none"/>
                      <w:u w:val="none" w:color="auto"/>
                      <w:lang w:val="en-US" w:eastAsia="zh-CN"/>
                    </w:rPr>
                  </w:pPr>
                  <w:r>
                    <w:rPr>
                      <w:rFonts w:hint="eastAsia" w:ascii="Times New Roman" w:hAnsi="Times New Roman" w:eastAsia="宋体" w:cs="Times New Roman"/>
                      <w:color w:val="auto"/>
                      <w:spacing w:val="-1"/>
                      <w:sz w:val="21"/>
                      <w:szCs w:val="21"/>
                      <w:highlight w:val="none"/>
                      <w:u w:val="none" w:color="auto"/>
                      <w:lang w:val="en-US" w:eastAsia="zh-CN"/>
                    </w:rPr>
                    <w:t>0</w:t>
                  </w:r>
                </w:p>
              </w:tc>
              <w:tc>
                <w:tcPr>
                  <w:tcW w:w="1294" w:type="dxa"/>
                  <w:noWrap w:val="0"/>
                  <w:vAlign w:val="center"/>
                </w:tcPr>
                <w:p w14:paraId="1A9C65AB">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u w:val="none" w:color="auto"/>
                      <w:lang w:val="en-US" w:eastAsia="zh-CN"/>
                    </w:rPr>
                    <w:t>5.26</w:t>
                  </w:r>
                  <w:r>
                    <w:rPr>
                      <w:rFonts w:hint="default" w:ascii="Times New Roman" w:hAnsi="Times New Roman" w:eastAsia="宋体" w:cs="Times New Roman"/>
                      <w:color w:val="auto"/>
                      <w:kern w:val="2"/>
                      <w:sz w:val="21"/>
                      <w:szCs w:val="21"/>
                      <w:u w:val="none" w:color="auto"/>
                    </w:rPr>
                    <w:t>t/a</w:t>
                  </w:r>
                </w:p>
              </w:tc>
              <w:tc>
                <w:tcPr>
                  <w:tcW w:w="1380" w:type="dxa"/>
                  <w:noWrap w:val="0"/>
                  <w:vAlign w:val="center"/>
                </w:tcPr>
                <w:p w14:paraId="33394E36">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cs="Times New Roman"/>
                      <w:color w:val="auto"/>
                      <w:sz w:val="21"/>
                      <w:szCs w:val="21"/>
                      <w:u w:val="none" w:color="auto"/>
                      <w:lang w:val="en-US" w:eastAsia="zh-CN"/>
                    </w:rPr>
                    <w:t>+0.05</w:t>
                  </w:r>
                  <w:r>
                    <w:rPr>
                      <w:rFonts w:hint="default" w:ascii="Times New Roman" w:hAnsi="Times New Roman" w:eastAsia="宋体" w:cs="Times New Roman"/>
                      <w:color w:val="auto"/>
                      <w:kern w:val="2"/>
                      <w:sz w:val="21"/>
                      <w:szCs w:val="21"/>
                      <w:u w:val="none" w:color="auto"/>
                    </w:rPr>
                    <w:t>t/a</w:t>
                  </w:r>
                </w:p>
              </w:tc>
            </w:tr>
            <w:tr w14:paraId="02E4D4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31" w:type="pct"/>
                  <w:vMerge w:val="continue"/>
                  <w:noWrap w:val="0"/>
                  <w:vAlign w:val="center"/>
                </w:tcPr>
                <w:p w14:paraId="1F7F64D6">
                  <w:pPr>
                    <w:pStyle w:val="17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5"/>
                      <w:sz w:val="21"/>
                      <w:szCs w:val="21"/>
                      <w:highlight w:val="none"/>
                      <w:u w:val="none" w:color="auto"/>
                    </w:rPr>
                  </w:pPr>
                </w:p>
              </w:tc>
              <w:tc>
                <w:tcPr>
                  <w:tcW w:w="1553" w:type="dxa"/>
                  <w:noWrap w:val="0"/>
                  <w:vAlign w:val="center"/>
                </w:tcPr>
                <w:p w14:paraId="34883F89">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snapToGrid w:val="0"/>
                      <w:color w:val="auto"/>
                      <w:kern w:val="21"/>
                      <w:sz w:val="21"/>
                      <w:szCs w:val="21"/>
                      <w:u w:val="none" w:color="auto"/>
                    </w:rPr>
                    <w:t>NH</w:t>
                  </w:r>
                  <w:r>
                    <w:rPr>
                      <w:rFonts w:hint="default" w:ascii="Times New Roman" w:hAnsi="Times New Roman" w:eastAsia="宋体" w:cs="Times New Roman"/>
                      <w:snapToGrid w:val="0"/>
                      <w:color w:val="auto"/>
                      <w:kern w:val="21"/>
                      <w:sz w:val="21"/>
                      <w:szCs w:val="21"/>
                      <w:u w:val="none" w:color="auto"/>
                      <w:vertAlign w:val="subscript"/>
                    </w:rPr>
                    <w:t>3</w:t>
                  </w:r>
                  <w:r>
                    <w:rPr>
                      <w:rFonts w:hint="default" w:ascii="Times New Roman" w:hAnsi="Times New Roman" w:eastAsia="宋体" w:cs="Times New Roman"/>
                      <w:snapToGrid w:val="0"/>
                      <w:color w:val="auto"/>
                      <w:kern w:val="21"/>
                      <w:sz w:val="21"/>
                      <w:szCs w:val="21"/>
                      <w:u w:val="none" w:color="auto"/>
                    </w:rPr>
                    <w:t>-N</w:t>
                  </w:r>
                </w:p>
              </w:tc>
              <w:tc>
                <w:tcPr>
                  <w:tcW w:w="1189" w:type="dxa"/>
                  <w:noWrap w:val="0"/>
                  <w:vAlign w:val="center"/>
                </w:tcPr>
                <w:p w14:paraId="7146AD7D">
                  <w:pPr>
                    <w:pStyle w:val="78"/>
                    <w:keepNext w:val="0"/>
                    <w:keepLines w:val="0"/>
                    <w:pageBreakBefore w:val="0"/>
                    <w:widowControl w:val="0"/>
                    <w:kinsoku/>
                    <w:wordWrap/>
                    <w:overflowPunct/>
                    <w:topLinePunct w:val="0"/>
                    <w:bidi w:val="0"/>
                    <w:spacing w:beforeLines="0" w:afterLines="0" w:line="200" w:lineRule="exact"/>
                    <w:rPr>
                      <w:rFonts w:hint="eastAsia" w:cs="Times New Roman"/>
                      <w:color w:val="auto"/>
                      <w:spacing w:val="-1"/>
                      <w:sz w:val="21"/>
                      <w:szCs w:val="21"/>
                      <w:highlight w:val="none"/>
                      <w:u w:val="none" w:color="auto"/>
                      <w:lang w:val="en-US" w:eastAsia="zh-CN"/>
                    </w:rPr>
                  </w:pPr>
                  <w:r>
                    <w:rPr>
                      <w:rFonts w:hint="eastAsia" w:ascii="Times New Roman" w:cs="Times New Roman"/>
                      <w:snapToGrid w:val="0"/>
                      <w:color w:val="auto"/>
                      <w:kern w:val="21"/>
                      <w:sz w:val="21"/>
                      <w:szCs w:val="21"/>
                      <w:u w:val="none" w:color="auto"/>
                      <w:lang w:val="en-US" w:eastAsia="zh-CN"/>
                    </w:rPr>
                    <w:t>0.52</w:t>
                  </w:r>
                  <w:r>
                    <w:rPr>
                      <w:rFonts w:hint="default" w:ascii="Times New Roman" w:hAnsi="Times New Roman" w:eastAsia="宋体" w:cs="Times New Roman"/>
                      <w:color w:val="auto"/>
                      <w:kern w:val="2"/>
                      <w:sz w:val="21"/>
                      <w:szCs w:val="21"/>
                      <w:u w:val="none" w:color="auto"/>
                    </w:rPr>
                    <w:t>t/a</w:t>
                  </w:r>
                </w:p>
              </w:tc>
              <w:tc>
                <w:tcPr>
                  <w:tcW w:w="1031" w:type="dxa"/>
                  <w:noWrap w:val="0"/>
                  <w:vAlign w:val="center"/>
                </w:tcPr>
                <w:p w14:paraId="3F11E836">
                  <w:pPr>
                    <w:pStyle w:val="78"/>
                    <w:keepNext w:val="0"/>
                    <w:keepLines w:val="0"/>
                    <w:pageBreakBefore w:val="0"/>
                    <w:widowControl w:val="0"/>
                    <w:kinsoku/>
                    <w:wordWrap/>
                    <w:overflowPunct/>
                    <w:topLinePunct w:val="0"/>
                    <w:bidi w:val="0"/>
                    <w:spacing w:beforeLines="0" w:afterLines="0" w:line="200" w:lineRule="exact"/>
                    <w:rPr>
                      <w:rFonts w:hint="eastAsia" w:cs="Times New Roman"/>
                      <w:color w:val="auto"/>
                      <w:sz w:val="21"/>
                      <w:szCs w:val="21"/>
                      <w:highlight w:val="none"/>
                      <w:u w:val="none" w:color="auto"/>
                      <w:lang w:val="en-US" w:eastAsia="zh-CN"/>
                    </w:rPr>
                  </w:pPr>
                  <w:r>
                    <w:rPr>
                      <w:rFonts w:hint="eastAsia" w:ascii="Times New Roman" w:cs="Times New Roman"/>
                      <w:color w:val="auto"/>
                      <w:kern w:val="2"/>
                      <w:sz w:val="21"/>
                      <w:szCs w:val="21"/>
                      <w:u w:val="none" w:color="auto"/>
                      <w:lang w:val="en-US" w:eastAsia="zh-CN"/>
                    </w:rPr>
                    <w:t>0.01</w:t>
                  </w:r>
                  <w:r>
                    <w:rPr>
                      <w:rFonts w:hint="default" w:ascii="Times New Roman" w:hAnsi="Times New Roman" w:eastAsia="宋体" w:cs="Times New Roman"/>
                      <w:color w:val="auto"/>
                      <w:kern w:val="2"/>
                      <w:sz w:val="21"/>
                      <w:szCs w:val="21"/>
                      <w:u w:val="none" w:color="auto"/>
                    </w:rPr>
                    <w:t>t/a</w:t>
                  </w:r>
                </w:p>
              </w:tc>
              <w:tc>
                <w:tcPr>
                  <w:tcW w:w="694" w:type="pct"/>
                  <w:noWrap w:val="0"/>
                  <w:vAlign w:val="center"/>
                </w:tcPr>
                <w:p w14:paraId="7D06C42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highlight w:val="none"/>
                      <w:u w:val="none" w:color="auto"/>
                      <w:lang w:val="en-US" w:eastAsia="zh-CN"/>
                    </w:rPr>
                  </w:pPr>
                  <w:r>
                    <w:rPr>
                      <w:rFonts w:hint="eastAsia" w:ascii="Times New Roman" w:hAnsi="Times New Roman" w:eastAsia="宋体" w:cs="Times New Roman"/>
                      <w:color w:val="auto"/>
                      <w:spacing w:val="-1"/>
                      <w:sz w:val="21"/>
                      <w:szCs w:val="21"/>
                      <w:highlight w:val="none"/>
                      <w:u w:val="none" w:color="auto"/>
                      <w:lang w:val="en-US" w:eastAsia="zh-CN"/>
                    </w:rPr>
                    <w:t>0</w:t>
                  </w:r>
                </w:p>
              </w:tc>
              <w:tc>
                <w:tcPr>
                  <w:tcW w:w="1294" w:type="dxa"/>
                  <w:noWrap w:val="0"/>
                  <w:vAlign w:val="center"/>
                </w:tcPr>
                <w:p w14:paraId="3B4DCF2A">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kern w:val="2"/>
                      <w:sz w:val="21"/>
                      <w:szCs w:val="21"/>
                      <w:u w:val="none" w:color="auto"/>
                      <w:lang w:val="en-US" w:eastAsia="zh-CN"/>
                    </w:rPr>
                    <w:t>0.</w:t>
                  </w:r>
                  <w:r>
                    <w:rPr>
                      <w:rFonts w:hint="eastAsia" w:ascii="Times New Roman" w:cs="Times New Roman"/>
                      <w:color w:val="auto"/>
                      <w:kern w:val="2"/>
                      <w:sz w:val="21"/>
                      <w:szCs w:val="21"/>
                      <w:u w:val="none" w:color="auto"/>
                      <w:lang w:val="en-US" w:eastAsia="zh-CN"/>
                    </w:rPr>
                    <w:t>53</w:t>
                  </w:r>
                  <w:r>
                    <w:rPr>
                      <w:rFonts w:hint="default" w:ascii="Times New Roman" w:hAnsi="Times New Roman" w:eastAsia="宋体" w:cs="Times New Roman"/>
                      <w:color w:val="auto"/>
                      <w:kern w:val="2"/>
                      <w:sz w:val="21"/>
                      <w:szCs w:val="21"/>
                      <w:u w:val="none" w:color="auto"/>
                    </w:rPr>
                    <w:t>t/a</w:t>
                  </w:r>
                </w:p>
              </w:tc>
              <w:tc>
                <w:tcPr>
                  <w:tcW w:w="1380" w:type="dxa"/>
                  <w:noWrap w:val="0"/>
                  <w:vAlign w:val="center"/>
                </w:tcPr>
                <w:p w14:paraId="52F40813">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cs="Times New Roman"/>
                      <w:color w:val="auto"/>
                      <w:kern w:val="2"/>
                      <w:sz w:val="21"/>
                      <w:szCs w:val="21"/>
                      <w:u w:val="none" w:color="auto"/>
                      <w:lang w:val="en-US" w:eastAsia="zh-CN"/>
                    </w:rPr>
                    <w:t>+0.01</w:t>
                  </w:r>
                  <w:r>
                    <w:rPr>
                      <w:rFonts w:hint="default" w:ascii="Times New Roman" w:hAnsi="Times New Roman" w:eastAsia="宋体" w:cs="Times New Roman"/>
                      <w:color w:val="auto"/>
                      <w:kern w:val="2"/>
                      <w:sz w:val="21"/>
                      <w:szCs w:val="21"/>
                      <w:u w:val="none" w:color="auto"/>
                    </w:rPr>
                    <w:t>t/a</w:t>
                  </w:r>
                </w:p>
              </w:tc>
            </w:tr>
          </w:tbl>
          <w:p w14:paraId="637AB791">
            <w:pPr>
              <w:pStyle w:val="34"/>
              <w:spacing w:line="360" w:lineRule="auto"/>
              <w:ind w:left="0" w:leftChars="0" w:firstLine="0" w:firstLineChars="0"/>
              <w:rPr>
                <w:rFonts w:hint="default" w:ascii="Times New Roman" w:hAnsi="Times New Roman" w:cs="Times New Roman"/>
                <w:color w:val="auto"/>
                <w:sz w:val="24"/>
                <w:highlight w:val="none"/>
                <w:u w:val="none" w:color="auto"/>
              </w:rPr>
            </w:pPr>
          </w:p>
        </w:tc>
      </w:tr>
    </w:tbl>
    <w:p w14:paraId="04244BCE">
      <w:pPr>
        <w:pStyle w:val="2"/>
        <w:ind w:left="0" w:firstLine="0"/>
        <w:rPr>
          <w:rFonts w:hint="default" w:ascii="Times New Roman" w:hAnsi="Times New Roman" w:cs="Times New Roman"/>
          <w:color w:val="auto"/>
          <w:highlight w:val="none"/>
          <w:u w:val="none" w:color="auto"/>
        </w:rPr>
      </w:pPr>
      <w:r>
        <w:rPr>
          <w:rFonts w:hint="default" w:ascii="Times New Roman" w:hAnsi="Times New Roman" w:eastAsia="黑体" w:cs="Times New Roman"/>
          <w:snapToGrid w:val="0"/>
          <w:color w:val="auto"/>
          <w:sz w:val="36"/>
          <w:szCs w:val="36"/>
          <w:highlight w:val="none"/>
          <w:u w:val="none" w:color="auto"/>
        </w:rPr>
        <w:br w:type="page"/>
      </w:r>
      <w:bookmarkStart w:id="22" w:name="_Toc2486"/>
      <w:bookmarkStart w:id="23" w:name="_Toc8360"/>
      <w:bookmarkStart w:id="24" w:name="_Toc16810"/>
      <w:bookmarkStart w:id="25" w:name="_Toc7960"/>
      <w:bookmarkStart w:id="26" w:name="_Toc8263"/>
      <w:bookmarkStart w:id="27" w:name="_Toc30895"/>
      <w:r>
        <w:rPr>
          <w:rFonts w:hint="default" w:ascii="Times New Roman" w:hAnsi="Times New Roman" w:cs="Times New Roman"/>
          <w:color w:val="auto"/>
          <w:highlight w:val="none"/>
          <w:u w:val="none" w:color="auto"/>
        </w:rPr>
        <w:t>四、主要环境影响和保护措施</w:t>
      </w:r>
      <w:bookmarkEnd w:id="22"/>
      <w:bookmarkEnd w:id="23"/>
      <w:bookmarkEnd w:id="24"/>
      <w:bookmarkEnd w:id="25"/>
      <w:bookmarkEnd w:id="26"/>
      <w:bookmarkEnd w:id="27"/>
    </w:p>
    <w:tbl>
      <w:tblPr>
        <w:tblStyle w:val="35"/>
        <w:tblW w:w="504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96"/>
        <w:gridCol w:w="9341"/>
      </w:tblGrid>
      <w:tr w14:paraId="612A52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76" w:hRule="atLeast"/>
          <w:jc w:val="center"/>
        </w:trPr>
        <w:tc>
          <w:tcPr>
            <w:tcW w:w="364" w:type="pct"/>
            <w:noWrap w:val="0"/>
            <w:tcMar>
              <w:left w:w="28" w:type="dxa"/>
              <w:right w:w="28" w:type="dxa"/>
            </w:tcMar>
            <w:vAlign w:val="center"/>
          </w:tcPr>
          <w:p w14:paraId="215C474C">
            <w:pPr>
              <w:pStyle w:val="32"/>
              <w:adjustRightInd w:val="0"/>
              <w:snapToGrid w:val="0"/>
              <w:spacing w:before="0" w:beforeAutospacing="0" w:after="0" w:afterAutospacing="0"/>
              <w:jc w:val="center"/>
              <w:rPr>
                <w:rFonts w:hint="default" w:ascii="Times New Roman" w:hAnsi="Times New Roman" w:cs="Times New Roman"/>
                <w:bCs/>
                <w:color w:val="auto"/>
                <w:kern w:val="2"/>
                <w:szCs w:val="24"/>
                <w:highlight w:val="none"/>
                <w:u w:val="none" w:color="auto"/>
              </w:rPr>
            </w:pPr>
            <w:r>
              <w:rPr>
                <w:rFonts w:hint="default" w:ascii="Times New Roman" w:hAnsi="Times New Roman" w:cs="Times New Roman"/>
                <w:color w:val="auto"/>
                <w:kern w:val="2"/>
                <w:szCs w:val="24"/>
                <w:highlight w:val="none"/>
                <w:u w:val="none" w:color="auto"/>
              </w:rPr>
              <w:t>施工期环境保护措施</w:t>
            </w:r>
          </w:p>
        </w:tc>
        <w:tc>
          <w:tcPr>
            <w:tcW w:w="4635" w:type="pct"/>
            <w:noWrap w:val="0"/>
            <w:vAlign w:val="center"/>
          </w:tcPr>
          <w:p w14:paraId="28F279F8">
            <w:pPr>
              <w:tabs>
                <w:tab w:val="left" w:pos="5775"/>
              </w:tabs>
              <w:adjustRightInd w:val="0"/>
              <w:snapToGrid w:val="0"/>
              <w:spacing w:line="360" w:lineRule="auto"/>
              <w:ind w:firstLine="480" w:firstLineChars="200"/>
              <w:rPr>
                <w:color w:val="auto"/>
                <w:sz w:val="24"/>
                <w:u w:val="none" w:color="auto"/>
              </w:rPr>
            </w:pPr>
            <w:r>
              <w:rPr>
                <w:color w:val="auto"/>
                <w:sz w:val="24"/>
                <w:u w:val="none" w:color="auto"/>
                <w:lang w:eastAsia="zh-TW" w:bidi="ar"/>
              </w:rPr>
              <w:t>施工期对环境的影响因素主要是运输扬尘</w:t>
            </w:r>
            <w:r>
              <w:rPr>
                <w:color w:val="auto"/>
                <w:sz w:val="24"/>
                <w:u w:val="none" w:color="auto"/>
                <w:lang w:bidi="ar"/>
              </w:rPr>
              <w:t>及燃烧废气和尾气</w:t>
            </w:r>
            <w:r>
              <w:rPr>
                <w:color w:val="auto"/>
                <w:sz w:val="24"/>
                <w:u w:val="none" w:color="auto"/>
                <w:lang w:eastAsia="zh-TW" w:bidi="ar"/>
              </w:rPr>
              <w:t>、</w:t>
            </w:r>
            <w:r>
              <w:rPr>
                <w:color w:val="auto"/>
                <w:sz w:val="24"/>
                <w:u w:val="none" w:color="auto"/>
                <w:lang w:bidi="ar"/>
              </w:rPr>
              <w:t>废水、施工噪声</w:t>
            </w:r>
            <w:r>
              <w:rPr>
                <w:color w:val="auto"/>
                <w:sz w:val="24"/>
                <w:u w:val="none" w:color="auto"/>
                <w:lang w:eastAsia="zh-TW" w:bidi="ar"/>
              </w:rPr>
              <w:t>及</w:t>
            </w:r>
            <w:r>
              <w:rPr>
                <w:color w:val="auto"/>
                <w:sz w:val="24"/>
                <w:u w:val="none" w:color="auto"/>
                <w:lang w:bidi="ar"/>
              </w:rPr>
              <w:t>固废</w:t>
            </w:r>
            <w:r>
              <w:rPr>
                <w:color w:val="auto"/>
                <w:sz w:val="24"/>
                <w:u w:val="none" w:color="auto"/>
                <w:lang w:eastAsia="zh-TW" w:bidi="ar"/>
              </w:rPr>
              <w:t>等</w:t>
            </w:r>
            <w:r>
              <w:rPr>
                <w:color w:val="auto"/>
                <w:sz w:val="24"/>
                <w:u w:val="none" w:color="auto"/>
                <w:lang w:bidi="ar"/>
              </w:rPr>
              <w:t>，相关保护措施如下：</w:t>
            </w:r>
          </w:p>
          <w:p w14:paraId="08CF9046">
            <w:pPr>
              <w:adjustRightInd w:val="0"/>
              <w:snapToGrid w:val="0"/>
              <w:spacing w:line="360" w:lineRule="auto"/>
              <w:ind w:firstLine="482" w:firstLineChars="200"/>
              <w:rPr>
                <w:b/>
                <w:color w:val="auto"/>
                <w:sz w:val="24"/>
                <w:u w:val="none" w:color="auto"/>
              </w:rPr>
            </w:pPr>
            <w:r>
              <w:rPr>
                <w:b/>
                <w:color w:val="auto"/>
                <w:sz w:val="24"/>
                <w:u w:val="none" w:color="auto"/>
                <w:lang w:bidi="ar"/>
              </w:rPr>
              <w:t>1</w:t>
            </w:r>
            <w:r>
              <w:rPr>
                <w:b/>
                <w:color w:val="auto"/>
                <w:sz w:val="24"/>
                <w:u w:val="none" w:color="auto"/>
                <w:lang w:eastAsia="zh-TW" w:bidi="ar"/>
              </w:rPr>
              <w:t>、</w:t>
            </w:r>
            <w:r>
              <w:rPr>
                <w:b/>
                <w:color w:val="auto"/>
                <w:sz w:val="24"/>
                <w:u w:val="none" w:color="auto"/>
                <w:lang w:bidi="ar"/>
              </w:rPr>
              <w:t>大气环境保护措施</w:t>
            </w:r>
          </w:p>
          <w:p w14:paraId="68D2840B">
            <w:pPr>
              <w:pStyle w:val="32"/>
              <w:adjustRightInd w:val="0"/>
              <w:snapToGrid w:val="0"/>
              <w:spacing w:before="0" w:beforeAutospacing="0" w:after="0" w:afterAutospacing="0" w:line="360" w:lineRule="auto"/>
              <w:ind w:firstLine="480" w:firstLineChars="200"/>
              <w:jc w:val="both"/>
              <w:rPr>
                <w:rFonts w:ascii="Times New Roman" w:hAnsi="Times New Roman"/>
                <w:bCs/>
                <w:color w:val="auto"/>
                <w:szCs w:val="24"/>
                <w:u w:val="none" w:color="auto"/>
              </w:rPr>
            </w:pPr>
            <w:r>
              <w:rPr>
                <w:rFonts w:ascii="Times New Roman" w:hAnsi="Times New Roman"/>
                <w:bCs/>
                <w:color w:val="auto"/>
                <w:kern w:val="2"/>
                <w:szCs w:val="24"/>
                <w:u w:val="none" w:color="auto"/>
                <w:lang w:bidi="ar"/>
              </w:rPr>
              <w:t>（1）扬尘</w:t>
            </w:r>
          </w:p>
          <w:p w14:paraId="2EB4CE7C">
            <w:pPr>
              <w:pStyle w:val="32"/>
              <w:adjustRightInd w:val="0"/>
              <w:snapToGrid w:val="0"/>
              <w:spacing w:before="0" w:beforeAutospacing="0" w:after="0" w:afterAutospacing="0" w:line="360" w:lineRule="auto"/>
              <w:ind w:firstLine="480" w:firstLineChars="200"/>
              <w:jc w:val="both"/>
              <w:rPr>
                <w:rFonts w:ascii="Times New Roman" w:hAnsi="Times New Roman"/>
                <w:bCs/>
                <w:color w:val="auto"/>
                <w:szCs w:val="24"/>
                <w:u w:val="none" w:color="auto"/>
              </w:rPr>
            </w:pPr>
            <w:r>
              <w:rPr>
                <w:rFonts w:ascii="Times New Roman" w:hAnsi="Times New Roman"/>
                <w:bCs/>
                <w:color w:val="auto"/>
                <w:kern w:val="2"/>
                <w:szCs w:val="24"/>
                <w:u w:val="none" w:color="auto"/>
                <w:lang w:bidi="ar"/>
              </w:rPr>
              <w:t>施工过程中场地清理、建筑材料运输和堆放等过程中都会产生扬尘，干燥无雨的天气尤为严重。项目施工期产生的扬尘主要有施工扬尘、建筑材料装卸扬尘、地面料场的风吹扬尘和汽车行驶扬尘等。</w:t>
            </w:r>
            <w:r>
              <w:rPr>
                <w:rFonts w:ascii="Times New Roman" w:hAnsi="Times New Roman"/>
                <w:color w:val="auto"/>
                <w:kern w:val="2"/>
                <w:szCs w:val="24"/>
                <w:u w:val="none" w:color="auto"/>
                <w:lang w:bidi="ar"/>
              </w:rPr>
              <w:t>结合《南阳市2023年蓝天保卫战实施方案》（宛环委办〔2023〕20号），</w:t>
            </w:r>
            <w:r>
              <w:rPr>
                <w:rFonts w:ascii="Times New Roman" w:hAnsi="Times New Roman"/>
                <w:bCs/>
                <w:color w:val="auto"/>
                <w:kern w:val="2"/>
                <w:szCs w:val="24"/>
                <w:u w:val="none" w:color="auto"/>
                <w:lang w:bidi="ar"/>
              </w:rPr>
              <w:t>建议建设单位采取如下措施：</w:t>
            </w:r>
          </w:p>
          <w:p w14:paraId="221D8870">
            <w:pPr>
              <w:pStyle w:val="32"/>
              <w:adjustRightInd w:val="0"/>
              <w:snapToGrid w:val="0"/>
              <w:spacing w:before="0" w:beforeAutospacing="0" w:after="0" w:afterAutospacing="0" w:line="360" w:lineRule="auto"/>
              <w:ind w:firstLine="480" w:firstLineChars="200"/>
              <w:jc w:val="both"/>
              <w:rPr>
                <w:rFonts w:ascii="Times New Roman" w:hAnsi="Times New Roman"/>
                <w:bCs/>
                <w:color w:val="auto"/>
                <w:kern w:val="2"/>
                <w:szCs w:val="24"/>
                <w:u w:val="none" w:color="auto"/>
                <w:lang w:bidi="ar"/>
              </w:rPr>
            </w:pPr>
            <w:r>
              <w:rPr>
                <w:rFonts w:ascii="Times New Roman" w:hAnsi="Times New Roman"/>
                <w:bCs/>
                <w:color w:val="auto"/>
                <w:kern w:val="2"/>
                <w:szCs w:val="24"/>
                <w:u w:val="none" w:color="auto"/>
                <w:lang w:bidi="ar"/>
              </w:rPr>
              <w:t>1）环评要求施工单位加强路面洒水降尘，行驶车辆在路过敏感点时应减速慢行；运输车辆装载量适当，运输分散状物料尽量采用密闭车斗运输，在运输途中不得遗洒、飘散载运物；若无密闭车斗，物料的装载高度不得超过车辆槽帮上沿，车斗应用苫布遮盖严实。苫布边缘至少要遮住槽帮上沿以下15cm，保证筑路材料等不露出。</w:t>
            </w:r>
          </w:p>
          <w:p w14:paraId="7B49A4CA">
            <w:pPr>
              <w:pStyle w:val="32"/>
              <w:adjustRightInd w:val="0"/>
              <w:snapToGrid w:val="0"/>
              <w:spacing w:before="0" w:beforeAutospacing="0" w:after="0" w:afterAutospacing="0" w:line="360" w:lineRule="auto"/>
              <w:ind w:firstLine="480" w:firstLineChars="200"/>
              <w:jc w:val="both"/>
              <w:rPr>
                <w:rFonts w:ascii="Times New Roman" w:hAnsi="Times New Roman"/>
                <w:bCs/>
                <w:color w:val="auto"/>
                <w:kern w:val="2"/>
                <w:szCs w:val="24"/>
                <w:u w:val="none" w:color="auto"/>
                <w:lang w:bidi="ar"/>
              </w:rPr>
            </w:pPr>
            <w:r>
              <w:rPr>
                <w:rFonts w:ascii="Times New Roman" w:hAnsi="Times New Roman"/>
                <w:bCs/>
                <w:color w:val="auto"/>
                <w:kern w:val="2"/>
                <w:szCs w:val="24"/>
                <w:u w:val="none" w:color="auto"/>
                <w:lang w:bidi="ar"/>
              </w:rPr>
              <w:t>2）施工现场设置定型化、工具化、坚固安全的封闭式围挡，底部设置30cm防溢座，围挡高度设置不低于2.5m，围挡之间及围挡与防溢座之间无缝隙；对渣土、物料等易产生扬尘的建筑材料，应专门设置集中堆放垃圾、渣土的场地，不能按时完成清运的，应及时覆盖；土方填挖，必须采取湿式作业，控制扬尘，施工现场保持湿润、无明显浮尘；作业区域必须建立洒水清扫制度，有专人负责洒水场地的清扫，非雨天每天至少洒水4次，特别是沿途靠近敏感点的区域施工时，更要加强洒水的频率和强度，以减少扬尘的产生。</w:t>
            </w:r>
          </w:p>
          <w:p w14:paraId="50159E11">
            <w:pPr>
              <w:pStyle w:val="32"/>
              <w:adjustRightInd w:val="0"/>
              <w:snapToGrid w:val="0"/>
              <w:spacing w:before="0" w:beforeAutospacing="0" w:after="0" w:afterAutospacing="0" w:line="360" w:lineRule="auto"/>
              <w:ind w:firstLine="480" w:firstLineChars="200"/>
              <w:jc w:val="both"/>
              <w:rPr>
                <w:rFonts w:ascii="Times New Roman" w:hAnsi="Times New Roman"/>
                <w:bCs/>
                <w:color w:val="auto"/>
                <w:kern w:val="2"/>
                <w:szCs w:val="24"/>
                <w:u w:val="none" w:color="auto"/>
                <w:lang w:bidi="ar"/>
              </w:rPr>
            </w:pPr>
            <w:r>
              <w:rPr>
                <w:rFonts w:ascii="Times New Roman" w:hAnsi="Times New Roman"/>
                <w:bCs/>
                <w:color w:val="auto"/>
                <w:kern w:val="2"/>
                <w:szCs w:val="24"/>
                <w:u w:val="none" w:color="auto"/>
                <w:lang w:bidi="ar"/>
              </w:rPr>
              <w:t>3）为减轻临时堆土区产生的扬尘对大气环境的影响，评价建议施工临时堆场应采用防尘网100%覆盖，并定期洒水保持湿润，避免作业起尘和风蚀起尘；堆场露天装卸作业时，应采取洒水或喷淋稳定剂等抑尘措施；对易产生扬尘的物料堆、渣土堆、废渣、建材等，应采用防尘网和防尘布覆盖，必要时进行喷淋、固化处理；施工临时堆场设置干砌石挡墙、装土编织袋挡墙等临时拦挡，并高于废弃物堆，定期洒水抑尘，遇降水或大风等恶劣天气时，对临时堆土进行土工布苫盖，做好防风、防雨、防流失等“三防”措施。</w:t>
            </w:r>
          </w:p>
          <w:p w14:paraId="395AF8E9">
            <w:pPr>
              <w:pStyle w:val="32"/>
              <w:adjustRightInd w:val="0"/>
              <w:snapToGrid w:val="0"/>
              <w:spacing w:before="0" w:beforeAutospacing="0" w:after="0" w:afterAutospacing="0" w:line="360" w:lineRule="auto"/>
              <w:ind w:firstLine="480" w:firstLineChars="200"/>
              <w:jc w:val="both"/>
              <w:rPr>
                <w:rFonts w:ascii="Times New Roman" w:hAnsi="Times New Roman"/>
                <w:bCs/>
                <w:color w:val="auto"/>
                <w:kern w:val="2"/>
                <w:szCs w:val="24"/>
                <w:u w:val="none" w:color="auto"/>
                <w:lang w:bidi="ar"/>
              </w:rPr>
            </w:pPr>
            <w:r>
              <w:rPr>
                <w:rFonts w:ascii="Times New Roman" w:hAnsi="Times New Roman"/>
                <w:bCs/>
                <w:color w:val="auto"/>
                <w:kern w:val="2"/>
                <w:szCs w:val="24"/>
                <w:u w:val="none" w:color="auto"/>
                <w:lang w:bidi="ar"/>
              </w:rPr>
              <w:t>4）严格落实新建和在建建筑、市政、拆除、公路、水利等各类施工工地现场管理达标100%、施工工地湿法作业100%、施工工地道路硬化100%、渣土物料覆盖100%、施工工地出入车辆冲洗100%、现场监控安装100%、物料运输密闭100%、施工工地使用非道路移动机械、车辆管理100%达标、施工工地建筑立面封闭100%、违规及时按日处罚率 100%“十个百分之百”，严格落实城市规划区内建筑工地禁止现场搅拌混凝土、禁止现场配制砂浆“两个禁止”，严格执行开复工验收、“三员”管理、扬尘防治预算管理等制度。规模以上土石方建筑工地全部安装在线监测和视频监控，并与当地主管部门联网。建筑垃圾清运车辆全部实现自动化密闭运输，统一安装卫星定位装置，并与主管部门联网。</w:t>
            </w:r>
          </w:p>
          <w:p w14:paraId="2804E3F8">
            <w:pPr>
              <w:pStyle w:val="32"/>
              <w:adjustRightInd w:val="0"/>
              <w:snapToGrid w:val="0"/>
              <w:spacing w:before="0" w:beforeAutospacing="0" w:after="0" w:afterAutospacing="0" w:line="360" w:lineRule="auto"/>
              <w:ind w:firstLine="480" w:firstLineChars="200"/>
              <w:jc w:val="both"/>
              <w:rPr>
                <w:rFonts w:ascii="Times New Roman" w:hAnsi="Times New Roman"/>
                <w:bCs/>
                <w:color w:val="auto"/>
                <w:szCs w:val="24"/>
                <w:u w:val="none" w:color="auto"/>
              </w:rPr>
            </w:pPr>
            <w:r>
              <w:rPr>
                <w:rFonts w:ascii="Times New Roman" w:hAnsi="Times New Roman"/>
                <w:bCs/>
                <w:color w:val="auto"/>
                <w:kern w:val="2"/>
                <w:szCs w:val="24"/>
                <w:u w:val="none" w:color="auto"/>
                <w:lang w:bidi="ar"/>
              </w:rPr>
              <w:t>施工期在实施以上建议措施后，其对施工场地周边环境影响较小。随着施工的结束，该部分影响也将随之消失。</w:t>
            </w:r>
          </w:p>
          <w:p w14:paraId="11A0BB9D">
            <w:pPr>
              <w:pStyle w:val="32"/>
              <w:adjustRightInd w:val="0"/>
              <w:snapToGrid w:val="0"/>
              <w:spacing w:before="0" w:beforeAutospacing="0" w:after="0" w:afterAutospacing="0" w:line="360" w:lineRule="auto"/>
              <w:ind w:firstLine="480" w:firstLineChars="200"/>
              <w:jc w:val="both"/>
              <w:rPr>
                <w:rFonts w:ascii="Times New Roman" w:hAnsi="Times New Roman"/>
                <w:color w:val="auto"/>
                <w:szCs w:val="24"/>
                <w:u w:val="none" w:color="auto"/>
              </w:rPr>
            </w:pPr>
            <w:r>
              <w:rPr>
                <w:rFonts w:ascii="Times New Roman" w:hAnsi="Times New Roman"/>
                <w:color w:val="auto"/>
                <w:kern w:val="2"/>
                <w:szCs w:val="24"/>
                <w:u w:val="none" w:color="auto"/>
                <w:lang w:bidi="ar"/>
              </w:rPr>
              <w:t>（2）汽车尾气和燃油废气</w:t>
            </w:r>
          </w:p>
          <w:p w14:paraId="5EA027BA">
            <w:pPr>
              <w:pStyle w:val="32"/>
              <w:adjustRightInd w:val="0"/>
              <w:snapToGrid w:val="0"/>
              <w:spacing w:before="0" w:beforeAutospacing="0" w:after="0" w:afterAutospacing="0" w:line="360" w:lineRule="auto"/>
              <w:ind w:firstLine="480" w:firstLineChars="200"/>
              <w:jc w:val="both"/>
              <w:rPr>
                <w:rFonts w:ascii="Times New Roman" w:hAnsi="Times New Roman"/>
                <w:color w:val="auto"/>
                <w:szCs w:val="24"/>
                <w:u w:val="none" w:color="auto"/>
              </w:rPr>
            </w:pPr>
            <w:r>
              <w:rPr>
                <w:rFonts w:ascii="Times New Roman" w:hAnsi="Times New Roman"/>
                <w:color w:val="auto"/>
                <w:kern w:val="2"/>
                <w:szCs w:val="24"/>
                <w:u w:val="none" w:color="auto"/>
                <w:lang w:bidi="ar"/>
              </w:rPr>
              <w:t>运输车辆和各类燃油动力机械在建筑施工、物料运输等作业时，排出尾气和各类燃油废气。车辆在运输过程中尾气无组织排放。评价要求加强工作场所通风，使废气快速扩散，预计对周围环境影响较小。</w:t>
            </w:r>
          </w:p>
          <w:p w14:paraId="5B01238E">
            <w:pPr>
              <w:adjustRightInd w:val="0"/>
              <w:snapToGrid w:val="0"/>
              <w:spacing w:line="360" w:lineRule="auto"/>
              <w:ind w:firstLine="482" w:firstLineChars="200"/>
              <w:rPr>
                <w:b/>
                <w:color w:val="auto"/>
                <w:sz w:val="24"/>
                <w:u w:val="none" w:color="auto"/>
              </w:rPr>
            </w:pPr>
            <w:bookmarkStart w:id="28" w:name="_Toc57658096"/>
            <w:r>
              <w:rPr>
                <w:b/>
                <w:color w:val="auto"/>
                <w:sz w:val="24"/>
                <w:u w:val="none" w:color="auto"/>
                <w:lang w:bidi="ar"/>
              </w:rPr>
              <w:t>2</w:t>
            </w:r>
            <w:r>
              <w:rPr>
                <w:b/>
                <w:color w:val="auto"/>
                <w:sz w:val="24"/>
                <w:u w:val="none" w:color="auto"/>
                <w:lang w:eastAsia="zh-TW" w:bidi="ar"/>
              </w:rPr>
              <w:t>、水环境</w:t>
            </w:r>
            <w:r>
              <w:rPr>
                <w:b/>
                <w:color w:val="auto"/>
                <w:sz w:val="24"/>
                <w:u w:val="none" w:color="auto"/>
                <w:lang w:bidi="ar"/>
              </w:rPr>
              <w:t>保护措施</w:t>
            </w:r>
          </w:p>
          <w:p w14:paraId="262F8352">
            <w:pPr>
              <w:pStyle w:val="32"/>
              <w:adjustRightInd w:val="0"/>
              <w:snapToGrid w:val="0"/>
              <w:spacing w:before="0" w:beforeAutospacing="0" w:after="0" w:afterAutospacing="0" w:line="360" w:lineRule="auto"/>
              <w:ind w:firstLine="480" w:firstLineChars="200"/>
              <w:jc w:val="both"/>
              <w:rPr>
                <w:rFonts w:ascii="Times New Roman" w:hAnsi="Times New Roman"/>
                <w:bCs/>
                <w:color w:val="auto"/>
                <w:szCs w:val="24"/>
                <w:u w:val="none" w:color="auto"/>
              </w:rPr>
            </w:pPr>
            <w:r>
              <w:rPr>
                <w:rFonts w:ascii="Times New Roman" w:hAnsi="Times New Roman"/>
                <w:color w:val="auto"/>
                <w:kern w:val="2"/>
                <w:szCs w:val="24"/>
                <w:u w:val="none" w:color="auto"/>
                <w:lang w:bidi="ar"/>
              </w:rPr>
              <w:t>施工期废水主要为施工人员的生活污水和施工废水。</w:t>
            </w:r>
          </w:p>
          <w:p w14:paraId="2D7C16CF">
            <w:pPr>
              <w:pStyle w:val="32"/>
              <w:adjustRightInd w:val="0"/>
              <w:snapToGrid w:val="0"/>
              <w:spacing w:before="0" w:beforeAutospacing="0" w:after="0" w:afterAutospacing="0" w:line="360" w:lineRule="auto"/>
              <w:ind w:firstLine="480" w:firstLineChars="200"/>
              <w:jc w:val="both"/>
              <w:rPr>
                <w:rFonts w:ascii="Times New Roman" w:hAnsi="Times New Roman"/>
                <w:bCs/>
                <w:color w:val="auto"/>
                <w:szCs w:val="24"/>
                <w:u w:val="none" w:color="auto"/>
              </w:rPr>
            </w:pPr>
            <w:r>
              <w:rPr>
                <w:rFonts w:ascii="Times New Roman" w:hAnsi="Times New Roman"/>
                <w:bCs/>
                <w:color w:val="auto"/>
                <w:kern w:val="2"/>
                <w:szCs w:val="24"/>
                <w:u w:val="none" w:color="auto"/>
                <w:lang w:bidi="ar"/>
              </w:rPr>
              <w:t>评价要求施工单位在施工现场设置沉淀池临时性污水处理设施，将施工废水进行处理后回用于施工场地洒水。</w:t>
            </w:r>
          </w:p>
          <w:p w14:paraId="5435FE50">
            <w:pPr>
              <w:adjustRightInd w:val="0"/>
              <w:snapToGrid w:val="0"/>
              <w:spacing w:line="360" w:lineRule="auto"/>
              <w:ind w:firstLine="480" w:firstLineChars="200"/>
              <w:rPr>
                <w:color w:val="auto"/>
                <w:sz w:val="24"/>
                <w:u w:val="none" w:color="auto"/>
              </w:rPr>
            </w:pPr>
            <w:r>
              <w:rPr>
                <w:color w:val="auto"/>
                <w:sz w:val="24"/>
                <w:u w:val="none" w:color="auto"/>
                <w:lang w:bidi="ar"/>
              </w:rPr>
              <w:t>施工单位</w:t>
            </w:r>
            <w:r>
              <w:rPr>
                <w:color w:val="auto"/>
                <w:sz w:val="24"/>
                <w:u w:val="none" w:color="auto"/>
                <w:lang w:eastAsia="zh-TW" w:bidi="ar"/>
              </w:rPr>
              <w:t>按规划位置修建厕所和化粪池，施工期生活污水经化粪池处理后作农肥施入周围农田，不外排</w:t>
            </w:r>
            <w:r>
              <w:rPr>
                <w:color w:val="auto"/>
                <w:sz w:val="24"/>
                <w:u w:val="none" w:color="auto"/>
                <w:lang w:bidi="ar"/>
              </w:rPr>
              <w:t>。</w:t>
            </w:r>
            <w:r>
              <w:rPr>
                <w:color w:val="auto"/>
                <w:sz w:val="24"/>
                <w:u w:val="none" w:color="auto"/>
                <w:lang w:eastAsia="zh-TW" w:bidi="ar"/>
              </w:rPr>
              <w:t>由于施工期较短且水量较小，预计施工期污水对地表水环境无明显影响。</w:t>
            </w:r>
          </w:p>
          <w:bookmarkEnd w:id="28"/>
          <w:p w14:paraId="6DB04D6D">
            <w:pPr>
              <w:adjustRightInd w:val="0"/>
              <w:snapToGrid w:val="0"/>
              <w:spacing w:line="360" w:lineRule="auto"/>
              <w:ind w:firstLine="482" w:firstLineChars="200"/>
              <w:rPr>
                <w:b/>
                <w:color w:val="auto"/>
                <w:sz w:val="24"/>
                <w:u w:val="none" w:color="auto"/>
              </w:rPr>
            </w:pPr>
            <w:r>
              <w:rPr>
                <w:b/>
                <w:color w:val="auto"/>
                <w:sz w:val="24"/>
                <w:u w:val="none" w:color="auto"/>
                <w:lang w:bidi="ar"/>
              </w:rPr>
              <w:t>3</w:t>
            </w:r>
            <w:r>
              <w:rPr>
                <w:b/>
                <w:color w:val="auto"/>
                <w:sz w:val="24"/>
                <w:u w:val="none" w:color="auto"/>
                <w:lang w:eastAsia="zh-TW" w:bidi="ar"/>
              </w:rPr>
              <w:t>、施工噪声</w:t>
            </w:r>
            <w:r>
              <w:rPr>
                <w:b/>
                <w:color w:val="auto"/>
                <w:sz w:val="24"/>
                <w:u w:val="none" w:color="auto"/>
                <w:lang w:bidi="ar"/>
              </w:rPr>
              <w:t>保护措施</w:t>
            </w:r>
          </w:p>
          <w:p w14:paraId="7F7FE0F3">
            <w:pPr>
              <w:adjustRightInd w:val="0"/>
              <w:snapToGrid w:val="0"/>
              <w:spacing w:line="360" w:lineRule="auto"/>
              <w:ind w:firstLine="480" w:firstLineChars="200"/>
              <w:rPr>
                <w:color w:val="auto"/>
                <w:sz w:val="24"/>
                <w:u w:val="none" w:color="auto"/>
                <w:lang w:eastAsia="zh-TW" w:bidi="ar"/>
              </w:rPr>
            </w:pPr>
            <w:r>
              <w:rPr>
                <w:color w:val="auto"/>
                <w:sz w:val="24"/>
                <w:u w:val="none" w:color="auto"/>
                <w:lang w:eastAsia="zh-TW" w:bidi="ar"/>
              </w:rPr>
              <w:t>本项目为了减轻项目建设对周围敏感点的影响，</w:t>
            </w:r>
            <w:r>
              <w:rPr>
                <w:color w:val="auto"/>
                <w:sz w:val="24"/>
                <w:u w:val="none" w:color="auto"/>
                <w:lang w:bidi="ar"/>
              </w:rPr>
              <w:t>对此评价提出以下要求：</w:t>
            </w:r>
          </w:p>
          <w:p w14:paraId="589CA94D">
            <w:pPr>
              <w:adjustRightInd w:val="0"/>
              <w:snapToGrid w:val="0"/>
              <w:spacing w:line="360" w:lineRule="auto"/>
              <w:ind w:firstLine="480" w:firstLineChars="200"/>
              <w:rPr>
                <w:color w:val="auto"/>
                <w:sz w:val="24"/>
                <w:u w:val="none" w:color="auto"/>
                <w:lang w:eastAsia="zh-TW" w:bidi="ar"/>
              </w:rPr>
            </w:pPr>
            <w:r>
              <w:rPr>
                <w:color w:val="auto"/>
                <w:sz w:val="24"/>
                <w:u w:val="none" w:color="auto"/>
                <w:lang w:bidi="ar"/>
              </w:rPr>
              <w:t>（1）降低设备声级，采用较先进、噪声较低的施工设备；流动机械设备与挖土、运土设备如挖土机、推土机等，可通过排气管消音器和隔离发动机振动部件的方法降低噪声；可通过在等高噪声施工机械附近设置吸声屏，能降低噪声15dB（A）以上。</w:t>
            </w:r>
          </w:p>
          <w:p w14:paraId="2F85D2BB">
            <w:pPr>
              <w:adjustRightInd w:val="0"/>
              <w:snapToGrid w:val="0"/>
              <w:spacing w:line="360" w:lineRule="auto"/>
              <w:ind w:firstLine="480" w:firstLineChars="200"/>
              <w:rPr>
                <w:color w:val="auto"/>
                <w:sz w:val="24"/>
                <w:u w:val="none" w:color="auto"/>
                <w:lang w:eastAsia="zh-TW" w:bidi="ar"/>
              </w:rPr>
            </w:pPr>
            <w:r>
              <w:rPr>
                <w:color w:val="auto"/>
                <w:sz w:val="24"/>
                <w:u w:val="none" w:color="auto"/>
                <w:lang w:bidi="ar"/>
              </w:rPr>
              <w:t>（2）在施工过程中施工单位应设专人对设备进行定期保养和维护，严格按操作规范使用各类机械对动力机械设备定期进行维修和养护，避免因松动部件振动或消声器损坏而加大设备工作时的声级。</w:t>
            </w:r>
          </w:p>
          <w:p w14:paraId="0FFFD559">
            <w:pPr>
              <w:adjustRightInd w:val="0"/>
              <w:snapToGrid w:val="0"/>
              <w:spacing w:line="360" w:lineRule="auto"/>
              <w:ind w:firstLine="480" w:firstLineChars="200"/>
              <w:rPr>
                <w:color w:val="auto"/>
                <w:sz w:val="24"/>
                <w:u w:val="none" w:color="auto"/>
                <w:lang w:eastAsia="zh-TW" w:bidi="ar"/>
              </w:rPr>
            </w:pPr>
            <w:r>
              <w:rPr>
                <w:color w:val="auto"/>
                <w:sz w:val="24"/>
                <w:u w:val="none" w:color="auto"/>
                <w:lang w:bidi="ar"/>
              </w:rPr>
              <w:t>（3）文明施工，尽量减少人为噪声。合理安排施工时间，不得在午间12时至14时和夜间22时至次日6时从事高噪声作业，夜间禁止使用高噪设备。</w:t>
            </w:r>
          </w:p>
          <w:p w14:paraId="7C7C13EA">
            <w:pPr>
              <w:adjustRightInd w:val="0"/>
              <w:snapToGrid w:val="0"/>
              <w:spacing w:line="360" w:lineRule="auto"/>
              <w:ind w:firstLine="480" w:firstLineChars="200"/>
              <w:rPr>
                <w:color w:val="auto"/>
                <w:sz w:val="24"/>
                <w:u w:val="none" w:color="auto"/>
                <w:lang w:eastAsia="zh-TW" w:bidi="ar"/>
              </w:rPr>
            </w:pPr>
            <w:r>
              <w:rPr>
                <w:color w:val="auto"/>
                <w:sz w:val="24"/>
                <w:u w:val="none" w:color="auto"/>
                <w:lang w:bidi="ar"/>
              </w:rPr>
              <w:t xml:space="preserve">（4）合理安排施工车辆的运输路线和时间，尽量减少穿越人群集聚区，夜间应禁止运输建筑材料。对必须进行夜间运输的道路，应设禁鸣和限速标志，车辆夜间通过时速度应小于30km/h。 </w:t>
            </w:r>
          </w:p>
          <w:p w14:paraId="39118DAD">
            <w:pPr>
              <w:adjustRightInd w:val="0"/>
              <w:snapToGrid w:val="0"/>
              <w:spacing w:line="360" w:lineRule="auto"/>
              <w:ind w:firstLine="480" w:firstLineChars="200"/>
              <w:rPr>
                <w:color w:val="auto"/>
                <w:sz w:val="24"/>
                <w:u w:val="none" w:color="auto"/>
                <w:lang w:eastAsia="zh-TW" w:bidi="ar"/>
              </w:rPr>
            </w:pPr>
            <w:r>
              <w:rPr>
                <w:color w:val="auto"/>
                <w:sz w:val="24"/>
                <w:u w:val="none" w:color="auto"/>
                <w:lang w:bidi="ar"/>
              </w:rPr>
              <w:t>施工单位要对现场施工人员进行严格管理，做到文明施工，将施工期噪声影响降到最低限度。项目施工结束后，施工噪声影响亦随之消失。</w:t>
            </w:r>
          </w:p>
          <w:p w14:paraId="4C802AB3">
            <w:pPr>
              <w:adjustRightInd w:val="0"/>
              <w:snapToGrid w:val="0"/>
              <w:spacing w:line="360" w:lineRule="auto"/>
              <w:ind w:firstLine="482" w:firstLineChars="200"/>
              <w:rPr>
                <w:b/>
                <w:color w:val="auto"/>
                <w:sz w:val="24"/>
                <w:u w:val="none" w:color="auto"/>
              </w:rPr>
            </w:pPr>
            <w:r>
              <w:rPr>
                <w:b/>
                <w:color w:val="auto"/>
                <w:sz w:val="24"/>
                <w:u w:val="none" w:color="auto"/>
                <w:lang w:bidi="ar"/>
              </w:rPr>
              <w:t>4</w:t>
            </w:r>
            <w:r>
              <w:rPr>
                <w:b/>
                <w:color w:val="auto"/>
                <w:sz w:val="24"/>
                <w:u w:val="none" w:color="auto"/>
                <w:lang w:eastAsia="zh-TW" w:bidi="ar"/>
              </w:rPr>
              <w:t>、固体废物</w:t>
            </w:r>
            <w:r>
              <w:rPr>
                <w:b/>
                <w:color w:val="auto"/>
                <w:sz w:val="24"/>
                <w:u w:val="none" w:color="auto"/>
                <w:lang w:bidi="ar"/>
              </w:rPr>
              <w:t>防治措施</w:t>
            </w:r>
          </w:p>
          <w:p w14:paraId="08743F73">
            <w:pPr>
              <w:adjustRightInd w:val="0"/>
              <w:snapToGrid w:val="0"/>
              <w:spacing w:line="360" w:lineRule="auto"/>
              <w:ind w:firstLine="480" w:firstLineChars="200"/>
              <w:rPr>
                <w:color w:val="auto"/>
                <w:kern w:val="0"/>
                <w:sz w:val="24"/>
                <w:u w:val="none" w:color="auto"/>
              </w:rPr>
            </w:pPr>
            <w:r>
              <w:rPr>
                <w:color w:val="auto"/>
                <w:sz w:val="24"/>
                <w:u w:val="none" w:color="auto"/>
                <w:lang w:eastAsia="zh-TW" w:bidi="ar"/>
              </w:rPr>
              <w:t>本项目施工期产生的固体废物主要是</w:t>
            </w:r>
            <w:r>
              <w:rPr>
                <w:color w:val="auto"/>
                <w:sz w:val="24"/>
                <w:u w:val="none" w:color="auto"/>
                <w:lang w:bidi="ar"/>
              </w:rPr>
              <w:t>建筑垃圾和</w:t>
            </w:r>
            <w:r>
              <w:rPr>
                <w:color w:val="auto"/>
                <w:sz w:val="24"/>
                <w:u w:val="none" w:color="auto"/>
                <w:lang w:eastAsia="zh-TW" w:bidi="ar"/>
              </w:rPr>
              <w:t>施工人员的生活垃圾。</w:t>
            </w:r>
            <w:r>
              <w:rPr>
                <w:color w:val="auto"/>
                <w:spacing w:val="5"/>
                <w:sz w:val="24"/>
                <w:u w:val="none" w:color="auto"/>
                <w:lang w:eastAsia="zh-TW" w:bidi="ar"/>
              </w:rPr>
              <w:t>施工期建筑垃圾应分类回收利用，对无利用价值的废弃物应集中堆放，并由施工单位清运至指定的建筑垃圾堆放场所，不能随意丢弃。</w:t>
            </w:r>
            <w:r>
              <w:rPr>
                <w:color w:val="auto"/>
                <w:kern w:val="0"/>
                <w:sz w:val="24"/>
                <w:u w:val="none" w:color="auto"/>
                <w:lang w:eastAsia="zh-TW" w:bidi="ar"/>
              </w:rPr>
              <w:t>生活垃圾应</w:t>
            </w:r>
            <w:r>
              <w:rPr>
                <w:color w:val="auto"/>
                <w:sz w:val="24"/>
                <w:u w:val="none" w:color="auto"/>
                <w:lang w:eastAsia="zh-TW" w:bidi="ar"/>
              </w:rPr>
              <w:t>增设一些分散的小型垃圾收集器（如废物收集箱），并派专人定时打扫清理，及时</w:t>
            </w:r>
            <w:r>
              <w:rPr>
                <w:color w:val="auto"/>
                <w:kern w:val="0"/>
                <w:sz w:val="24"/>
                <w:u w:val="none" w:color="auto"/>
                <w:lang w:eastAsia="zh-TW" w:bidi="ar"/>
              </w:rPr>
              <w:t>由环卫部门收集后统一处理处置。</w:t>
            </w:r>
          </w:p>
          <w:p w14:paraId="6E39E8DB">
            <w:pPr>
              <w:adjustRightInd w:val="0"/>
              <w:snapToGrid w:val="0"/>
              <w:spacing w:line="360" w:lineRule="auto"/>
              <w:ind w:firstLine="480" w:firstLineChars="200"/>
              <w:rPr>
                <w:color w:val="auto"/>
                <w:sz w:val="24"/>
                <w:u w:val="none" w:color="auto"/>
              </w:rPr>
            </w:pPr>
            <w:r>
              <w:rPr>
                <w:color w:val="auto"/>
                <w:sz w:val="24"/>
                <w:u w:val="none" w:color="auto"/>
                <w:lang w:eastAsia="zh-TW" w:bidi="ar"/>
              </w:rPr>
              <w:t>采取上述措施后，施工期固废可得到妥善处置，基本不会对环境造成影响。</w:t>
            </w:r>
          </w:p>
          <w:p w14:paraId="519A1EB2">
            <w:pPr>
              <w:adjustRightInd w:val="0"/>
              <w:snapToGrid w:val="0"/>
              <w:spacing w:line="360" w:lineRule="auto"/>
              <w:ind w:firstLine="480" w:firstLineChars="200"/>
              <w:rPr>
                <w:rFonts w:hint="default" w:ascii="Times New Roman" w:hAnsi="Times New Roman" w:cs="Times New Roman"/>
                <w:color w:val="auto"/>
                <w:sz w:val="24"/>
                <w:highlight w:val="none"/>
                <w:u w:val="none" w:color="auto"/>
              </w:rPr>
            </w:pPr>
            <w:r>
              <w:rPr>
                <w:color w:val="auto"/>
                <w:sz w:val="24"/>
                <w:u w:val="none" w:color="auto"/>
                <w:lang w:eastAsia="zh-TW" w:bidi="ar"/>
              </w:rPr>
              <w:t>总之，施工期对环境各要素的影响是暂时的、局部的，采取有效的控制措施可将影响降至最低，施工期结束后，其影响基本可消除。</w:t>
            </w:r>
          </w:p>
        </w:tc>
      </w:tr>
      <w:tr w14:paraId="6BF274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50" w:hRule="atLeast"/>
          <w:jc w:val="center"/>
        </w:trPr>
        <w:tc>
          <w:tcPr>
            <w:tcW w:w="364" w:type="pct"/>
            <w:noWrap w:val="0"/>
            <w:tcMar>
              <w:left w:w="28" w:type="dxa"/>
              <w:right w:w="28" w:type="dxa"/>
            </w:tcMar>
            <w:vAlign w:val="center"/>
          </w:tcPr>
          <w:p w14:paraId="29F11E2A">
            <w:pPr>
              <w:adjustRightInd w:val="0"/>
              <w:snapToGrid w:val="0"/>
              <w:jc w:val="center"/>
              <w:rPr>
                <w:rFonts w:hint="default" w:ascii="Times New Roman" w:hAnsi="Times New Roman" w:cs="Times New Roman"/>
                <w:bCs/>
                <w:color w:val="auto"/>
                <w:sz w:val="24"/>
                <w:highlight w:val="none"/>
                <w:u w:val="none" w:color="auto"/>
              </w:rPr>
            </w:pPr>
            <w:r>
              <w:rPr>
                <w:rFonts w:hint="default" w:ascii="Times New Roman" w:hAnsi="Times New Roman" w:cs="Times New Roman"/>
                <w:bCs/>
                <w:color w:val="auto"/>
                <w:sz w:val="24"/>
                <w:highlight w:val="none"/>
                <w:u w:val="none" w:color="auto"/>
              </w:rPr>
              <w:t>运营期环境影响和保护措施</w:t>
            </w:r>
          </w:p>
        </w:tc>
        <w:tc>
          <w:tcPr>
            <w:tcW w:w="4635" w:type="pct"/>
            <w:noWrap w:val="0"/>
            <w:vAlign w:val="top"/>
          </w:tcPr>
          <w:p w14:paraId="3AD54673">
            <w:pPr>
              <w:pStyle w:val="170"/>
              <w:keepNext w:val="0"/>
              <w:keepLines w:val="0"/>
              <w:pageBreakBefore w:val="0"/>
              <w:widowControl/>
              <w:numPr>
                <w:ilvl w:val="0"/>
                <w:numId w:val="2"/>
              </w:numPr>
              <w:kinsoku w:val="0"/>
              <w:wordWrap/>
              <w:overflowPunct/>
              <w:topLinePunct w:val="0"/>
              <w:autoSpaceDE w:val="0"/>
              <w:autoSpaceDN w:val="0"/>
              <w:bidi w:val="0"/>
              <w:adjustRightInd w:val="0"/>
              <w:snapToGrid w:val="0"/>
              <w:spacing w:line="360" w:lineRule="auto"/>
              <w:ind w:left="0" w:right="0" w:firstLine="470" w:firstLineChars="200"/>
              <w:jc w:val="both"/>
              <w:textAlignment w:val="baseline"/>
              <w:outlineLvl w:val="9"/>
              <w:rPr>
                <w:rFonts w:hint="default" w:ascii="Times New Roman" w:hAnsi="Times New Roman" w:eastAsia="宋体" w:cs="Times New Roman"/>
                <w:b/>
                <w:bCs/>
                <w:color w:val="auto"/>
                <w:spacing w:val="-3"/>
                <w:sz w:val="24"/>
                <w:szCs w:val="24"/>
                <w:u w:val="none" w:color="auto"/>
              </w:rPr>
            </w:pPr>
            <w:r>
              <w:rPr>
                <w:rFonts w:hint="default" w:ascii="Times New Roman" w:hAnsi="Times New Roman" w:eastAsia="宋体" w:cs="Times New Roman"/>
                <w:b/>
                <w:bCs/>
                <w:color w:val="auto"/>
                <w:spacing w:val="-3"/>
                <w:sz w:val="24"/>
                <w:szCs w:val="24"/>
                <w:u w:val="none" w:color="auto"/>
              </w:rPr>
              <w:t>运营期大气环境影响和保护措施</w:t>
            </w:r>
          </w:p>
          <w:p w14:paraId="1D354E3A">
            <w:pPr>
              <w:pStyle w:val="34"/>
              <w:keepNext w:val="0"/>
              <w:keepLines w:val="0"/>
              <w:pageBreakBefore w:val="0"/>
              <w:widowControl w:val="0"/>
              <w:kinsoku/>
              <w:wordWrap/>
              <w:overflowPunct/>
              <w:topLinePunct w:val="0"/>
              <w:autoSpaceDE/>
              <w:autoSpaceDN/>
              <w:bidi w:val="0"/>
              <w:adjustRightInd w:val="0"/>
              <w:snapToGrid/>
              <w:spacing w:after="0" w:line="360" w:lineRule="auto"/>
              <w:ind w:left="0" w:leftChars="0" w:firstLine="480" w:firstLineChars="200"/>
              <w:jc w:val="both"/>
              <w:textAlignment w:val="auto"/>
              <w:outlineLvl w:val="9"/>
              <w:rPr>
                <w:rFonts w:hint="default" w:ascii="Times New Roman" w:hAnsi="Times New Roman" w:eastAsia="宋体" w:cs="Times New Roman"/>
                <w:b/>
                <w:bCs/>
                <w:color w:val="auto"/>
                <w:spacing w:val="-3"/>
                <w:sz w:val="24"/>
                <w:szCs w:val="24"/>
                <w:u w:val="none" w:color="auto"/>
              </w:rPr>
            </w:pPr>
            <w:r>
              <w:rPr>
                <w:rFonts w:hint="eastAsia" w:ascii="Times New Roman" w:hAnsi="Times New Roman" w:cs="Times New Roman"/>
                <w:color w:val="auto"/>
                <w:kern w:val="0"/>
                <w:sz w:val="24"/>
                <w:szCs w:val="24"/>
                <w:u w:val="none" w:color="auto"/>
                <w:lang w:val="en-US" w:eastAsia="zh-CN"/>
              </w:rPr>
              <w:t>1</w:t>
            </w:r>
            <w:r>
              <w:rPr>
                <w:rFonts w:hint="default" w:ascii="Times New Roman" w:hAnsi="Times New Roman" w:eastAsia="宋体" w:cs="Times New Roman"/>
                <w:color w:val="auto"/>
                <w:kern w:val="0"/>
                <w:sz w:val="24"/>
                <w:szCs w:val="24"/>
                <w:u w:val="none" w:color="auto"/>
              </w:rPr>
              <w:t>.1废水污染物源强分析</w:t>
            </w:r>
          </w:p>
          <w:p w14:paraId="29569556">
            <w:pPr>
              <w:pStyle w:val="170"/>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outlineLvl w:val="9"/>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1"/>
                <w:sz w:val="24"/>
                <w:szCs w:val="24"/>
                <w:u w:val="none" w:color="auto"/>
              </w:rPr>
              <w:t>本项目运营期废气主要为实验室废气、油烟废气等。</w:t>
            </w:r>
          </w:p>
          <w:p w14:paraId="3022ADF6">
            <w:pPr>
              <w:pStyle w:val="170"/>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jc w:val="both"/>
              <w:textAlignment w:val="baseline"/>
              <w:outlineLvl w:val="9"/>
              <w:rPr>
                <w:rFonts w:hint="default" w:ascii="Times New Roman" w:hAnsi="Times New Roman" w:eastAsia="宋体" w:cs="Times New Roman"/>
                <w:b w:val="0"/>
                <w:bCs w:val="0"/>
                <w:color w:val="auto"/>
                <w:sz w:val="24"/>
                <w:szCs w:val="24"/>
                <w:u w:val="none" w:color="auto"/>
              </w:rPr>
            </w:pPr>
            <w:r>
              <w:rPr>
                <w:rFonts w:hint="eastAsia" w:ascii="Times New Roman" w:hAnsi="Times New Roman" w:cs="Times New Roman"/>
                <w:b w:val="0"/>
                <w:bCs w:val="0"/>
                <w:color w:val="auto"/>
                <w:spacing w:val="-8"/>
                <w:sz w:val="24"/>
                <w:szCs w:val="24"/>
                <w:u w:val="none" w:color="auto"/>
                <w:lang w:eastAsia="zh-CN"/>
              </w:rPr>
              <w:t>（</w:t>
            </w:r>
            <w:r>
              <w:rPr>
                <w:rFonts w:hint="eastAsia" w:ascii="Times New Roman" w:hAnsi="Times New Roman" w:cs="Times New Roman"/>
                <w:b w:val="0"/>
                <w:bCs w:val="0"/>
                <w:color w:val="auto"/>
                <w:spacing w:val="-8"/>
                <w:sz w:val="24"/>
                <w:szCs w:val="24"/>
                <w:u w:val="none" w:color="auto"/>
                <w:lang w:val="en-US" w:eastAsia="zh-CN"/>
              </w:rPr>
              <w:t>1）</w:t>
            </w:r>
            <w:r>
              <w:rPr>
                <w:rFonts w:hint="default" w:ascii="Times New Roman" w:hAnsi="Times New Roman" w:eastAsia="宋体" w:cs="Times New Roman"/>
                <w:b w:val="0"/>
                <w:bCs w:val="0"/>
                <w:color w:val="auto"/>
                <w:spacing w:val="-8"/>
                <w:sz w:val="24"/>
                <w:szCs w:val="24"/>
                <w:u w:val="none" w:color="auto"/>
              </w:rPr>
              <w:t>实验室废气</w:t>
            </w:r>
          </w:p>
          <w:p w14:paraId="7D4DF16C">
            <w:pPr>
              <w:pStyle w:val="170"/>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4" w:firstLineChars="200"/>
              <w:jc w:val="both"/>
              <w:textAlignment w:val="baseline"/>
              <w:outlineLvl w:val="9"/>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1"/>
                <w:sz w:val="24"/>
                <w:szCs w:val="24"/>
                <w:u w:val="none" w:color="auto"/>
              </w:rPr>
              <w:t>本项目设有专门的实验教室，实验室废气主要来自化学实验室，中学化学实验教学课程简单，多为演示类实验，以无机实验为主。根据实验室化学品类别及消耗量情况，本项目实验室废气主要是实验过程中产生的氯化氢、硫酸雾、硝酸雾等挥发性气体。由于本项目主要实验室化学品消耗量较小，且实验室废气产生</w:t>
            </w:r>
            <w:r>
              <w:rPr>
                <w:rFonts w:hint="default" w:ascii="Times New Roman" w:hAnsi="Times New Roman" w:eastAsia="宋体" w:cs="Times New Roman"/>
                <w:color w:val="auto"/>
                <w:spacing w:val="-1"/>
                <w:sz w:val="24"/>
                <w:szCs w:val="24"/>
                <w:u w:val="none" w:color="auto"/>
              </w:rPr>
              <w:t>量较小，因此本次评价仅进行定性分析。</w:t>
            </w:r>
          </w:p>
          <w:p w14:paraId="65FFBDEF">
            <w:pPr>
              <w:pStyle w:val="170"/>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0" w:firstLineChars="200"/>
              <w:jc w:val="both"/>
              <w:textAlignment w:val="baseline"/>
              <w:outlineLvl w:val="9"/>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5"/>
                <w:sz w:val="24"/>
                <w:szCs w:val="24"/>
                <w:u w:val="none" w:color="auto"/>
              </w:rPr>
              <w:t>根据《中小学校设计规范》（GB50099-2011）</w:t>
            </w:r>
            <w:r>
              <w:rPr>
                <w:rFonts w:hint="default" w:ascii="Times New Roman" w:hAnsi="Times New Roman" w:eastAsia="宋体" w:cs="Times New Roman"/>
                <w:color w:val="auto"/>
                <w:spacing w:val="-5"/>
                <w:sz w:val="24"/>
                <w:szCs w:val="24"/>
                <w:u w:val="none" w:color="auto"/>
                <w:lang w:eastAsia="zh-CN"/>
              </w:rPr>
              <w:t>“</w:t>
            </w:r>
            <w:r>
              <w:rPr>
                <w:rFonts w:hint="default" w:ascii="Times New Roman" w:hAnsi="Times New Roman" w:eastAsia="宋体" w:cs="Times New Roman"/>
                <w:color w:val="auto"/>
                <w:spacing w:val="-6"/>
                <w:sz w:val="24"/>
                <w:szCs w:val="24"/>
                <w:u w:val="none" w:color="auto"/>
              </w:rPr>
              <w:t>5.3.9化学实验室的外墙至少应</w:t>
            </w:r>
            <w:r>
              <w:rPr>
                <w:rFonts w:hint="default" w:ascii="Times New Roman" w:hAnsi="Times New Roman" w:eastAsia="宋体" w:cs="Times New Roman"/>
                <w:color w:val="auto"/>
                <w:spacing w:val="-4"/>
                <w:sz w:val="24"/>
                <w:szCs w:val="24"/>
                <w:u w:val="none" w:color="auto"/>
              </w:rPr>
              <w:t>设置</w:t>
            </w:r>
            <w:r>
              <w:rPr>
                <w:rFonts w:hint="default" w:ascii="Times New Roman" w:hAnsi="Times New Roman" w:eastAsia="宋体" w:cs="Times New Roman"/>
                <w:color w:val="auto"/>
                <w:spacing w:val="-41"/>
                <w:sz w:val="24"/>
                <w:szCs w:val="24"/>
                <w:u w:val="none" w:color="auto"/>
              </w:rPr>
              <w:t xml:space="preserve"> </w:t>
            </w:r>
            <w:r>
              <w:rPr>
                <w:rFonts w:hint="default" w:ascii="Times New Roman" w:hAnsi="Times New Roman" w:eastAsia="宋体" w:cs="Times New Roman"/>
                <w:color w:val="auto"/>
                <w:spacing w:val="-4"/>
                <w:sz w:val="24"/>
                <w:szCs w:val="24"/>
                <w:u w:val="none" w:color="auto"/>
              </w:rPr>
              <w:t>2个机械排风扇，排风扇下沿应在距楼地面以上</w:t>
            </w:r>
            <w:r>
              <w:rPr>
                <w:rFonts w:hint="default" w:ascii="Times New Roman" w:hAnsi="Times New Roman" w:eastAsia="宋体" w:cs="Times New Roman"/>
                <w:color w:val="auto"/>
                <w:spacing w:val="-51"/>
                <w:sz w:val="24"/>
                <w:szCs w:val="24"/>
                <w:u w:val="none" w:color="auto"/>
              </w:rPr>
              <w:t xml:space="preserve"> </w:t>
            </w:r>
            <w:r>
              <w:rPr>
                <w:rFonts w:hint="default" w:ascii="Times New Roman" w:hAnsi="Times New Roman" w:eastAsia="宋体" w:cs="Times New Roman"/>
                <w:color w:val="auto"/>
                <w:spacing w:val="-4"/>
                <w:sz w:val="24"/>
                <w:szCs w:val="24"/>
                <w:u w:val="none" w:color="auto"/>
              </w:rPr>
              <w:t>0.</w:t>
            </w:r>
            <w:r>
              <w:rPr>
                <w:rFonts w:hint="default" w:ascii="Times New Roman" w:hAnsi="Times New Roman" w:eastAsia="宋体" w:cs="Times New Roman"/>
                <w:color w:val="auto"/>
                <w:spacing w:val="-32"/>
                <w:sz w:val="24"/>
                <w:szCs w:val="24"/>
                <w:u w:val="none" w:color="auto"/>
              </w:rPr>
              <w:t xml:space="preserve"> </w:t>
            </w:r>
            <w:r>
              <w:rPr>
                <w:rFonts w:hint="default" w:ascii="Times New Roman" w:hAnsi="Times New Roman" w:eastAsia="宋体" w:cs="Times New Roman"/>
                <w:color w:val="auto"/>
                <w:spacing w:val="-4"/>
                <w:sz w:val="24"/>
                <w:szCs w:val="24"/>
                <w:u w:val="none" w:color="auto"/>
              </w:rPr>
              <w:t>10m~0.</w:t>
            </w:r>
            <w:r>
              <w:rPr>
                <w:rFonts w:hint="default" w:ascii="Times New Roman" w:hAnsi="Times New Roman" w:eastAsia="宋体" w:cs="Times New Roman"/>
                <w:color w:val="auto"/>
                <w:spacing w:val="-32"/>
                <w:sz w:val="24"/>
                <w:szCs w:val="24"/>
                <w:u w:val="none" w:color="auto"/>
              </w:rPr>
              <w:t xml:space="preserve"> </w:t>
            </w:r>
            <w:r>
              <w:rPr>
                <w:rFonts w:hint="default" w:ascii="Times New Roman" w:hAnsi="Times New Roman" w:eastAsia="宋体" w:cs="Times New Roman"/>
                <w:color w:val="auto"/>
                <w:spacing w:val="-4"/>
                <w:sz w:val="24"/>
                <w:szCs w:val="24"/>
                <w:u w:val="none" w:color="auto"/>
              </w:rPr>
              <w:t>15m高度处</w:t>
            </w:r>
            <w:r>
              <w:rPr>
                <w:rFonts w:hint="default" w:ascii="Times New Roman" w:hAnsi="Times New Roman" w:eastAsia="宋体" w:cs="Times New Roman"/>
                <w:color w:val="auto"/>
                <w:spacing w:val="-4"/>
                <w:sz w:val="24"/>
                <w:szCs w:val="24"/>
                <w:u w:val="none" w:color="auto"/>
                <w:lang w:eastAsia="zh-CN"/>
              </w:rPr>
              <w:t>”</w:t>
            </w:r>
            <w:r>
              <w:rPr>
                <w:rFonts w:hint="default" w:ascii="Times New Roman" w:hAnsi="Times New Roman" w:eastAsia="宋体" w:cs="Times New Roman"/>
                <w:color w:val="auto"/>
                <w:spacing w:val="-4"/>
                <w:sz w:val="24"/>
                <w:szCs w:val="24"/>
                <w:u w:val="none" w:color="auto"/>
              </w:rPr>
              <w:t>要求，</w:t>
            </w:r>
            <w:r>
              <w:rPr>
                <w:rFonts w:hint="default" w:ascii="Times New Roman" w:hAnsi="Times New Roman" w:eastAsia="宋体" w:cs="Times New Roman"/>
                <w:color w:val="auto"/>
                <w:spacing w:val="1"/>
                <w:sz w:val="24"/>
                <w:szCs w:val="24"/>
                <w:u w:val="none" w:color="auto"/>
              </w:rPr>
              <w:t>为减少实验废气对项目师生产生的影响，建设单位须在每个实验室按规范要求位</w:t>
            </w:r>
            <w:r>
              <w:rPr>
                <w:rFonts w:hint="default" w:ascii="Times New Roman" w:hAnsi="Times New Roman" w:eastAsia="宋体" w:cs="Times New Roman"/>
                <w:color w:val="auto"/>
                <w:spacing w:val="-1"/>
                <w:sz w:val="24"/>
                <w:szCs w:val="24"/>
                <w:u w:val="none" w:color="auto"/>
              </w:rPr>
              <w:t>置安装不少于</w:t>
            </w:r>
            <w:r>
              <w:rPr>
                <w:rFonts w:hint="default" w:ascii="Times New Roman" w:hAnsi="Times New Roman" w:eastAsia="宋体" w:cs="Times New Roman"/>
                <w:color w:val="auto"/>
                <w:spacing w:val="-47"/>
                <w:sz w:val="24"/>
                <w:szCs w:val="24"/>
                <w:u w:val="none" w:color="auto"/>
              </w:rPr>
              <w:t xml:space="preserve"> </w:t>
            </w:r>
            <w:r>
              <w:rPr>
                <w:rFonts w:hint="default" w:ascii="Times New Roman" w:hAnsi="Times New Roman" w:eastAsia="宋体" w:cs="Times New Roman"/>
                <w:color w:val="auto"/>
                <w:spacing w:val="-1"/>
                <w:sz w:val="24"/>
                <w:szCs w:val="24"/>
                <w:u w:val="none" w:color="auto"/>
              </w:rPr>
              <w:t>2个机械排风扇，加强室内通风。</w:t>
            </w:r>
          </w:p>
          <w:p w14:paraId="4F60DCC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4" w:firstLineChars="200"/>
              <w:jc w:val="both"/>
              <w:textAlignment w:val="baseline"/>
              <w:outlineLvl w:val="9"/>
              <w:rPr>
                <w:rFonts w:hint="default" w:ascii="Times New Roman" w:hAnsi="Times New Roman" w:eastAsia="宋体" w:cs="Times New Roman"/>
                <w:color w:val="auto"/>
                <w:spacing w:val="1"/>
                <w:sz w:val="24"/>
                <w:szCs w:val="24"/>
                <w:u w:val="none" w:color="auto"/>
              </w:rPr>
            </w:pPr>
            <w:r>
              <w:rPr>
                <w:rFonts w:hint="default" w:ascii="Times New Roman" w:hAnsi="Times New Roman" w:eastAsia="宋体" w:cs="Times New Roman"/>
                <w:color w:val="auto"/>
                <w:spacing w:val="1"/>
                <w:sz w:val="24"/>
                <w:szCs w:val="24"/>
                <w:u w:val="none" w:color="auto"/>
              </w:rPr>
              <w:t>实验室操作台内安装通风橱，在使用、配备挥发性的试剂时应在通风橱</w:t>
            </w:r>
            <w:r>
              <w:rPr>
                <w:rFonts w:hint="default" w:ascii="Times New Roman" w:hAnsi="Times New Roman" w:eastAsia="宋体" w:cs="Times New Roman"/>
                <w:color w:val="auto"/>
                <w:sz w:val="24"/>
                <w:szCs w:val="24"/>
                <w:u w:val="none" w:color="auto"/>
              </w:rPr>
              <w:t>内操</w:t>
            </w:r>
            <w:r>
              <w:rPr>
                <w:rFonts w:hint="default" w:ascii="Times New Roman" w:hAnsi="Times New Roman" w:eastAsia="宋体" w:cs="Times New Roman"/>
                <w:color w:val="auto"/>
                <w:spacing w:val="1"/>
                <w:sz w:val="24"/>
                <w:szCs w:val="24"/>
                <w:u w:val="none" w:color="auto"/>
              </w:rPr>
              <w:t>作，通风橱进行负压收集，通过通风管道输送到楼顶经二级活性炭吸附装置</w:t>
            </w:r>
            <w:r>
              <w:rPr>
                <w:rFonts w:hint="default" w:ascii="Times New Roman" w:hAnsi="Times New Roman" w:eastAsia="宋体" w:cs="Times New Roman"/>
                <w:color w:val="auto"/>
                <w:spacing w:val="1"/>
                <w:sz w:val="24"/>
                <w:szCs w:val="24"/>
                <w:u w:val="none" w:color="auto"/>
                <w:lang w:eastAsia="zh-CN"/>
              </w:rPr>
              <w:t>（</w:t>
            </w:r>
            <w:r>
              <w:rPr>
                <w:rFonts w:hint="default" w:ascii="Times New Roman" w:hAnsi="Times New Roman" w:eastAsia="宋体" w:cs="Times New Roman"/>
                <w:color w:val="auto"/>
                <w:spacing w:val="1"/>
                <w:sz w:val="24"/>
                <w:szCs w:val="24"/>
                <w:u w:val="none" w:color="auto"/>
                <w:lang w:val="en-US" w:eastAsia="zh-CN"/>
              </w:rPr>
              <w:t>TA001）</w:t>
            </w:r>
            <w:r>
              <w:rPr>
                <w:rFonts w:hint="default" w:ascii="Times New Roman" w:hAnsi="Times New Roman" w:eastAsia="宋体" w:cs="Times New Roman"/>
                <w:color w:val="auto"/>
                <w:spacing w:val="1"/>
                <w:sz w:val="24"/>
                <w:szCs w:val="24"/>
                <w:u w:val="none" w:color="auto"/>
              </w:rPr>
              <w:t>处理后由</w:t>
            </w:r>
            <w:r>
              <w:rPr>
                <w:rFonts w:hint="default" w:ascii="Times New Roman" w:hAnsi="Times New Roman" w:eastAsia="宋体" w:cs="Times New Roman"/>
                <w:color w:val="auto"/>
                <w:spacing w:val="1"/>
                <w:sz w:val="24"/>
                <w:szCs w:val="24"/>
                <w:u w:val="none" w:color="auto"/>
                <w:lang w:val="en-US" w:eastAsia="zh-CN"/>
              </w:rPr>
              <w:t>20m高排气筒（DA001）引至高空排放</w:t>
            </w:r>
            <w:r>
              <w:rPr>
                <w:rFonts w:hint="default" w:ascii="Times New Roman" w:hAnsi="Times New Roman" w:eastAsia="宋体" w:cs="Times New Roman"/>
                <w:color w:val="auto"/>
                <w:spacing w:val="1"/>
                <w:sz w:val="24"/>
                <w:szCs w:val="24"/>
                <w:u w:val="none" w:color="auto"/>
              </w:rPr>
              <w:t>。</w:t>
            </w:r>
          </w:p>
          <w:p w14:paraId="464469D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4" w:firstLineChars="200"/>
              <w:jc w:val="both"/>
              <w:textAlignment w:val="baseline"/>
              <w:outlineLvl w:val="9"/>
              <w:rPr>
                <w:rFonts w:hint="default" w:ascii="Times New Roman" w:hAnsi="Times New Roman" w:eastAsia="宋体" w:cs="Times New Roman"/>
                <w:color w:val="auto"/>
                <w:spacing w:val="1"/>
                <w:sz w:val="24"/>
                <w:szCs w:val="24"/>
                <w:u w:val="none" w:color="auto"/>
              </w:rPr>
            </w:pPr>
            <w:r>
              <w:rPr>
                <w:rFonts w:hint="default" w:ascii="Times New Roman" w:hAnsi="Times New Roman" w:eastAsia="宋体" w:cs="Times New Roman"/>
                <w:color w:val="auto"/>
                <w:spacing w:val="1"/>
                <w:sz w:val="24"/>
                <w:szCs w:val="24"/>
                <w:u w:val="none" w:color="auto"/>
              </w:rPr>
              <w:t>参考《有机废气活性炭吸附法工程应用及前景探讨》（徐庆娥），活性炭具有疏松多孔的结构特征，比表面积大，600~ 1600m</w:t>
            </w:r>
            <w:r>
              <w:rPr>
                <w:rFonts w:hint="default" w:ascii="Times New Roman" w:hAnsi="Times New Roman" w:eastAsia="宋体" w:cs="Times New Roman"/>
                <w:color w:val="auto"/>
                <w:spacing w:val="1"/>
                <w:sz w:val="24"/>
                <w:szCs w:val="24"/>
                <w:u w:val="none" w:color="auto"/>
                <w:vertAlign w:val="superscript"/>
              </w:rPr>
              <w:t>2</w:t>
            </w:r>
            <w:r>
              <w:rPr>
                <w:rFonts w:hint="default" w:ascii="Times New Roman" w:hAnsi="Times New Roman" w:eastAsia="宋体" w:cs="Times New Roman"/>
                <w:color w:val="auto"/>
                <w:spacing w:val="1"/>
                <w:sz w:val="24"/>
                <w:szCs w:val="24"/>
                <w:u w:val="none" w:color="auto"/>
              </w:rPr>
              <w:t>/g，具有优异的吸附能力。当活性炭与有机气体（吸附质）接触时，活性炭孔壁上的分子可利用分子间的相互作用力（范德华力）将有害气体吸附到微孔中，从而达到降低其浓度的目的，且活性炭可重生再利用。除了物理吸附之外，化学反应也经常发生在活性炭的表面，活性炭不仅含碳，而且在其表面含有少量的化学结合、功能团形式的氧和氢，例如羧基、羟基、酚类、内酯类、醌类、醚类等。这些表面上含有的氧化物或络合物可以与被吸附的物质发生化学反应，从而与被吸附物质结合聚集到活性炭的表面。活性炭吸附工艺适用于废气产生量较小，废气浓度较低的情况，本项目实验室废气的产生量较小，采用活性炭（活性炭碘值不低于 800mg/g）吸附处理可行。</w:t>
            </w:r>
          </w:p>
          <w:p w14:paraId="2F94334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4" w:firstLineChars="200"/>
              <w:jc w:val="both"/>
              <w:textAlignment w:val="baseline"/>
              <w:outlineLvl w:val="9"/>
              <w:rPr>
                <w:rFonts w:hint="default" w:ascii="Times New Roman" w:hAnsi="Times New Roman" w:eastAsia="宋体" w:cs="Times New Roman"/>
                <w:color w:val="auto"/>
                <w:spacing w:val="1"/>
                <w:sz w:val="24"/>
                <w:szCs w:val="24"/>
                <w:u w:val="none" w:color="auto"/>
              </w:rPr>
            </w:pPr>
            <w:r>
              <w:rPr>
                <w:rFonts w:hint="default" w:ascii="Times New Roman" w:hAnsi="Times New Roman" w:eastAsia="宋体" w:cs="Times New Roman"/>
                <w:color w:val="auto"/>
                <w:spacing w:val="1"/>
                <w:sz w:val="24"/>
                <w:szCs w:val="24"/>
                <w:u w:val="none" w:color="auto"/>
              </w:rPr>
              <w:t>中学实验室排放的废气量较小，成分较简单，主要为氯化氢、硫酸雾、硝酸雾等挥发性气体，且为间断性排放。本项目通过加强收集并经活性炭处理后排放，对周围的环境影响较小。</w:t>
            </w:r>
          </w:p>
          <w:p w14:paraId="5D1CA2C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48" w:firstLineChars="200"/>
              <w:jc w:val="both"/>
              <w:textAlignment w:val="baseline"/>
              <w:outlineLvl w:val="9"/>
              <w:rPr>
                <w:rFonts w:hint="default" w:ascii="Times New Roman" w:hAnsi="Times New Roman" w:eastAsia="宋体" w:cs="Times New Roman"/>
                <w:color w:val="auto"/>
                <w:spacing w:val="1"/>
                <w:sz w:val="24"/>
                <w:szCs w:val="24"/>
                <w:u w:val="none" w:color="auto"/>
              </w:rPr>
            </w:pPr>
            <w:r>
              <w:rPr>
                <w:rFonts w:hint="eastAsia" w:ascii="Times New Roman" w:hAnsi="Times New Roman" w:cs="Times New Roman"/>
                <w:b w:val="0"/>
                <w:bCs w:val="0"/>
                <w:color w:val="auto"/>
                <w:spacing w:val="-8"/>
                <w:sz w:val="24"/>
                <w:szCs w:val="24"/>
                <w:u w:val="none" w:color="auto"/>
                <w:lang w:eastAsia="zh-CN"/>
              </w:rPr>
              <w:t>（</w:t>
            </w:r>
            <w:r>
              <w:rPr>
                <w:rFonts w:hint="eastAsia" w:cs="Times New Roman"/>
                <w:b w:val="0"/>
                <w:bCs w:val="0"/>
                <w:color w:val="auto"/>
                <w:spacing w:val="-8"/>
                <w:sz w:val="24"/>
                <w:szCs w:val="24"/>
                <w:u w:val="none" w:color="auto"/>
                <w:lang w:val="en-US" w:eastAsia="zh-CN"/>
              </w:rPr>
              <w:t>2</w:t>
            </w:r>
            <w:r>
              <w:rPr>
                <w:rFonts w:hint="eastAsia" w:ascii="Times New Roman" w:hAnsi="Times New Roman" w:cs="Times New Roman"/>
                <w:b w:val="0"/>
                <w:bCs w:val="0"/>
                <w:color w:val="auto"/>
                <w:spacing w:val="-8"/>
                <w:sz w:val="24"/>
                <w:szCs w:val="24"/>
                <w:u w:val="none" w:color="auto"/>
                <w:lang w:val="en-US" w:eastAsia="zh-CN"/>
              </w:rPr>
              <w:t>）</w:t>
            </w:r>
            <w:r>
              <w:rPr>
                <w:rFonts w:hint="eastAsia" w:cs="Times New Roman"/>
                <w:color w:val="auto"/>
                <w:spacing w:val="1"/>
                <w:sz w:val="24"/>
                <w:szCs w:val="24"/>
                <w:u w:val="none" w:color="auto"/>
                <w:lang w:eastAsia="zh-CN"/>
              </w:rPr>
              <w:t>餐厅</w:t>
            </w:r>
            <w:r>
              <w:rPr>
                <w:rFonts w:hint="default" w:ascii="Times New Roman" w:hAnsi="Times New Roman" w:eastAsia="宋体" w:cs="Times New Roman"/>
                <w:color w:val="auto"/>
                <w:spacing w:val="1"/>
                <w:sz w:val="24"/>
                <w:szCs w:val="24"/>
                <w:u w:val="none" w:color="auto"/>
              </w:rPr>
              <w:t>油烟</w:t>
            </w:r>
          </w:p>
          <w:p w14:paraId="04F3DB9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4" w:firstLineChars="200"/>
              <w:jc w:val="both"/>
              <w:textAlignment w:val="baseline"/>
              <w:outlineLvl w:val="9"/>
              <w:rPr>
                <w:rFonts w:hint="default" w:ascii="Times New Roman" w:hAnsi="Times New Roman" w:eastAsia="宋体" w:cs="Times New Roman"/>
                <w:color w:val="auto"/>
                <w:spacing w:val="1"/>
                <w:sz w:val="24"/>
                <w:szCs w:val="24"/>
                <w:u w:val="none" w:color="auto"/>
              </w:rPr>
            </w:pPr>
            <w:r>
              <w:rPr>
                <w:rFonts w:hint="eastAsia" w:cs="Times New Roman"/>
                <w:color w:val="auto"/>
                <w:spacing w:val="1"/>
                <w:sz w:val="24"/>
                <w:szCs w:val="24"/>
                <w:u w:val="none" w:color="auto"/>
                <w:lang w:val="en-US" w:eastAsia="zh-CN"/>
              </w:rPr>
              <w:t>①</w:t>
            </w:r>
            <w:r>
              <w:rPr>
                <w:rFonts w:hint="default" w:ascii="Times New Roman" w:hAnsi="Times New Roman" w:eastAsia="宋体" w:cs="Times New Roman"/>
                <w:color w:val="auto"/>
                <w:spacing w:val="1"/>
                <w:sz w:val="24"/>
                <w:szCs w:val="24"/>
                <w:u w:val="none" w:color="auto"/>
              </w:rPr>
              <w:t>油烟</w:t>
            </w:r>
          </w:p>
          <w:p w14:paraId="58EC59DB">
            <w:pPr>
              <w:pStyle w:val="170"/>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4" w:firstLineChars="200"/>
              <w:jc w:val="both"/>
              <w:textAlignment w:val="baseline"/>
              <w:outlineLvl w:val="9"/>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pacing w:val="1"/>
                <w:sz w:val="24"/>
                <w:szCs w:val="24"/>
                <w:u w:val="none" w:color="auto"/>
              </w:rPr>
              <w:t>本项目拟</w:t>
            </w:r>
            <w:r>
              <w:rPr>
                <w:rFonts w:hint="eastAsia" w:ascii="Times New Roman" w:hAnsi="Times New Roman" w:eastAsia="宋体" w:cs="Times New Roman"/>
                <w:color w:val="auto"/>
                <w:spacing w:val="1"/>
                <w:sz w:val="24"/>
                <w:szCs w:val="24"/>
                <w:u w:val="none" w:color="auto"/>
                <w:lang w:val="en-US" w:eastAsia="zh-CN"/>
              </w:rPr>
              <w:t>利用现有2</w:t>
            </w:r>
            <w:r>
              <w:rPr>
                <w:rFonts w:hint="default" w:ascii="Times New Roman" w:hAnsi="Times New Roman" w:eastAsia="宋体" w:cs="Times New Roman"/>
                <w:color w:val="auto"/>
                <w:spacing w:val="1"/>
                <w:sz w:val="24"/>
                <w:szCs w:val="24"/>
                <w:u w:val="none" w:color="auto"/>
              </w:rPr>
              <w:t>座餐厅为</w:t>
            </w:r>
            <w:r>
              <w:rPr>
                <w:rFonts w:hint="eastAsia" w:ascii="Times New Roman" w:hAnsi="Times New Roman" w:eastAsia="宋体" w:cs="Times New Roman"/>
                <w:color w:val="auto"/>
                <w:spacing w:val="1"/>
                <w:sz w:val="24"/>
                <w:szCs w:val="24"/>
                <w:u w:val="none" w:color="auto"/>
                <w:lang w:val="en-US" w:eastAsia="zh-CN"/>
              </w:rPr>
              <w:t>教师</w:t>
            </w:r>
            <w:r>
              <w:rPr>
                <w:rFonts w:hint="default" w:ascii="Times New Roman" w:hAnsi="Times New Roman" w:eastAsia="宋体" w:cs="Times New Roman"/>
                <w:color w:val="auto"/>
                <w:spacing w:val="1"/>
                <w:sz w:val="24"/>
                <w:szCs w:val="24"/>
                <w:u w:val="none" w:color="auto"/>
              </w:rPr>
              <w:t>和</w:t>
            </w:r>
            <w:r>
              <w:rPr>
                <w:rFonts w:hint="eastAsia" w:ascii="Times New Roman" w:hAnsi="Times New Roman" w:eastAsia="宋体" w:cs="Times New Roman"/>
                <w:color w:val="auto"/>
                <w:spacing w:val="1"/>
                <w:sz w:val="24"/>
                <w:szCs w:val="24"/>
                <w:u w:val="none" w:color="auto"/>
                <w:lang w:val="en-US" w:eastAsia="zh-CN"/>
              </w:rPr>
              <w:t>学生</w:t>
            </w:r>
            <w:r>
              <w:rPr>
                <w:rFonts w:hint="default" w:ascii="Times New Roman" w:hAnsi="Times New Roman" w:eastAsia="宋体" w:cs="Times New Roman"/>
                <w:color w:val="auto"/>
                <w:spacing w:val="1"/>
                <w:sz w:val="24"/>
                <w:szCs w:val="24"/>
                <w:u w:val="none" w:color="auto"/>
              </w:rPr>
              <w:t>提供就餐，</w:t>
            </w:r>
            <w:r>
              <w:rPr>
                <w:rFonts w:hint="eastAsia" w:ascii="Times New Roman" w:hAnsi="Times New Roman" w:eastAsia="宋体" w:cs="Times New Roman"/>
                <w:color w:val="auto"/>
                <w:spacing w:val="1"/>
                <w:sz w:val="24"/>
                <w:szCs w:val="24"/>
                <w:u w:val="none" w:color="auto"/>
                <w:lang w:val="en-US" w:eastAsia="zh-CN"/>
              </w:rPr>
              <w:t>本项目建成后全校教职工为509人，学生为8000人</w:t>
            </w:r>
            <w:r>
              <w:rPr>
                <w:rFonts w:hint="default" w:ascii="Times New Roman" w:hAnsi="Times New Roman" w:eastAsia="宋体" w:cs="Times New Roman"/>
                <w:color w:val="auto"/>
                <w:spacing w:val="1"/>
                <w:sz w:val="24"/>
                <w:szCs w:val="24"/>
                <w:u w:val="none" w:color="auto"/>
              </w:rPr>
              <w:t>，根据《城市普通中小学校舍建设标准》（建标｛2002}102 号），高级中学学生餐厅就餐比例为70%，即本项目学生就餐人数为</w:t>
            </w:r>
            <w:r>
              <w:rPr>
                <w:rFonts w:hint="eastAsia" w:ascii="Times New Roman" w:hAnsi="Times New Roman" w:eastAsia="宋体" w:cs="Times New Roman"/>
                <w:color w:val="auto"/>
                <w:spacing w:val="1"/>
                <w:sz w:val="24"/>
                <w:szCs w:val="24"/>
                <w:u w:val="none" w:color="auto"/>
                <w:lang w:val="en-US" w:eastAsia="zh-CN"/>
              </w:rPr>
              <w:t>5600</w:t>
            </w:r>
            <w:r>
              <w:rPr>
                <w:rFonts w:hint="default" w:ascii="Times New Roman" w:hAnsi="Times New Roman" w:eastAsia="宋体" w:cs="Times New Roman"/>
                <w:color w:val="auto"/>
                <w:spacing w:val="1"/>
                <w:sz w:val="24"/>
                <w:szCs w:val="24"/>
                <w:u w:val="none" w:color="auto"/>
              </w:rPr>
              <w:t>人，高级中学教职工餐厅就餐比例为80%，教职工就餐人数</w:t>
            </w:r>
            <w:r>
              <w:rPr>
                <w:rFonts w:hint="eastAsia" w:ascii="Times New Roman" w:hAnsi="Times New Roman" w:eastAsia="宋体" w:cs="Times New Roman"/>
                <w:color w:val="auto"/>
                <w:spacing w:val="1"/>
                <w:sz w:val="24"/>
                <w:szCs w:val="24"/>
                <w:u w:val="none" w:color="auto"/>
                <w:lang w:val="en-US" w:eastAsia="zh-CN"/>
              </w:rPr>
              <w:t>407</w:t>
            </w:r>
            <w:r>
              <w:rPr>
                <w:rFonts w:hint="default" w:ascii="Times New Roman" w:hAnsi="Times New Roman" w:eastAsia="宋体" w:cs="Times New Roman"/>
                <w:color w:val="auto"/>
                <w:spacing w:val="1"/>
                <w:sz w:val="24"/>
                <w:szCs w:val="24"/>
                <w:u w:val="none" w:color="auto"/>
              </w:rPr>
              <w:t>人</w:t>
            </w:r>
            <w:r>
              <w:rPr>
                <w:rFonts w:hint="eastAsia" w:ascii="Times New Roman" w:hAnsi="Times New Roman" w:eastAsia="宋体" w:cs="Times New Roman"/>
                <w:color w:val="auto"/>
                <w:spacing w:val="1"/>
                <w:sz w:val="24"/>
                <w:szCs w:val="24"/>
                <w:u w:val="none" w:color="auto"/>
                <w:lang w:eastAsia="zh-CN"/>
              </w:rPr>
              <w:t>，</w:t>
            </w:r>
            <w:r>
              <w:rPr>
                <w:rFonts w:hint="default" w:ascii="Times New Roman" w:hAnsi="Times New Roman" w:eastAsia="宋体" w:cs="Times New Roman"/>
                <w:color w:val="auto"/>
                <w:spacing w:val="1"/>
                <w:sz w:val="24"/>
                <w:szCs w:val="24"/>
                <w:u w:val="none" w:color="auto"/>
              </w:rPr>
              <w:t>每人食用油脂类按20g/人·d计算，一般油烟挥发量占总耗油量的2~4%，本次评价挥发量以3%计，餐厅年运行200d，日工作时间约为6h，</w:t>
            </w:r>
            <w:r>
              <w:rPr>
                <w:rFonts w:hint="eastAsia" w:ascii="Times New Roman" w:hAnsi="Times New Roman" w:eastAsia="宋体" w:cs="Times New Roman"/>
                <w:color w:val="auto"/>
                <w:spacing w:val="1"/>
                <w:sz w:val="24"/>
                <w:szCs w:val="24"/>
                <w:u w:val="none" w:color="auto"/>
                <w:lang w:val="en-US" w:eastAsia="zh-CN"/>
              </w:rPr>
              <w:t>则本项目建成后全校</w:t>
            </w:r>
            <w:r>
              <w:rPr>
                <w:rFonts w:hint="default" w:ascii="Times New Roman" w:hAnsi="Times New Roman" w:eastAsia="宋体" w:cs="Times New Roman"/>
                <w:color w:val="auto"/>
                <w:spacing w:val="1"/>
                <w:sz w:val="24"/>
                <w:szCs w:val="24"/>
                <w:u w:val="none" w:color="auto"/>
              </w:rPr>
              <w:t>油烟的产生量约</w:t>
            </w:r>
            <w:r>
              <w:rPr>
                <w:rFonts w:hint="eastAsia" w:ascii="Times New Roman" w:hAnsi="Times New Roman" w:eastAsia="宋体" w:cs="Times New Roman"/>
                <w:color w:val="auto"/>
                <w:spacing w:val="1"/>
                <w:sz w:val="24"/>
                <w:szCs w:val="24"/>
                <w:u w:val="none" w:color="auto"/>
                <w:lang w:val="en-US" w:eastAsia="zh-CN"/>
              </w:rPr>
              <w:t>720.84</w:t>
            </w:r>
            <w:r>
              <w:rPr>
                <w:rFonts w:hint="default" w:ascii="Times New Roman" w:hAnsi="Times New Roman" w:eastAsia="宋体" w:cs="Times New Roman"/>
                <w:color w:val="auto"/>
                <w:spacing w:val="1"/>
                <w:sz w:val="24"/>
                <w:szCs w:val="24"/>
                <w:u w:val="none" w:color="auto"/>
              </w:rPr>
              <w:t>kg/a，产生速率为</w:t>
            </w:r>
            <w:r>
              <w:rPr>
                <w:rFonts w:hint="eastAsia" w:ascii="Times New Roman" w:hAnsi="Times New Roman" w:eastAsia="宋体" w:cs="Times New Roman"/>
                <w:color w:val="auto"/>
                <w:spacing w:val="1"/>
                <w:sz w:val="24"/>
                <w:szCs w:val="24"/>
                <w:u w:val="none" w:color="auto"/>
                <w:lang w:val="en-US" w:eastAsia="zh-CN"/>
              </w:rPr>
              <w:t>0.6</w:t>
            </w:r>
            <w:r>
              <w:rPr>
                <w:rFonts w:hint="default" w:ascii="Times New Roman" w:hAnsi="Times New Roman" w:eastAsia="宋体" w:cs="Times New Roman"/>
                <w:color w:val="auto"/>
                <w:spacing w:val="1"/>
                <w:sz w:val="24"/>
                <w:szCs w:val="24"/>
                <w:u w:val="none" w:color="auto"/>
              </w:rPr>
              <w:t>kg/h，产生浓度为</w:t>
            </w:r>
            <w:r>
              <w:rPr>
                <w:rFonts w:hint="eastAsia" w:ascii="Times New Roman" w:hAnsi="Times New Roman" w:eastAsia="宋体" w:cs="Times New Roman"/>
                <w:color w:val="auto"/>
                <w:spacing w:val="1"/>
                <w:sz w:val="24"/>
                <w:szCs w:val="24"/>
                <w:u w:val="none" w:color="auto"/>
                <w:lang w:val="en-US" w:eastAsia="zh-CN"/>
              </w:rPr>
              <w:t>16.9</w:t>
            </w:r>
            <w:r>
              <w:rPr>
                <w:rFonts w:hint="default" w:ascii="Times New Roman" w:hAnsi="Times New Roman" w:eastAsia="宋体" w:cs="Times New Roman"/>
                <w:color w:val="auto"/>
                <w:spacing w:val="1"/>
                <w:sz w:val="24"/>
                <w:szCs w:val="24"/>
                <w:u w:val="none" w:color="auto"/>
              </w:rPr>
              <w:t>mg/m</w:t>
            </w:r>
            <w:r>
              <w:rPr>
                <w:rFonts w:hint="default" w:ascii="Times New Roman" w:hAnsi="Times New Roman" w:eastAsia="宋体" w:cs="Times New Roman"/>
                <w:color w:val="auto"/>
                <w:spacing w:val="1"/>
                <w:sz w:val="24"/>
                <w:szCs w:val="24"/>
                <w:u w:val="none" w:color="auto"/>
                <w:vertAlign w:val="superscript"/>
              </w:rPr>
              <w:t>3</w:t>
            </w:r>
            <w:r>
              <w:rPr>
                <w:rFonts w:hint="default" w:ascii="Times New Roman" w:hAnsi="Times New Roman" w:eastAsia="宋体" w:cs="Times New Roman"/>
                <w:color w:val="auto"/>
                <w:spacing w:val="1"/>
                <w:sz w:val="24"/>
                <w:szCs w:val="24"/>
                <w:u w:val="none" w:color="auto"/>
              </w:rPr>
              <w:t>。</w:t>
            </w:r>
            <w:r>
              <w:rPr>
                <w:rFonts w:hint="eastAsia" w:ascii="Times New Roman" w:hAnsi="Times New Roman" w:cs="Times New Roman"/>
                <w:color w:val="auto"/>
                <w:spacing w:val="1"/>
                <w:sz w:val="24"/>
                <w:szCs w:val="24"/>
                <w:u w:val="none" w:color="auto"/>
                <w:lang w:eastAsia="zh-CN"/>
              </w:rPr>
              <w:t>餐厅</w:t>
            </w:r>
            <w:r>
              <w:rPr>
                <w:rFonts w:hint="eastAsia" w:ascii="Times New Roman" w:hAnsi="Times New Roman" w:eastAsia="宋体" w:cs="Times New Roman"/>
                <w:color w:val="auto"/>
                <w:spacing w:val="1"/>
                <w:sz w:val="24"/>
                <w:szCs w:val="24"/>
                <w:u w:val="none" w:color="auto"/>
                <w:lang w:val="en-US" w:eastAsia="zh-CN"/>
              </w:rPr>
              <w:t>油烟经现有8套</w:t>
            </w:r>
            <w:r>
              <w:rPr>
                <w:rFonts w:hint="default" w:ascii="Times New Roman" w:hAnsi="Times New Roman" w:eastAsia="宋体" w:cs="Times New Roman"/>
                <w:color w:val="auto"/>
                <w:spacing w:val="1"/>
                <w:sz w:val="24"/>
                <w:szCs w:val="24"/>
                <w:u w:val="none" w:color="auto"/>
              </w:rPr>
              <w:t>油烟净化器</w:t>
            </w:r>
            <w:r>
              <w:rPr>
                <w:rFonts w:hint="eastAsia" w:ascii="Times New Roman" w:hAnsi="Times New Roman" w:eastAsia="宋体" w:cs="Times New Roman"/>
                <w:color w:val="auto"/>
                <w:spacing w:val="1"/>
                <w:sz w:val="24"/>
                <w:szCs w:val="24"/>
                <w:u w:val="none" w:color="auto"/>
                <w:lang w:val="en-US" w:eastAsia="zh-CN"/>
              </w:rPr>
              <w:t>处理后通过1根专用烟道（DA002）排放</w:t>
            </w:r>
            <w:r>
              <w:rPr>
                <w:rFonts w:hint="default" w:ascii="Times New Roman" w:hAnsi="Times New Roman" w:eastAsia="宋体" w:cs="Times New Roman"/>
                <w:color w:val="auto"/>
                <w:spacing w:val="1"/>
                <w:sz w:val="24"/>
                <w:szCs w:val="24"/>
                <w:u w:val="none" w:color="auto"/>
              </w:rPr>
              <w:t>，油烟通过</w:t>
            </w:r>
            <w:r>
              <w:rPr>
                <w:rFonts w:hint="eastAsia" w:ascii="Times New Roman" w:hAnsi="Times New Roman" w:eastAsia="宋体" w:cs="Times New Roman"/>
                <w:color w:val="auto"/>
                <w:spacing w:val="1"/>
                <w:sz w:val="24"/>
                <w:szCs w:val="24"/>
                <w:u w:val="none" w:color="auto"/>
                <w:lang w:val="en-US" w:eastAsia="zh-CN"/>
              </w:rPr>
              <w:t>在灶头上</w:t>
            </w:r>
            <w:r>
              <w:rPr>
                <w:rFonts w:hint="default" w:ascii="Times New Roman" w:hAnsi="Times New Roman" w:eastAsia="宋体" w:cs="Times New Roman"/>
                <w:color w:val="auto"/>
                <w:spacing w:val="1"/>
                <w:sz w:val="24"/>
                <w:szCs w:val="24"/>
                <w:u w:val="none" w:color="auto"/>
              </w:rPr>
              <w:t>集气罩收集后处理，收集效率为90%，单个油烟净化器风机风量</w:t>
            </w:r>
            <w:r>
              <w:rPr>
                <w:rFonts w:hint="eastAsia" w:ascii="Times New Roman" w:hAnsi="Times New Roman" w:eastAsia="宋体" w:cs="Times New Roman"/>
                <w:color w:val="auto"/>
                <w:spacing w:val="1"/>
                <w:sz w:val="24"/>
                <w:szCs w:val="24"/>
                <w:u w:val="none" w:color="auto"/>
                <w:lang w:val="en-US" w:eastAsia="zh-CN"/>
              </w:rPr>
              <w:t>为4000</w:t>
            </w:r>
            <w:r>
              <w:rPr>
                <w:rFonts w:hint="default" w:ascii="Times New Roman" w:hAnsi="Times New Roman" w:eastAsia="宋体" w:cs="Times New Roman"/>
                <w:color w:val="auto"/>
                <w:spacing w:val="1"/>
                <w:sz w:val="24"/>
                <w:szCs w:val="24"/>
                <w:u w:val="none" w:color="auto"/>
              </w:rPr>
              <w:t>m</w:t>
            </w:r>
            <w:r>
              <w:rPr>
                <w:rFonts w:hint="default" w:ascii="Times New Roman" w:hAnsi="Times New Roman" w:eastAsia="宋体" w:cs="Times New Roman"/>
                <w:color w:val="auto"/>
                <w:spacing w:val="1"/>
                <w:sz w:val="24"/>
                <w:szCs w:val="24"/>
                <w:u w:val="none" w:color="auto"/>
                <w:vertAlign w:val="superscript"/>
              </w:rPr>
              <w:t>3</w:t>
            </w:r>
            <w:r>
              <w:rPr>
                <w:rFonts w:hint="default" w:ascii="Times New Roman" w:hAnsi="Times New Roman" w:eastAsia="宋体" w:cs="Times New Roman"/>
                <w:color w:val="auto"/>
                <w:spacing w:val="1"/>
                <w:sz w:val="24"/>
                <w:szCs w:val="24"/>
                <w:u w:val="none" w:color="auto"/>
              </w:rPr>
              <w:t>/h，</w:t>
            </w:r>
            <w:r>
              <w:rPr>
                <w:rFonts w:hint="default" w:ascii="Times New Roman" w:hAnsi="Times New Roman" w:eastAsia="宋体" w:cs="Times New Roman"/>
                <w:color w:val="auto"/>
                <w:spacing w:val="-4"/>
                <w:sz w:val="24"/>
                <w:szCs w:val="24"/>
                <w:u w:val="none" w:color="auto"/>
              </w:rPr>
              <w:t>净化效率取</w:t>
            </w:r>
            <w:r>
              <w:rPr>
                <w:rFonts w:hint="default" w:ascii="Times New Roman" w:hAnsi="Times New Roman" w:eastAsia="宋体" w:cs="Times New Roman"/>
                <w:color w:val="auto"/>
                <w:spacing w:val="-58"/>
                <w:sz w:val="24"/>
                <w:szCs w:val="24"/>
                <w:u w:val="none" w:color="auto"/>
              </w:rPr>
              <w:t xml:space="preserve"> </w:t>
            </w:r>
            <w:r>
              <w:rPr>
                <w:rFonts w:hint="default" w:ascii="Times New Roman" w:hAnsi="Times New Roman" w:eastAsia="宋体" w:cs="Times New Roman"/>
                <w:color w:val="auto"/>
                <w:spacing w:val="-4"/>
                <w:sz w:val="24"/>
                <w:szCs w:val="24"/>
                <w:u w:val="none" w:color="auto"/>
              </w:rPr>
              <w:t>95%进行计算，则</w:t>
            </w:r>
            <w:r>
              <w:rPr>
                <w:rFonts w:hint="eastAsia" w:ascii="Times New Roman" w:hAnsi="Times New Roman" w:eastAsia="宋体" w:cs="Times New Roman"/>
                <w:color w:val="auto"/>
                <w:spacing w:val="-4"/>
                <w:sz w:val="24"/>
                <w:szCs w:val="24"/>
                <w:u w:val="none" w:color="auto"/>
                <w:lang w:val="en-US" w:eastAsia="zh-CN"/>
              </w:rPr>
              <w:t>本项目</w:t>
            </w:r>
            <w:r>
              <w:rPr>
                <w:rFonts w:hint="eastAsia" w:ascii="Times New Roman" w:hAnsi="Times New Roman" w:eastAsia="宋体" w:cs="Times New Roman"/>
                <w:color w:val="auto"/>
                <w:spacing w:val="1"/>
                <w:sz w:val="24"/>
                <w:szCs w:val="24"/>
                <w:u w:val="none" w:color="auto"/>
                <w:lang w:val="en-US" w:eastAsia="zh-CN"/>
              </w:rPr>
              <w:t>建成后全校</w:t>
            </w:r>
            <w:r>
              <w:rPr>
                <w:rFonts w:hint="eastAsia" w:ascii="Times New Roman" w:hAnsi="Times New Roman" w:cs="Times New Roman"/>
                <w:color w:val="auto"/>
                <w:spacing w:val="-4"/>
                <w:sz w:val="24"/>
                <w:szCs w:val="24"/>
                <w:u w:val="none" w:color="auto"/>
                <w:lang w:eastAsia="zh-CN"/>
              </w:rPr>
              <w:t>餐厅</w:t>
            </w:r>
            <w:r>
              <w:rPr>
                <w:rFonts w:hint="default" w:ascii="Times New Roman" w:hAnsi="Times New Roman" w:eastAsia="宋体" w:cs="Times New Roman"/>
                <w:color w:val="auto"/>
                <w:spacing w:val="-4"/>
                <w:sz w:val="24"/>
                <w:szCs w:val="24"/>
                <w:u w:val="none" w:color="auto"/>
              </w:rPr>
              <w:t>油烟排放量为</w:t>
            </w:r>
            <w:r>
              <w:rPr>
                <w:rFonts w:hint="default" w:ascii="Times New Roman" w:hAnsi="Times New Roman" w:eastAsia="宋体" w:cs="Times New Roman"/>
                <w:color w:val="auto"/>
                <w:spacing w:val="-4"/>
                <w:sz w:val="24"/>
                <w:szCs w:val="24"/>
                <w:u w:val="none" w:color="auto"/>
                <w:lang w:val="en-US" w:eastAsia="zh-CN"/>
              </w:rPr>
              <w:t>32.44</w:t>
            </w:r>
            <w:r>
              <w:rPr>
                <w:rFonts w:hint="default" w:ascii="Times New Roman" w:hAnsi="Times New Roman" w:eastAsia="宋体" w:cs="Times New Roman"/>
                <w:color w:val="auto"/>
                <w:spacing w:val="-4"/>
                <w:sz w:val="24"/>
                <w:szCs w:val="24"/>
                <w:u w:val="none" w:color="auto"/>
              </w:rPr>
              <w:t>kg/a，排放速率为</w:t>
            </w:r>
            <w:r>
              <w:rPr>
                <w:rFonts w:hint="default" w:ascii="Times New Roman" w:hAnsi="Times New Roman" w:eastAsia="宋体" w:cs="Times New Roman"/>
                <w:color w:val="auto"/>
                <w:spacing w:val="-4"/>
                <w:sz w:val="24"/>
                <w:szCs w:val="24"/>
                <w:u w:val="none" w:color="auto"/>
                <w:lang w:val="en-US" w:eastAsia="zh-CN"/>
              </w:rPr>
              <w:t>0.027</w:t>
            </w:r>
            <w:r>
              <w:rPr>
                <w:rFonts w:hint="default" w:ascii="Times New Roman" w:hAnsi="Times New Roman" w:eastAsia="宋体" w:cs="Times New Roman"/>
                <w:color w:val="auto"/>
                <w:spacing w:val="-4"/>
                <w:sz w:val="24"/>
                <w:szCs w:val="24"/>
                <w:u w:val="none" w:color="auto"/>
              </w:rPr>
              <w:t>kg/h，</w:t>
            </w:r>
            <w:r>
              <w:rPr>
                <w:rFonts w:hint="default" w:ascii="Times New Roman" w:hAnsi="Times New Roman" w:eastAsia="宋体" w:cs="Times New Roman"/>
                <w:color w:val="auto"/>
                <w:spacing w:val="2"/>
                <w:sz w:val="24"/>
                <w:szCs w:val="24"/>
                <w:u w:val="none" w:color="auto"/>
              </w:rPr>
              <w:t>排放浓度</w:t>
            </w:r>
            <w:r>
              <w:rPr>
                <w:rFonts w:hint="eastAsia" w:ascii="Times New Roman" w:hAnsi="Times New Roman" w:eastAsia="宋体" w:cs="Times New Roman"/>
                <w:color w:val="auto"/>
                <w:spacing w:val="2"/>
                <w:sz w:val="24"/>
                <w:szCs w:val="24"/>
                <w:u w:val="none" w:color="auto"/>
                <w:lang w:val="en-US" w:eastAsia="zh-CN"/>
              </w:rPr>
              <w:t>0.85</w:t>
            </w:r>
            <w:r>
              <w:rPr>
                <w:rFonts w:hint="default" w:ascii="Times New Roman" w:hAnsi="Times New Roman" w:eastAsia="宋体" w:cs="Times New Roman"/>
                <w:color w:val="auto"/>
                <w:sz w:val="24"/>
                <w:szCs w:val="24"/>
                <w:u w:val="none" w:color="auto"/>
              </w:rPr>
              <w:t>mg</w:t>
            </w:r>
            <w:r>
              <w:rPr>
                <w:rFonts w:hint="default" w:ascii="Times New Roman" w:hAnsi="Times New Roman" w:eastAsia="宋体" w:cs="Times New Roman"/>
                <w:color w:val="auto"/>
                <w:spacing w:val="2"/>
                <w:sz w:val="24"/>
                <w:szCs w:val="24"/>
                <w:u w:val="none" w:color="auto"/>
              </w:rPr>
              <w:t>/m</w:t>
            </w:r>
            <w:r>
              <w:rPr>
                <w:rFonts w:hint="eastAsia" w:ascii="Times New Roman" w:hAnsi="Times New Roman" w:eastAsia="宋体" w:cs="Times New Roman"/>
                <w:color w:val="auto"/>
                <w:spacing w:val="2"/>
                <w:sz w:val="24"/>
                <w:szCs w:val="24"/>
                <w:u w:val="none" w:color="auto"/>
                <w:vertAlign w:val="superscript"/>
                <w:lang w:val="en-US" w:eastAsia="zh-CN"/>
              </w:rPr>
              <w:t>3</w:t>
            </w:r>
            <w:r>
              <w:rPr>
                <w:rFonts w:hint="eastAsia" w:ascii="Times New Roman" w:hAnsi="Times New Roman" w:eastAsia="宋体" w:cs="Times New Roman"/>
                <w:color w:val="auto"/>
                <w:spacing w:val="2"/>
                <w:sz w:val="24"/>
                <w:szCs w:val="24"/>
                <w:u w:val="none" w:color="auto"/>
                <w:lang w:eastAsia="zh-CN"/>
              </w:rPr>
              <w:t>，</w:t>
            </w:r>
            <w:r>
              <w:rPr>
                <w:rFonts w:hint="eastAsia" w:ascii="Times New Roman" w:hAnsi="Times New Roman" w:eastAsia="宋体" w:cs="Times New Roman"/>
                <w:color w:val="auto"/>
                <w:spacing w:val="2"/>
                <w:sz w:val="24"/>
                <w:szCs w:val="24"/>
                <w:u w:val="none" w:color="auto"/>
                <w:lang w:val="en-US" w:eastAsia="zh-CN"/>
              </w:rPr>
              <w:t>未收集的油烟量72.08kg/a（0.06kg/h），在校区以无组织的形式排放。</w:t>
            </w:r>
          </w:p>
          <w:p w14:paraId="257EFC0B">
            <w:pPr>
              <w:pStyle w:val="170"/>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both"/>
              <w:textAlignment w:val="baseline"/>
              <w:outlineLvl w:val="9"/>
              <w:rPr>
                <w:rFonts w:hint="default" w:ascii="Times New Roman" w:hAnsi="Times New Roman" w:eastAsia="宋体" w:cs="Times New Roman"/>
                <w:color w:val="auto"/>
                <w:sz w:val="24"/>
                <w:szCs w:val="24"/>
                <w:u w:val="none" w:color="auto"/>
              </w:rPr>
            </w:pPr>
            <w:r>
              <w:rPr>
                <w:rFonts w:hint="eastAsia" w:ascii="Times New Roman" w:hAnsi="Times New Roman" w:cs="Times New Roman"/>
                <w:color w:val="auto"/>
                <w:spacing w:val="-3"/>
                <w:sz w:val="24"/>
                <w:szCs w:val="24"/>
                <w:u w:val="none" w:color="auto"/>
                <w:lang w:val="en-US" w:eastAsia="zh-CN"/>
              </w:rPr>
              <w:t>②</w:t>
            </w:r>
            <w:r>
              <w:rPr>
                <w:rFonts w:hint="default" w:ascii="Times New Roman" w:hAnsi="Times New Roman" w:eastAsia="宋体" w:cs="Times New Roman"/>
                <w:color w:val="auto"/>
                <w:spacing w:val="-3"/>
                <w:sz w:val="24"/>
                <w:szCs w:val="24"/>
                <w:u w:val="none" w:color="auto"/>
              </w:rPr>
              <w:t>非甲烷总烃</w:t>
            </w:r>
          </w:p>
          <w:p w14:paraId="755611AF">
            <w:pPr>
              <w:pStyle w:val="170"/>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512" w:firstLineChars="200"/>
              <w:jc w:val="both"/>
              <w:textAlignment w:val="baseline"/>
              <w:outlineLvl w:val="9"/>
              <w:rPr>
                <w:rFonts w:hint="default" w:ascii="Times New Roman" w:hAnsi="Times New Roman" w:eastAsia="宋体" w:cs="Times New Roman"/>
                <w:color w:val="auto"/>
                <w:sz w:val="24"/>
                <w:szCs w:val="24"/>
                <w:u w:val="none" w:color="auto"/>
                <w:lang w:val="en-US" w:eastAsia="zh-CN"/>
              </w:rPr>
            </w:pPr>
            <w:r>
              <w:rPr>
                <w:rFonts w:hint="eastAsia" w:ascii="Times New Roman" w:hAnsi="Times New Roman" w:cs="Times New Roman"/>
                <w:color w:val="auto"/>
                <w:spacing w:val="8"/>
                <w:sz w:val="24"/>
                <w:szCs w:val="24"/>
                <w:u w:val="none" w:color="auto"/>
                <w:lang w:eastAsia="zh-CN"/>
              </w:rPr>
              <w:t>餐厅</w:t>
            </w:r>
            <w:r>
              <w:rPr>
                <w:rFonts w:hint="default" w:ascii="Times New Roman" w:hAnsi="Times New Roman" w:eastAsia="宋体" w:cs="Times New Roman"/>
                <w:color w:val="auto"/>
                <w:spacing w:val="8"/>
                <w:sz w:val="24"/>
                <w:szCs w:val="24"/>
                <w:u w:val="none" w:color="auto"/>
              </w:rPr>
              <w:t>在工作过程中由于油受热会挥发出有机废气，油烟有机废气以非甲烷</w:t>
            </w:r>
            <w:r>
              <w:rPr>
                <w:rFonts w:hint="default" w:ascii="Times New Roman" w:hAnsi="Times New Roman" w:eastAsia="宋体" w:cs="Times New Roman"/>
                <w:color w:val="auto"/>
                <w:spacing w:val="2"/>
                <w:sz w:val="24"/>
                <w:szCs w:val="24"/>
                <w:u w:val="none" w:color="auto"/>
              </w:rPr>
              <w:t>总烃计，根据《河南省餐饮业油烟污染物排放标准）编制说明》（征求意见稿</w:t>
            </w:r>
            <w:r>
              <w:rPr>
                <w:rFonts w:hint="eastAsia" w:ascii="Times New Roman" w:hAnsi="Times New Roman" w:eastAsia="宋体" w:cs="Times New Roman"/>
                <w:color w:val="auto"/>
                <w:spacing w:val="2"/>
                <w:sz w:val="24"/>
                <w:szCs w:val="24"/>
                <w:u w:val="none" w:color="auto"/>
                <w:lang w:eastAsia="zh-CN"/>
              </w:rPr>
              <w:t>），</w:t>
            </w:r>
            <w:r>
              <w:rPr>
                <w:rFonts w:hint="eastAsia" w:ascii="Times New Roman" w:hAnsi="Times New Roman" w:eastAsia="宋体" w:cs="Times New Roman"/>
                <w:color w:val="auto"/>
                <w:spacing w:val="1"/>
                <w:sz w:val="24"/>
                <w:szCs w:val="24"/>
                <w:u w:val="none" w:color="auto"/>
                <w:lang w:eastAsia="zh-CN"/>
              </w:rPr>
              <w:t>“</w:t>
            </w:r>
            <w:r>
              <w:rPr>
                <w:rFonts w:hint="default" w:ascii="Times New Roman" w:hAnsi="Times New Roman" w:eastAsia="宋体" w:cs="Times New Roman"/>
                <w:color w:val="auto"/>
                <w:spacing w:val="1"/>
                <w:sz w:val="24"/>
                <w:szCs w:val="24"/>
                <w:u w:val="none" w:color="auto"/>
              </w:rPr>
              <w:t>大</w:t>
            </w:r>
            <w:r>
              <w:rPr>
                <w:rFonts w:hint="default" w:ascii="Times New Roman" w:hAnsi="Times New Roman" w:eastAsia="宋体" w:cs="Times New Roman"/>
                <w:color w:val="auto"/>
                <w:spacing w:val="-67"/>
                <w:sz w:val="24"/>
                <w:szCs w:val="24"/>
                <w:u w:val="none" w:color="auto"/>
              </w:rPr>
              <w:t xml:space="preserve"> </w:t>
            </w:r>
            <w:r>
              <w:rPr>
                <w:rFonts w:hint="default" w:ascii="Times New Roman" w:hAnsi="Times New Roman" w:eastAsia="宋体" w:cs="Times New Roman"/>
                <w:color w:val="auto"/>
                <w:spacing w:val="1"/>
                <w:sz w:val="24"/>
                <w:szCs w:val="24"/>
                <w:u w:val="none" w:color="auto"/>
              </w:rPr>
              <w:t>型</w:t>
            </w:r>
            <w:r>
              <w:rPr>
                <w:rFonts w:hint="default" w:ascii="Times New Roman" w:hAnsi="Times New Roman" w:eastAsia="宋体" w:cs="Times New Roman"/>
                <w:color w:val="auto"/>
                <w:spacing w:val="-71"/>
                <w:sz w:val="24"/>
                <w:szCs w:val="24"/>
                <w:u w:val="none" w:color="auto"/>
              </w:rPr>
              <w:t xml:space="preserve"> </w:t>
            </w:r>
            <w:r>
              <w:rPr>
                <w:rFonts w:hint="default" w:ascii="Times New Roman" w:hAnsi="Times New Roman" w:eastAsia="宋体" w:cs="Times New Roman"/>
                <w:color w:val="auto"/>
                <w:spacing w:val="1"/>
                <w:sz w:val="24"/>
                <w:szCs w:val="24"/>
                <w:u w:val="none" w:color="auto"/>
              </w:rPr>
              <w:t>餐饮服</w:t>
            </w:r>
            <w:r>
              <w:rPr>
                <w:rFonts w:hint="default" w:ascii="Times New Roman" w:hAnsi="Times New Roman" w:eastAsia="宋体" w:cs="Times New Roman"/>
                <w:color w:val="auto"/>
                <w:spacing w:val="-70"/>
                <w:sz w:val="24"/>
                <w:szCs w:val="24"/>
                <w:u w:val="none" w:color="auto"/>
              </w:rPr>
              <w:t xml:space="preserve"> </w:t>
            </w:r>
            <w:r>
              <w:rPr>
                <w:rFonts w:hint="default" w:ascii="Times New Roman" w:hAnsi="Times New Roman" w:eastAsia="宋体" w:cs="Times New Roman"/>
                <w:color w:val="auto"/>
                <w:spacing w:val="1"/>
                <w:sz w:val="24"/>
                <w:szCs w:val="24"/>
                <w:u w:val="none" w:color="auto"/>
              </w:rPr>
              <w:t>务单位</w:t>
            </w:r>
            <w:r>
              <w:rPr>
                <w:rFonts w:hint="default" w:ascii="Times New Roman" w:hAnsi="Times New Roman" w:eastAsia="宋体" w:cs="Times New Roman"/>
                <w:color w:val="auto"/>
                <w:spacing w:val="-71"/>
                <w:sz w:val="24"/>
                <w:szCs w:val="24"/>
                <w:u w:val="none" w:color="auto"/>
              </w:rPr>
              <w:t xml:space="preserve"> </w:t>
            </w:r>
            <w:r>
              <w:rPr>
                <w:rFonts w:hint="default" w:ascii="Times New Roman" w:hAnsi="Times New Roman" w:eastAsia="宋体" w:cs="Times New Roman"/>
                <w:color w:val="auto"/>
                <w:spacing w:val="1"/>
                <w:sz w:val="24"/>
                <w:szCs w:val="24"/>
                <w:u w:val="none" w:color="auto"/>
              </w:rPr>
              <w:t>非</w:t>
            </w:r>
            <w:r>
              <w:rPr>
                <w:rFonts w:hint="default" w:ascii="Times New Roman" w:hAnsi="Times New Roman" w:eastAsia="宋体" w:cs="Times New Roman"/>
                <w:color w:val="auto"/>
                <w:spacing w:val="-41"/>
                <w:sz w:val="24"/>
                <w:szCs w:val="24"/>
                <w:u w:val="none" w:color="auto"/>
              </w:rPr>
              <w:t xml:space="preserve"> </w:t>
            </w:r>
            <w:r>
              <w:rPr>
                <w:rFonts w:hint="default" w:ascii="Times New Roman" w:hAnsi="Times New Roman" w:eastAsia="宋体" w:cs="Times New Roman"/>
                <w:color w:val="auto"/>
                <w:spacing w:val="1"/>
                <w:sz w:val="24"/>
                <w:szCs w:val="24"/>
                <w:u w:val="none" w:color="auto"/>
              </w:rPr>
              <w:t>甲烷</w:t>
            </w:r>
            <w:r>
              <w:rPr>
                <w:rFonts w:hint="default" w:ascii="Times New Roman" w:hAnsi="Times New Roman" w:eastAsia="宋体" w:cs="Times New Roman"/>
                <w:color w:val="auto"/>
                <w:spacing w:val="-68"/>
                <w:sz w:val="24"/>
                <w:szCs w:val="24"/>
                <w:u w:val="none" w:color="auto"/>
              </w:rPr>
              <w:t xml:space="preserve"> </w:t>
            </w:r>
            <w:r>
              <w:rPr>
                <w:rFonts w:hint="default" w:ascii="Times New Roman" w:hAnsi="Times New Roman" w:eastAsia="宋体" w:cs="Times New Roman"/>
                <w:color w:val="auto"/>
                <w:spacing w:val="1"/>
                <w:sz w:val="24"/>
                <w:szCs w:val="24"/>
                <w:u w:val="none" w:color="auto"/>
              </w:rPr>
              <w:t>总</w:t>
            </w:r>
            <w:r>
              <w:rPr>
                <w:rFonts w:hint="default" w:ascii="Times New Roman" w:hAnsi="Times New Roman" w:eastAsia="宋体" w:cs="Times New Roman"/>
                <w:color w:val="auto"/>
                <w:spacing w:val="-71"/>
                <w:sz w:val="24"/>
                <w:szCs w:val="24"/>
                <w:u w:val="none" w:color="auto"/>
              </w:rPr>
              <w:t xml:space="preserve"> </w:t>
            </w:r>
            <w:r>
              <w:rPr>
                <w:rFonts w:hint="default" w:ascii="Times New Roman" w:hAnsi="Times New Roman" w:eastAsia="宋体" w:cs="Times New Roman"/>
                <w:color w:val="auto"/>
                <w:spacing w:val="1"/>
                <w:sz w:val="24"/>
                <w:szCs w:val="24"/>
                <w:u w:val="none" w:color="auto"/>
              </w:rPr>
              <w:t>烃浓度</w:t>
            </w:r>
            <w:r>
              <w:rPr>
                <w:rFonts w:hint="default" w:ascii="Times New Roman" w:hAnsi="Times New Roman" w:eastAsia="宋体" w:cs="Times New Roman"/>
                <w:color w:val="auto"/>
                <w:spacing w:val="-67"/>
                <w:sz w:val="24"/>
                <w:szCs w:val="24"/>
                <w:u w:val="none" w:color="auto"/>
              </w:rPr>
              <w:t xml:space="preserve"> </w:t>
            </w:r>
            <w:r>
              <w:rPr>
                <w:rFonts w:hint="default" w:ascii="Times New Roman" w:hAnsi="Times New Roman" w:eastAsia="宋体" w:cs="Times New Roman"/>
                <w:color w:val="auto"/>
                <w:spacing w:val="1"/>
                <w:sz w:val="24"/>
                <w:szCs w:val="24"/>
                <w:u w:val="none" w:color="auto"/>
              </w:rPr>
              <w:t>范</w:t>
            </w:r>
            <w:r>
              <w:rPr>
                <w:rFonts w:hint="default" w:ascii="Times New Roman" w:hAnsi="Times New Roman" w:eastAsia="宋体" w:cs="Times New Roman"/>
                <w:color w:val="auto"/>
                <w:spacing w:val="-53"/>
                <w:sz w:val="24"/>
                <w:szCs w:val="24"/>
                <w:u w:val="none" w:color="auto"/>
              </w:rPr>
              <w:t xml:space="preserve"> </w:t>
            </w:r>
            <w:r>
              <w:rPr>
                <w:rFonts w:hint="default" w:ascii="Times New Roman" w:hAnsi="Times New Roman" w:eastAsia="宋体" w:cs="Times New Roman"/>
                <w:color w:val="auto"/>
                <w:spacing w:val="1"/>
                <w:sz w:val="24"/>
                <w:szCs w:val="24"/>
                <w:u w:val="none" w:color="auto"/>
              </w:rPr>
              <w:t>围</w:t>
            </w:r>
            <w:r>
              <w:rPr>
                <w:rFonts w:hint="default" w:ascii="Times New Roman" w:hAnsi="Times New Roman" w:eastAsia="宋体" w:cs="Times New Roman"/>
                <w:color w:val="auto"/>
                <w:spacing w:val="-72"/>
                <w:sz w:val="24"/>
                <w:szCs w:val="24"/>
                <w:u w:val="none" w:color="auto"/>
              </w:rPr>
              <w:t xml:space="preserve"> </w:t>
            </w:r>
            <w:r>
              <w:rPr>
                <w:rFonts w:hint="default" w:ascii="Times New Roman" w:hAnsi="Times New Roman" w:eastAsia="宋体" w:cs="Times New Roman"/>
                <w:color w:val="auto"/>
                <w:spacing w:val="1"/>
                <w:sz w:val="24"/>
                <w:szCs w:val="24"/>
                <w:u w:val="none" w:color="auto"/>
              </w:rPr>
              <w:t>为8.75~</w:t>
            </w:r>
            <w:r>
              <w:rPr>
                <w:rFonts w:hint="default" w:ascii="Times New Roman" w:hAnsi="Times New Roman" w:eastAsia="宋体" w:cs="Times New Roman"/>
                <w:color w:val="auto"/>
                <w:spacing w:val="-30"/>
                <w:sz w:val="24"/>
                <w:szCs w:val="24"/>
                <w:u w:val="none" w:color="auto"/>
              </w:rPr>
              <w:t xml:space="preserve"> </w:t>
            </w:r>
            <w:r>
              <w:rPr>
                <w:rFonts w:hint="default" w:ascii="Times New Roman" w:hAnsi="Times New Roman" w:eastAsia="宋体" w:cs="Times New Roman"/>
                <w:color w:val="auto"/>
                <w:spacing w:val="1"/>
                <w:sz w:val="24"/>
                <w:szCs w:val="24"/>
                <w:u w:val="none" w:color="auto"/>
              </w:rPr>
              <w:t>1</w:t>
            </w:r>
            <w:r>
              <w:rPr>
                <w:rFonts w:hint="default" w:ascii="Times New Roman" w:hAnsi="Times New Roman" w:eastAsia="宋体" w:cs="Times New Roman"/>
                <w:color w:val="auto"/>
                <w:sz w:val="24"/>
                <w:szCs w:val="24"/>
                <w:u w:val="none" w:color="auto"/>
              </w:rPr>
              <w:t>5.75mg/m</w:t>
            </w:r>
            <w:r>
              <w:rPr>
                <w:rFonts w:hint="default" w:ascii="Times New Roman" w:hAnsi="Times New Roman" w:eastAsia="宋体" w:cs="Times New Roman"/>
                <w:color w:val="auto"/>
                <w:sz w:val="24"/>
                <w:szCs w:val="24"/>
                <w:u w:val="none" w:color="auto"/>
                <w:vertAlign w:val="superscript"/>
                <w:lang w:val="en-US" w:eastAsia="zh-CN"/>
              </w:rPr>
              <w:t>3</w:t>
            </w:r>
            <w:r>
              <w:rPr>
                <w:rFonts w:hint="default" w:ascii="Times New Roman" w:hAnsi="Times New Roman" w:eastAsia="宋体" w:cs="Times New Roman"/>
                <w:color w:val="auto"/>
                <w:sz w:val="24"/>
                <w:szCs w:val="24"/>
                <w:u w:val="none" w:color="auto"/>
              </w:rPr>
              <w:t>，本</w:t>
            </w:r>
            <w:r>
              <w:rPr>
                <w:rFonts w:hint="default" w:ascii="Times New Roman" w:hAnsi="Times New Roman" w:eastAsia="宋体" w:cs="Times New Roman"/>
                <w:color w:val="auto"/>
                <w:spacing w:val="-68"/>
                <w:sz w:val="24"/>
                <w:szCs w:val="24"/>
                <w:u w:val="none" w:color="auto"/>
              </w:rPr>
              <w:t xml:space="preserve"> </w:t>
            </w:r>
            <w:r>
              <w:rPr>
                <w:rFonts w:hint="default" w:ascii="Times New Roman" w:hAnsi="Times New Roman" w:eastAsia="宋体" w:cs="Times New Roman"/>
                <w:color w:val="auto"/>
                <w:sz w:val="24"/>
                <w:szCs w:val="24"/>
                <w:u w:val="none" w:color="auto"/>
              </w:rPr>
              <w:t>项</w:t>
            </w:r>
            <w:r>
              <w:rPr>
                <w:rFonts w:hint="default" w:ascii="Times New Roman" w:hAnsi="Times New Roman" w:eastAsia="宋体" w:cs="Times New Roman"/>
                <w:color w:val="auto"/>
                <w:spacing w:val="-29"/>
                <w:sz w:val="24"/>
                <w:szCs w:val="24"/>
                <w:u w:val="none" w:color="auto"/>
              </w:rPr>
              <w:t xml:space="preserve"> </w:t>
            </w:r>
            <w:r>
              <w:rPr>
                <w:rFonts w:hint="default" w:ascii="Times New Roman" w:hAnsi="Times New Roman" w:eastAsia="宋体" w:cs="Times New Roman"/>
                <w:color w:val="auto"/>
                <w:sz w:val="24"/>
                <w:szCs w:val="24"/>
                <w:u w:val="none" w:color="auto"/>
              </w:rPr>
              <w:t>目</w:t>
            </w:r>
            <w:r>
              <w:rPr>
                <w:rFonts w:hint="default" w:ascii="Times New Roman" w:hAnsi="Times New Roman" w:eastAsia="宋体" w:cs="Times New Roman"/>
                <w:color w:val="auto"/>
                <w:spacing w:val="-69"/>
                <w:sz w:val="24"/>
                <w:szCs w:val="24"/>
                <w:u w:val="none" w:color="auto"/>
              </w:rPr>
              <w:t xml:space="preserve"> </w:t>
            </w:r>
            <w:r>
              <w:rPr>
                <w:rFonts w:hint="default" w:ascii="Times New Roman" w:hAnsi="Times New Roman" w:eastAsia="宋体" w:cs="Times New Roman"/>
                <w:color w:val="auto"/>
                <w:sz w:val="24"/>
                <w:szCs w:val="24"/>
                <w:u w:val="none" w:color="auto"/>
              </w:rPr>
              <w:t>取</w:t>
            </w:r>
            <w:r>
              <w:rPr>
                <w:rFonts w:hint="default" w:ascii="Times New Roman" w:hAnsi="Times New Roman" w:eastAsia="宋体" w:cs="Times New Roman"/>
                <w:color w:val="auto"/>
                <w:spacing w:val="2"/>
                <w:sz w:val="24"/>
                <w:szCs w:val="24"/>
                <w:u w:val="none" w:color="auto"/>
              </w:rPr>
              <w:t>13.0</w:t>
            </w:r>
            <w:r>
              <w:rPr>
                <w:rFonts w:hint="default" w:ascii="Times New Roman" w:hAnsi="Times New Roman" w:eastAsia="宋体" w:cs="Times New Roman"/>
                <w:color w:val="auto"/>
                <w:sz w:val="24"/>
                <w:szCs w:val="24"/>
                <w:u w:val="none" w:color="auto"/>
              </w:rPr>
              <w:t>mg</w:t>
            </w:r>
            <w:r>
              <w:rPr>
                <w:rFonts w:hint="default" w:ascii="Times New Roman" w:hAnsi="Times New Roman" w:eastAsia="宋体" w:cs="Times New Roman"/>
                <w:color w:val="auto"/>
                <w:spacing w:val="2"/>
                <w:sz w:val="24"/>
                <w:szCs w:val="24"/>
                <w:u w:val="none" w:color="auto"/>
              </w:rPr>
              <w:t>/m</w:t>
            </w:r>
            <w:r>
              <w:rPr>
                <w:rFonts w:hint="eastAsia" w:ascii="Times New Roman" w:hAnsi="Times New Roman" w:eastAsia="宋体" w:cs="Times New Roman"/>
                <w:color w:val="auto"/>
                <w:spacing w:val="2"/>
                <w:sz w:val="24"/>
                <w:szCs w:val="24"/>
                <w:u w:val="none" w:color="auto"/>
                <w:vertAlign w:val="superscript"/>
                <w:lang w:val="en-US" w:eastAsia="zh-CN"/>
              </w:rPr>
              <w:t>3</w:t>
            </w:r>
            <w:r>
              <w:rPr>
                <w:rFonts w:hint="default" w:ascii="Times New Roman" w:hAnsi="Times New Roman" w:eastAsia="宋体" w:cs="Times New Roman"/>
                <w:color w:val="auto"/>
                <w:spacing w:val="2"/>
                <w:sz w:val="24"/>
                <w:szCs w:val="24"/>
                <w:u w:val="none" w:color="auto"/>
              </w:rPr>
              <w:t>，则本项目非甲烷总烃产生量为</w:t>
            </w:r>
            <w:r>
              <w:rPr>
                <w:rFonts w:hint="default" w:ascii="Times New Roman" w:hAnsi="Times New Roman" w:eastAsia="宋体" w:cs="Times New Roman"/>
                <w:color w:val="auto"/>
                <w:spacing w:val="-44"/>
                <w:sz w:val="24"/>
                <w:szCs w:val="24"/>
                <w:u w:val="none" w:color="auto"/>
              </w:rPr>
              <w:t xml:space="preserve"> </w:t>
            </w:r>
            <w:r>
              <w:rPr>
                <w:rFonts w:hint="eastAsia" w:ascii="Times New Roman" w:hAnsi="Times New Roman" w:eastAsia="宋体" w:cs="Times New Roman"/>
                <w:color w:val="auto"/>
                <w:spacing w:val="2"/>
                <w:sz w:val="24"/>
                <w:szCs w:val="24"/>
                <w:u w:val="none" w:color="auto"/>
                <w:lang w:val="en-US" w:eastAsia="zh-CN"/>
              </w:rPr>
              <w:t>0.42</w:t>
            </w:r>
            <w:r>
              <w:rPr>
                <w:rFonts w:hint="default" w:ascii="Times New Roman" w:hAnsi="Times New Roman" w:eastAsia="宋体" w:cs="Times New Roman"/>
                <w:color w:val="auto"/>
                <w:sz w:val="24"/>
                <w:szCs w:val="24"/>
                <w:u w:val="none" w:color="auto"/>
              </w:rPr>
              <w:t>kg</w:t>
            </w:r>
            <w:r>
              <w:rPr>
                <w:rFonts w:hint="default" w:ascii="Times New Roman" w:hAnsi="Times New Roman" w:eastAsia="宋体" w:cs="Times New Roman"/>
                <w:color w:val="auto"/>
                <w:spacing w:val="2"/>
                <w:sz w:val="24"/>
                <w:szCs w:val="24"/>
                <w:u w:val="none" w:color="auto"/>
              </w:rPr>
              <w:t>/h，</w:t>
            </w:r>
            <w:r>
              <w:rPr>
                <w:rFonts w:hint="eastAsia" w:ascii="Times New Roman" w:hAnsi="Times New Roman" w:eastAsia="宋体" w:cs="Times New Roman"/>
                <w:color w:val="auto"/>
                <w:spacing w:val="2"/>
                <w:sz w:val="24"/>
                <w:szCs w:val="24"/>
                <w:u w:val="none" w:color="auto"/>
                <w:lang w:val="en-US" w:eastAsia="zh-CN"/>
              </w:rPr>
              <w:t>0.504</w:t>
            </w:r>
            <w:r>
              <w:rPr>
                <w:rFonts w:hint="default" w:ascii="Times New Roman" w:hAnsi="Times New Roman" w:eastAsia="宋体" w:cs="Times New Roman"/>
                <w:color w:val="auto"/>
                <w:spacing w:val="2"/>
                <w:sz w:val="24"/>
                <w:szCs w:val="24"/>
                <w:u w:val="none" w:color="auto"/>
              </w:rPr>
              <w:t>t/a，</w:t>
            </w:r>
            <w:r>
              <w:rPr>
                <w:rFonts w:hint="eastAsia" w:ascii="Times New Roman" w:hAnsi="Times New Roman" w:eastAsia="宋体" w:cs="Times New Roman"/>
                <w:color w:val="auto"/>
                <w:spacing w:val="1"/>
                <w:sz w:val="24"/>
                <w:szCs w:val="24"/>
                <w:u w:val="none" w:color="auto"/>
                <w:lang w:val="en-US" w:eastAsia="zh-CN"/>
              </w:rPr>
              <w:t>经现有8套</w:t>
            </w:r>
            <w:r>
              <w:rPr>
                <w:rFonts w:hint="default" w:ascii="Times New Roman" w:hAnsi="Times New Roman" w:eastAsia="宋体" w:cs="Times New Roman"/>
                <w:color w:val="auto"/>
                <w:spacing w:val="1"/>
                <w:sz w:val="24"/>
                <w:szCs w:val="24"/>
                <w:u w:val="none" w:color="auto"/>
              </w:rPr>
              <w:t>油烟净化器</w:t>
            </w:r>
            <w:r>
              <w:rPr>
                <w:rFonts w:hint="eastAsia" w:ascii="Times New Roman" w:hAnsi="Times New Roman" w:eastAsia="宋体" w:cs="Times New Roman"/>
                <w:color w:val="auto"/>
                <w:spacing w:val="1"/>
                <w:sz w:val="24"/>
                <w:szCs w:val="24"/>
                <w:u w:val="none" w:color="auto"/>
                <w:lang w:val="en-US" w:eastAsia="zh-CN"/>
              </w:rPr>
              <w:t>处理后通过1根专用烟道（DA002）排放</w:t>
            </w:r>
            <w:r>
              <w:rPr>
                <w:rFonts w:hint="eastAsia" w:ascii="Times New Roman" w:hAnsi="Times New Roman" w:eastAsia="宋体" w:cs="Times New Roman"/>
                <w:color w:val="auto"/>
                <w:spacing w:val="6"/>
                <w:sz w:val="24"/>
                <w:szCs w:val="24"/>
                <w:u w:val="none" w:color="auto"/>
                <w:lang w:eastAsia="zh-CN"/>
              </w:rPr>
              <w:t>，</w:t>
            </w:r>
            <w:r>
              <w:rPr>
                <w:rFonts w:hint="default" w:ascii="Times New Roman" w:hAnsi="Times New Roman" w:eastAsia="宋体" w:cs="Times New Roman"/>
                <w:color w:val="auto"/>
                <w:sz w:val="24"/>
                <w:szCs w:val="24"/>
                <w:u w:val="none" w:color="auto"/>
              </w:rPr>
              <w:t>油烟通过</w:t>
            </w:r>
            <w:r>
              <w:rPr>
                <w:rFonts w:hint="eastAsia" w:ascii="Times New Roman" w:hAnsi="Times New Roman" w:eastAsia="宋体" w:cs="Times New Roman"/>
                <w:color w:val="auto"/>
                <w:spacing w:val="1"/>
                <w:sz w:val="24"/>
                <w:szCs w:val="24"/>
                <w:u w:val="none" w:color="auto"/>
                <w:lang w:val="en-US" w:eastAsia="zh-CN"/>
              </w:rPr>
              <w:t>在灶头上</w:t>
            </w:r>
            <w:r>
              <w:rPr>
                <w:rFonts w:hint="default" w:ascii="Times New Roman" w:hAnsi="Times New Roman" w:eastAsia="宋体" w:cs="Times New Roman"/>
                <w:color w:val="auto"/>
                <w:sz w:val="24"/>
                <w:szCs w:val="24"/>
                <w:u w:val="none" w:color="auto"/>
              </w:rPr>
              <w:t>集气罩收集后处理，收集效率为</w:t>
            </w:r>
            <w:r>
              <w:rPr>
                <w:rFonts w:hint="default" w:ascii="Times New Roman" w:hAnsi="Times New Roman" w:eastAsia="宋体" w:cs="Times New Roman"/>
                <w:color w:val="auto"/>
                <w:spacing w:val="-38"/>
                <w:sz w:val="24"/>
                <w:szCs w:val="24"/>
                <w:u w:val="none" w:color="auto"/>
              </w:rPr>
              <w:t xml:space="preserve"> </w:t>
            </w:r>
            <w:r>
              <w:rPr>
                <w:rFonts w:hint="default" w:ascii="Times New Roman" w:hAnsi="Times New Roman" w:eastAsia="宋体" w:cs="Times New Roman"/>
                <w:color w:val="auto"/>
                <w:sz w:val="24"/>
                <w:szCs w:val="24"/>
                <w:u w:val="none" w:color="auto"/>
              </w:rPr>
              <w:t>90%，</w:t>
            </w:r>
            <w:r>
              <w:rPr>
                <w:rFonts w:hint="default" w:ascii="Times New Roman" w:hAnsi="Times New Roman" w:eastAsia="宋体" w:cs="Times New Roman"/>
                <w:color w:val="auto"/>
                <w:spacing w:val="1"/>
                <w:sz w:val="24"/>
                <w:szCs w:val="24"/>
                <w:u w:val="none" w:color="auto"/>
              </w:rPr>
              <w:t>单个油烟净化器风机风量</w:t>
            </w:r>
            <w:r>
              <w:rPr>
                <w:rFonts w:hint="eastAsia" w:ascii="Times New Roman" w:hAnsi="Times New Roman" w:eastAsia="宋体" w:cs="Times New Roman"/>
                <w:color w:val="auto"/>
                <w:spacing w:val="1"/>
                <w:sz w:val="24"/>
                <w:szCs w:val="24"/>
                <w:u w:val="none" w:color="auto"/>
                <w:lang w:val="en-US" w:eastAsia="zh-CN"/>
              </w:rPr>
              <w:t>为4000</w:t>
            </w:r>
            <w:r>
              <w:rPr>
                <w:rFonts w:hint="default" w:ascii="Times New Roman" w:hAnsi="Times New Roman" w:eastAsia="宋体" w:cs="Times New Roman"/>
                <w:color w:val="auto"/>
                <w:spacing w:val="1"/>
                <w:sz w:val="24"/>
                <w:szCs w:val="24"/>
                <w:u w:val="none" w:color="auto"/>
              </w:rPr>
              <w:t>m</w:t>
            </w:r>
            <w:r>
              <w:rPr>
                <w:rFonts w:hint="default" w:ascii="Times New Roman" w:hAnsi="Times New Roman" w:eastAsia="宋体" w:cs="Times New Roman"/>
                <w:color w:val="auto"/>
                <w:spacing w:val="1"/>
                <w:sz w:val="24"/>
                <w:szCs w:val="24"/>
                <w:u w:val="none" w:color="auto"/>
                <w:vertAlign w:val="superscript"/>
              </w:rPr>
              <w:t>3</w:t>
            </w:r>
            <w:r>
              <w:rPr>
                <w:rFonts w:hint="default" w:ascii="Times New Roman" w:hAnsi="Times New Roman" w:eastAsia="宋体" w:cs="Times New Roman"/>
                <w:color w:val="auto"/>
                <w:spacing w:val="1"/>
                <w:sz w:val="24"/>
                <w:szCs w:val="24"/>
                <w:u w:val="none" w:color="auto"/>
              </w:rPr>
              <w:t>/h</w:t>
            </w:r>
            <w:r>
              <w:rPr>
                <w:rFonts w:hint="default" w:ascii="Times New Roman" w:hAnsi="Times New Roman" w:eastAsia="宋体" w:cs="Times New Roman"/>
                <w:color w:val="auto"/>
                <w:spacing w:val="5"/>
                <w:sz w:val="24"/>
                <w:szCs w:val="24"/>
                <w:u w:val="none" w:color="auto"/>
              </w:rPr>
              <w:t>，净化效率取</w:t>
            </w:r>
            <w:r>
              <w:rPr>
                <w:rFonts w:hint="default" w:ascii="Times New Roman" w:hAnsi="Times New Roman" w:eastAsia="宋体" w:cs="Times New Roman"/>
                <w:color w:val="auto"/>
                <w:spacing w:val="-42"/>
                <w:sz w:val="24"/>
                <w:szCs w:val="24"/>
                <w:u w:val="none" w:color="auto"/>
              </w:rPr>
              <w:t xml:space="preserve"> </w:t>
            </w:r>
            <w:r>
              <w:rPr>
                <w:rFonts w:hint="default" w:ascii="Times New Roman" w:hAnsi="Times New Roman" w:eastAsia="宋体" w:cs="Times New Roman"/>
                <w:color w:val="auto"/>
                <w:spacing w:val="4"/>
                <w:sz w:val="24"/>
                <w:szCs w:val="24"/>
                <w:u w:val="none" w:color="auto"/>
              </w:rPr>
              <w:t>60%进行计算，则</w:t>
            </w:r>
            <w:r>
              <w:rPr>
                <w:rFonts w:hint="eastAsia" w:ascii="Times New Roman" w:hAnsi="Times New Roman" w:cs="Times New Roman"/>
                <w:color w:val="auto"/>
                <w:spacing w:val="4"/>
                <w:sz w:val="24"/>
                <w:szCs w:val="24"/>
                <w:u w:val="none" w:color="auto"/>
                <w:lang w:eastAsia="zh-CN"/>
              </w:rPr>
              <w:t>餐厅</w:t>
            </w:r>
            <w:r>
              <w:rPr>
                <w:rFonts w:hint="default" w:ascii="Times New Roman" w:hAnsi="Times New Roman" w:eastAsia="宋体" w:cs="Times New Roman"/>
                <w:color w:val="auto"/>
                <w:spacing w:val="4"/>
                <w:sz w:val="24"/>
                <w:szCs w:val="24"/>
                <w:u w:val="none" w:color="auto"/>
              </w:rPr>
              <w:t>油烟</w:t>
            </w:r>
            <w:r>
              <w:rPr>
                <w:rFonts w:hint="default" w:ascii="Times New Roman" w:hAnsi="Times New Roman" w:eastAsia="宋体" w:cs="Times New Roman"/>
                <w:color w:val="auto"/>
                <w:spacing w:val="1"/>
                <w:sz w:val="24"/>
                <w:szCs w:val="24"/>
                <w:u w:val="none" w:color="auto"/>
              </w:rPr>
              <w:t>排放量为</w:t>
            </w:r>
            <w:r>
              <w:rPr>
                <w:rFonts w:hint="default" w:ascii="Times New Roman" w:hAnsi="Times New Roman" w:eastAsia="宋体" w:cs="Times New Roman"/>
                <w:color w:val="auto"/>
                <w:spacing w:val="-41"/>
                <w:sz w:val="24"/>
                <w:szCs w:val="24"/>
                <w:u w:val="none" w:color="auto"/>
              </w:rPr>
              <w:t xml:space="preserve"> </w:t>
            </w:r>
            <w:r>
              <w:rPr>
                <w:rFonts w:hint="eastAsia" w:ascii="Times New Roman" w:hAnsi="Times New Roman" w:eastAsia="宋体" w:cs="Times New Roman"/>
                <w:color w:val="auto"/>
                <w:spacing w:val="1"/>
                <w:sz w:val="24"/>
                <w:szCs w:val="24"/>
                <w:u w:val="none" w:color="auto"/>
                <w:lang w:val="en-US" w:eastAsia="zh-CN"/>
              </w:rPr>
              <w:t>0.18</w:t>
            </w:r>
            <w:r>
              <w:rPr>
                <w:rFonts w:hint="default" w:ascii="Times New Roman" w:hAnsi="Times New Roman" w:eastAsia="宋体" w:cs="Times New Roman"/>
                <w:color w:val="auto"/>
                <w:spacing w:val="1"/>
                <w:sz w:val="24"/>
                <w:szCs w:val="24"/>
                <w:u w:val="none" w:color="auto"/>
              </w:rPr>
              <w:t>t/a，排放速率为</w:t>
            </w:r>
            <w:r>
              <w:rPr>
                <w:rFonts w:hint="default" w:ascii="Times New Roman" w:hAnsi="Times New Roman" w:eastAsia="宋体" w:cs="Times New Roman"/>
                <w:color w:val="auto"/>
                <w:spacing w:val="-44"/>
                <w:sz w:val="24"/>
                <w:szCs w:val="24"/>
                <w:u w:val="none" w:color="auto"/>
              </w:rPr>
              <w:t xml:space="preserve"> </w:t>
            </w:r>
            <w:r>
              <w:rPr>
                <w:rFonts w:hint="eastAsia" w:ascii="Times New Roman" w:hAnsi="Times New Roman" w:eastAsia="宋体" w:cs="Times New Roman"/>
                <w:color w:val="auto"/>
                <w:spacing w:val="1"/>
                <w:sz w:val="24"/>
                <w:szCs w:val="24"/>
                <w:u w:val="none" w:color="auto"/>
                <w:lang w:val="en-US" w:eastAsia="zh-CN"/>
              </w:rPr>
              <w:t>0.15</w:t>
            </w:r>
            <w:r>
              <w:rPr>
                <w:rFonts w:hint="default" w:ascii="Times New Roman" w:hAnsi="Times New Roman" w:eastAsia="宋体" w:cs="Times New Roman"/>
                <w:color w:val="auto"/>
                <w:sz w:val="24"/>
                <w:szCs w:val="24"/>
                <w:u w:val="none" w:color="auto"/>
              </w:rPr>
              <w:t>kg</w:t>
            </w:r>
            <w:r>
              <w:rPr>
                <w:rFonts w:hint="default" w:ascii="Times New Roman" w:hAnsi="Times New Roman" w:eastAsia="宋体" w:cs="Times New Roman"/>
                <w:color w:val="auto"/>
                <w:spacing w:val="1"/>
                <w:sz w:val="24"/>
                <w:szCs w:val="24"/>
                <w:u w:val="none" w:color="auto"/>
              </w:rPr>
              <w:t>/h，排放浓度</w:t>
            </w:r>
            <w:r>
              <w:rPr>
                <w:rFonts w:hint="default" w:ascii="Times New Roman" w:hAnsi="Times New Roman" w:eastAsia="宋体" w:cs="Times New Roman"/>
                <w:color w:val="auto"/>
                <w:spacing w:val="-49"/>
                <w:sz w:val="24"/>
                <w:szCs w:val="24"/>
                <w:u w:val="none" w:color="auto"/>
              </w:rPr>
              <w:t xml:space="preserve"> </w:t>
            </w:r>
            <w:r>
              <w:rPr>
                <w:rFonts w:hint="eastAsia" w:ascii="Times New Roman" w:hAnsi="Times New Roman" w:eastAsia="宋体" w:cs="Times New Roman"/>
                <w:color w:val="auto"/>
                <w:spacing w:val="1"/>
                <w:sz w:val="24"/>
                <w:szCs w:val="24"/>
                <w:u w:val="none" w:color="auto"/>
                <w:lang w:val="en-US" w:eastAsia="zh-CN"/>
              </w:rPr>
              <w:t>4.73</w:t>
            </w:r>
            <w:r>
              <w:rPr>
                <w:rFonts w:hint="default" w:ascii="Times New Roman" w:hAnsi="Times New Roman" w:eastAsia="宋体" w:cs="Times New Roman"/>
                <w:color w:val="auto"/>
                <w:sz w:val="24"/>
                <w:szCs w:val="24"/>
                <w:u w:val="none" w:color="auto"/>
              </w:rPr>
              <w:t>mg</w:t>
            </w:r>
            <w:r>
              <w:rPr>
                <w:rFonts w:hint="default" w:ascii="Times New Roman" w:hAnsi="Times New Roman" w:eastAsia="宋体" w:cs="Times New Roman"/>
                <w:color w:val="auto"/>
                <w:spacing w:val="1"/>
                <w:sz w:val="24"/>
                <w:szCs w:val="24"/>
                <w:u w:val="none" w:color="auto"/>
              </w:rPr>
              <w:t>/</w:t>
            </w:r>
            <w:r>
              <w:rPr>
                <w:rFonts w:hint="default" w:ascii="Times New Roman" w:hAnsi="Times New Roman" w:eastAsia="宋体" w:cs="Times New Roman"/>
                <w:color w:val="auto"/>
                <w:sz w:val="24"/>
                <w:szCs w:val="24"/>
                <w:u w:val="none" w:color="auto"/>
              </w:rPr>
              <w:t>m</w:t>
            </w:r>
            <w:r>
              <w:rPr>
                <w:rFonts w:hint="eastAsia" w:ascii="Times New Roman" w:hAnsi="Times New Roman" w:eastAsia="宋体" w:cs="Times New Roman"/>
                <w:color w:val="auto"/>
                <w:sz w:val="24"/>
                <w:szCs w:val="24"/>
                <w:u w:val="none" w:color="auto"/>
                <w:vertAlign w:val="superscript"/>
                <w:lang w:val="en-US" w:eastAsia="zh-CN"/>
              </w:rPr>
              <w:t>3</w:t>
            </w:r>
            <w:r>
              <w:rPr>
                <w:rFonts w:hint="eastAsia" w:ascii="Times New Roman" w:hAnsi="Times New Roman" w:eastAsia="宋体" w:cs="Times New Roman"/>
                <w:color w:val="auto"/>
                <w:spacing w:val="2"/>
                <w:sz w:val="24"/>
                <w:szCs w:val="24"/>
                <w:u w:val="none" w:color="auto"/>
                <w:lang w:eastAsia="zh-CN"/>
              </w:rPr>
              <w:t>，</w:t>
            </w:r>
            <w:r>
              <w:rPr>
                <w:rFonts w:hint="eastAsia" w:ascii="Times New Roman" w:hAnsi="Times New Roman" w:eastAsia="宋体" w:cs="Times New Roman"/>
                <w:color w:val="auto"/>
                <w:spacing w:val="2"/>
                <w:sz w:val="24"/>
                <w:szCs w:val="24"/>
                <w:u w:val="none" w:color="auto"/>
                <w:lang w:val="en-US" w:eastAsia="zh-CN"/>
              </w:rPr>
              <w:t>未收集的油烟量0.05t/a（0.042kg/h），在校区以无组织的形式排放。</w:t>
            </w:r>
          </w:p>
          <w:p w14:paraId="3EB62056">
            <w:pPr>
              <w:pStyle w:val="170"/>
              <w:keepNext w:val="0"/>
              <w:keepLines w:val="0"/>
              <w:pageBreakBefore w:val="0"/>
              <w:wordWrap/>
              <w:overflowPunct/>
              <w:topLinePunct w:val="0"/>
              <w:bidi w:val="0"/>
              <w:spacing w:line="360" w:lineRule="auto"/>
              <w:ind w:firstLine="488" w:firstLineChars="200"/>
              <w:outlineLvl w:val="9"/>
              <w:rPr>
                <w:rFonts w:hint="default" w:ascii="Times New Roman" w:hAnsi="Times New Roman" w:eastAsia="宋体" w:cs="Times New Roman"/>
                <w:color w:val="auto"/>
                <w:spacing w:val="8"/>
                <w:sz w:val="24"/>
                <w:szCs w:val="24"/>
                <w:u w:val="none" w:color="auto"/>
              </w:rPr>
            </w:pPr>
            <w:r>
              <w:rPr>
                <w:rFonts w:hint="default" w:ascii="Times New Roman" w:hAnsi="Times New Roman" w:eastAsia="宋体" w:cs="Times New Roman"/>
                <w:color w:val="auto"/>
                <w:spacing w:val="2"/>
                <w:sz w:val="24"/>
                <w:szCs w:val="24"/>
                <w:u w:val="none" w:color="auto"/>
              </w:rPr>
              <w:t>本项目</w:t>
            </w:r>
            <w:r>
              <w:rPr>
                <w:rFonts w:hint="eastAsia" w:ascii="Times New Roman" w:hAnsi="Times New Roman" w:cs="Times New Roman"/>
                <w:color w:val="auto"/>
                <w:spacing w:val="2"/>
                <w:sz w:val="24"/>
                <w:szCs w:val="24"/>
                <w:u w:val="none" w:color="auto"/>
                <w:lang w:eastAsia="zh-CN"/>
              </w:rPr>
              <w:t>餐厅</w:t>
            </w:r>
            <w:r>
              <w:rPr>
                <w:rFonts w:hint="default" w:ascii="Times New Roman" w:hAnsi="Times New Roman" w:eastAsia="宋体" w:cs="Times New Roman"/>
                <w:color w:val="auto"/>
                <w:spacing w:val="2"/>
                <w:sz w:val="24"/>
                <w:szCs w:val="24"/>
                <w:u w:val="none" w:color="auto"/>
              </w:rPr>
              <w:t>油烟及非甲烷总烃排放浓度满足《餐饮业油烟污染物排放标准》</w:t>
            </w:r>
            <w:r>
              <w:rPr>
                <w:rFonts w:hint="default" w:ascii="Times New Roman" w:hAnsi="Times New Roman" w:eastAsia="宋体" w:cs="Times New Roman"/>
                <w:color w:val="auto"/>
                <w:spacing w:val="-2"/>
                <w:sz w:val="24"/>
                <w:szCs w:val="24"/>
                <w:u w:val="none" w:color="auto"/>
              </w:rPr>
              <w:t>（DB41/1604</w:t>
            </w:r>
            <w:r>
              <w:rPr>
                <w:rFonts w:hint="eastAsia" w:ascii="Times New Roman" w:hAnsi="Times New Roman" w:eastAsia="宋体" w:cs="Times New Roman"/>
                <w:color w:val="auto"/>
                <w:spacing w:val="-2"/>
                <w:sz w:val="24"/>
                <w:szCs w:val="24"/>
                <w:u w:val="none" w:color="auto"/>
                <w:lang w:val="en-US" w:eastAsia="zh-CN"/>
              </w:rPr>
              <w:t>-</w:t>
            </w:r>
            <w:r>
              <w:rPr>
                <w:rFonts w:hint="default" w:ascii="Times New Roman" w:hAnsi="Times New Roman" w:eastAsia="宋体" w:cs="Times New Roman"/>
                <w:color w:val="auto"/>
                <w:spacing w:val="-2"/>
                <w:sz w:val="24"/>
                <w:szCs w:val="24"/>
                <w:u w:val="none" w:color="auto"/>
              </w:rPr>
              <w:t>2018）中大型饮食业单位油烟最高允许排放浓度（1.0mg/m</w:t>
            </w:r>
            <w:r>
              <w:rPr>
                <w:rFonts w:hint="eastAsia" w:ascii="Times New Roman" w:hAnsi="Times New Roman" w:eastAsia="宋体" w:cs="Times New Roman"/>
                <w:color w:val="auto"/>
                <w:spacing w:val="-2"/>
                <w:sz w:val="24"/>
                <w:szCs w:val="24"/>
                <w:u w:val="none" w:color="auto"/>
                <w:vertAlign w:val="superscript"/>
                <w:lang w:val="en-US" w:eastAsia="zh-CN"/>
              </w:rPr>
              <w:t>3</w:t>
            </w:r>
            <w:r>
              <w:rPr>
                <w:rFonts w:hint="default" w:ascii="Times New Roman" w:hAnsi="Times New Roman" w:eastAsia="宋体" w:cs="Times New Roman"/>
                <w:color w:val="auto"/>
                <w:spacing w:val="-3"/>
                <w:sz w:val="24"/>
                <w:szCs w:val="24"/>
                <w:u w:val="none" w:color="auto"/>
              </w:rPr>
              <w:t>）和非</w:t>
            </w:r>
            <w:r>
              <w:rPr>
                <w:rFonts w:hint="default" w:ascii="Times New Roman" w:hAnsi="Times New Roman" w:eastAsia="宋体" w:cs="Times New Roman"/>
                <w:color w:val="auto"/>
                <w:spacing w:val="-2"/>
                <w:sz w:val="24"/>
                <w:szCs w:val="24"/>
                <w:u w:val="none" w:color="auto"/>
              </w:rPr>
              <w:t>甲烷总烃最高允许排放浓度（10.0mg/m</w:t>
            </w:r>
            <w:r>
              <w:rPr>
                <w:rFonts w:hint="eastAsia" w:ascii="Times New Roman" w:hAnsi="Times New Roman" w:eastAsia="宋体" w:cs="Times New Roman"/>
                <w:color w:val="auto"/>
                <w:spacing w:val="-2"/>
                <w:sz w:val="24"/>
                <w:szCs w:val="24"/>
                <w:u w:val="none" w:color="auto"/>
                <w:vertAlign w:val="superscript"/>
                <w:lang w:val="en-US" w:eastAsia="zh-CN"/>
              </w:rPr>
              <w:t>3</w:t>
            </w:r>
            <w:r>
              <w:rPr>
                <w:rFonts w:hint="default" w:ascii="Times New Roman" w:hAnsi="Times New Roman" w:eastAsia="宋体" w:cs="Times New Roman"/>
                <w:color w:val="auto"/>
                <w:spacing w:val="-2"/>
                <w:sz w:val="24"/>
                <w:szCs w:val="24"/>
                <w:u w:val="none" w:color="auto"/>
              </w:rPr>
              <w:t>）的要求，符合大型饮食</w:t>
            </w:r>
            <w:r>
              <w:rPr>
                <w:rFonts w:hint="default" w:ascii="Times New Roman" w:hAnsi="Times New Roman" w:eastAsia="宋体" w:cs="Times New Roman"/>
                <w:color w:val="auto"/>
                <w:spacing w:val="-3"/>
                <w:sz w:val="24"/>
                <w:szCs w:val="24"/>
                <w:u w:val="none" w:color="auto"/>
              </w:rPr>
              <w:t>业单位净化设施</w:t>
            </w:r>
            <w:r>
              <w:rPr>
                <w:rFonts w:hint="default" w:ascii="Times New Roman" w:hAnsi="Times New Roman" w:eastAsia="宋体" w:cs="Times New Roman"/>
                <w:color w:val="auto"/>
                <w:spacing w:val="4"/>
                <w:sz w:val="24"/>
                <w:szCs w:val="24"/>
                <w:u w:val="none" w:color="auto"/>
              </w:rPr>
              <w:t>去除效率≥95%的要求。处理后的油烟废气经</w:t>
            </w:r>
            <w:r>
              <w:rPr>
                <w:rFonts w:hint="eastAsia" w:ascii="Times New Roman" w:hAnsi="Times New Roman" w:eastAsia="宋体" w:cs="Times New Roman"/>
                <w:color w:val="auto"/>
                <w:spacing w:val="1"/>
                <w:sz w:val="24"/>
                <w:szCs w:val="24"/>
                <w:u w:val="none" w:color="auto"/>
                <w:lang w:val="en-US" w:eastAsia="zh-CN"/>
              </w:rPr>
              <w:t>1根专用烟道（DA002）排放</w:t>
            </w:r>
            <w:r>
              <w:rPr>
                <w:rFonts w:hint="default" w:ascii="Times New Roman" w:hAnsi="Times New Roman" w:eastAsia="宋体" w:cs="Times New Roman"/>
                <w:color w:val="auto"/>
                <w:spacing w:val="4"/>
                <w:sz w:val="24"/>
                <w:szCs w:val="24"/>
                <w:u w:val="none" w:color="auto"/>
              </w:rPr>
              <w:t>，于餐厅楼顶排</w:t>
            </w:r>
            <w:r>
              <w:rPr>
                <w:rFonts w:hint="default" w:ascii="Times New Roman" w:hAnsi="Times New Roman" w:eastAsia="宋体" w:cs="Times New Roman"/>
                <w:color w:val="auto"/>
                <w:spacing w:val="8"/>
                <w:sz w:val="24"/>
                <w:szCs w:val="24"/>
                <w:u w:val="none" w:color="auto"/>
              </w:rPr>
              <w:t>放。</w:t>
            </w:r>
          </w:p>
          <w:p w14:paraId="78504357">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48" w:firstLineChars="200"/>
              <w:jc w:val="both"/>
              <w:textAlignment w:val="baseline"/>
              <w:outlineLvl w:val="9"/>
              <w:rPr>
                <w:rFonts w:hint="default" w:ascii="Times New Roman" w:hAnsi="Times New Roman" w:eastAsia="宋体" w:cs="Times New Roman"/>
                <w:b w:val="0"/>
                <w:bCs w:val="0"/>
                <w:color w:val="auto"/>
                <w:sz w:val="24"/>
                <w:szCs w:val="24"/>
                <w:highlight w:val="none"/>
                <w:u w:val="none" w:color="auto"/>
              </w:rPr>
            </w:pPr>
            <w:r>
              <w:rPr>
                <w:rFonts w:hint="eastAsia" w:ascii="Times New Roman" w:hAnsi="Times New Roman" w:cs="Times New Roman"/>
                <w:b w:val="0"/>
                <w:bCs w:val="0"/>
                <w:color w:val="auto"/>
                <w:spacing w:val="-8"/>
                <w:sz w:val="24"/>
                <w:szCs w:val="24"/>
                <w:u w:val="none" w:color="auto"/>
                <w:lang w:eastAsia="zh-CN"/>
              </w:rPr>
              <w:t>（</w:t>
            </w:r>
            <w:r>
              <w:rPr>
                <w:rFonts w:hint="eastAsia" w:cs="Times New Roman"/>
                <w:b w:val="0"/>
                <w:bCs w:val="0"/>
                <w:color w:val="auto"/>
                <w:spacing w:val="-8"/>
                <w:sz w:val="24"/>
                <w:szCs w:val="24"/>
                <w:u w:val="none" w:color="auto"/>
                <w:lang w:val="en-US" w:eastAsia="zh-CN"/>
              </w:rPr>
              <w:t>3</w:t>
            </w:r>
            <w:r>
              <w:rPr>
                <w:rFonts w:hint="eastAsia" w:ascii="Times New Roman" w:hAnsi="Times New Roman" w:cs="Times New Roman"/>
                <w:b w:val="0"/>
                <w:bCs w:val="0"/>
                <w:color w:val="auto"/>
                <w:spacing w:val="-8"/>
                <w:sz w:val="24"/>
                <w:szCs w:val="24"/>
                <w:u w:val="none" w:color="auto"/>
                <w:lang w:val="en-US" w:eastAsia="zh-CN"/>
              </w:rPr>
              <w:t>）</w:t>
            </w:r>
            <w:r>
              <w:rPr>
                <w:rFonts w:hint="default" w:ascii="Times New Roman" w:hAnsi="Times New Roman" w:eastAsia="宋体" w:cs="Times New Roman"/>
                <w:b w:val="0"/>
                <w:bCs w:val="0"/>
                <w:color w:val="auto"/>
                <w:kern w:val="0"/>
                <w:sz w:val="24"/>
                <w:szCs w:val="24"/>
                <w:highlight w:val="none"/>
                <w:u w:val="none" w:color="auto"/>
                <w:lang w:val="en-US" w:eastAsia="zh-CN" w:bidi="ar"/>
              </w:rPr>
              <w:t xml:space="preserve">备用柴油发电机烟气 </w:t>
            </w:r>
          </w:p>
          <w:p w14:paraId="4F03AF76">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both"/>
              <w:textAlignment w:val="baseline"/>
              <w:outlineLvl w:val="9"/>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lang w:val="en-US" w:eastAsia="zh-CN" w:bidi="ar"/>
              </w:rPr>
              <w:t>区域电网供电中断时，</w:t>
            </w:r>
            <w:r>
              <w:rPr>
                <w:rFonts w:hint="eastAsia" w:ascii="Times New Roman" w:hAnsi="Times New Roman" w:eastAsia="宋体" w:cs="Times New Roman"/>
                <w:color w:val="auto"/>
                <w:kern w:val="0"/>
                <w:sz w:val="24"/>
                <w:szCs w:val="24"/>
                <w:highlight w:val="none"/>
                <w:u w:val="none" w:color="auto"/>
                <w:lang w:val="en-US" w:eastAsia="zh-CN" w:bidi="ar"/>
              </w:rPr>
              <w:t>校区</w:t>
            </w:r>
            <w:r>
              <w:rPr>
                <w:rFonts w:hint="default" w:ascii="Times New Roman" w:hAnsi="Times New Roman" w:eastAsia="宋体" w:cs="Times New Roman"/>
                <w:color w:val="auto"/>
                <w:kern w:val="0"/>
                <w:sz w:val="24"/>
                <w:szCs w:val="24"/>
                <w:highlight w:val="none"/>
                <w:u w:val="none" w:color="auto"/>
                <w:lang w:val="en-US" w:eastAsia="zh-CN" w:bidi="ar"/>
              </w:rPr>
              <w:t>需保证</w:t>
            </w:r>
            <w:r>
              <w:rPr>
                <w:rFonts w:hint="eastAsia" w:ascii="Times New Roman" w:hAnsi="Times New Roman" w:eastAsia="宋体" w:cs="Times New Roman"/>
                <w:color w:val="auto"/>
                <w:kern w:val="0"/>
                <w:sz w:val="24"/>
                <w:szCs w:val="24"/>
                <w:highlight w:val="none"/>
                <w:u w:val="none" w:color="auto"/>
                <w:lang w:val="en-US" w:eastAsia="zh-CN" w:bidi="ar"/>
              </w:rPr>
              <w:t>学生能够正常上课</w:t>
            </w:r>
            <w:r>
              <w:rPr>
                <w:rFonts w:hint="default" w:ascii="Times New Roman" w:hAnsi="Times New Roman" w:eastAsia="宋体" w:cs="Times New Roman"/>
                <w:color w:val="auto"/>
                <w:kern w:val="0"/>
                <w:sz w:val="24"/>
                <w:szCs w:val="24"/>
                <w:highlight w:val="none"/>
                <w:u w:val="none" w:color="auto"/>
                <w:lang w:val="en-US" w:eastAsia="zh-CN" w:bidi="ar"/>
              </w:rPr>
              <w:t>。项目拟设500kW的备用柴油发电机</w:t>
            </w:r>
            <w:r>
              <w:rPr>
                <w:rFonts w:hint="eastAsia" w:ascii="Times New Roman" w:hAnsi="Times New Roman" w:eastAsia="宋体" w:cs="Times New Roman"/>
                <w:color w:val="auto"/>
                <w:kern w:val="0"/>
                <w:sz w:val="24"/>
                <w:szCs w:val="24"/>
                <w:highlight w:val="none"/>
                <w:u w:val="none" w:color="auto"/>
                <w:lang w:val="en-US" w:eastAsia="zh-CN" w:bidi="ar"/>
              </w:rPr>
              <w:t>1</w:t>
            </w:r>
            <w:r>
              <w:rPr>
                <w:rFonts w:hint="default" w:ascii="Times New Roman" w:hAnsi="Times New Roman" w:eastAsia="宋体" w:cs="Times New Roman"/>
                <w:color w:val="auto"/>
                <w:kern w:val="0"/>
                <w:sz w:val="24"/>
                <w:szCs w:val="24"/>
                <w:highlight w:val="none"/>
                <w:u w:val="none" w:color="auto"/>
                <w:lang w:val="en-US" w:eastAsia="zh-CN" w:bidi="ar"/>
              </w:rPr>
              <w:t>台，使用含硫量小于0.035%的优质0#柴油（密度取0.84×10</w:t>
            </w:r>
            <w:r>
              <w:rPr>
                <w:rFonts w:hint="default" w:ascii="Times New Roman" w:hAnsi="Times New Roman" w:eastAsia="宋体" w:cs="Times New Roman"/>
                <w:color w:val="auto"/>
                <w:kern w:val="0"/>
                <w:sz w:val="24"/>
                <w:szCs w:val="24"/>
                <w:highlight w:val="none"/>
                <w:u w:val="none" w:color="auto"/>
                <w:vertAlign w:val="superscript"/>
                <w:lang w:val="en-US" w:eastAsia="zh-CN" w:bidi="ar"/>
              </w:rPr>
              <w:t>3</w:t>
            </w:r>
            <w:r>
              <w:rPr>
                <w:rFonts w:hint="default" w:ascii="Times New Roman" w:hAnsi="Times New Roman" w:eastAsia="宋体" w:cs="Times New Roman"/>
                <w:color w:val="auto"/>
                <w:kern w:val="0"/>
                <w:sz w:val="24"/>
                <w:szCs w:val="24"/>
                <w:highlight w:val="none"/>
                <w:u w:val="none" w:color="auto"/>
                <w:lang w:val="en-US" w:eastAsia="zh-CN" w:bidi="ar"/>
              </w:rPr>
              <w:t>kg/m</w:t>
            </w:r>
            <w:r>
              <w:rPr>
                <w:rFonts w:hint="default" w:ascii="Times New Roman" w:hAnsi="Times New Roman" w:eastAsia="宋体" w:cs="Times New Roman"/>
                <w:color w:val="auto"/>
                <w:kern w:val="0"/>
                <w:sz w:val="24"/>
                <w:szCs w:val="24"/>
                <w:highlight w:val="none"/>
                <w:u w:val="none" w:color="auto"/>
                <w:vertAlign w:val="superscript"/>
                <w:lang w:val="en-US" w:eastAsia="zh-CN" w:bidi="ar"/>
              </w:rPr>
              <w:t>3</w:t>
            </w:r>
            <w:r>
              <w:rPr>
                <w:rFonts w:hint="default" w:ascii="Times New Roman" w:hAnsi="Times New Roman" w:eastAsia="宋体" w:cs="Times New Roman"/>
                <w:color w:val="auto"/>
                <w:kern w:val="0"/>
                <w:sz w:val="24"/>
                <w:szCs w:val="24"/>
                <w:highlight w:val="none"/>
                <w:u w:val="none" w:color="auto"/>
                <w:lang w:val="en-US" w:eastAsia="zh-CN" w:bidi="ar"/>
              </w:rPr>
              <w:t>）。发电机启动时所排废气中的主要污染物为SO</w:t>
            </w:r>
            <w:r>
              <w:rPr>
                <w:rFonts w:hint="default" w:ascii="Times New Roman" w:hAnsi="Times New Roman" w:eastAsia="宋体" w:cs="Times New Roman"/>
                <w:color w:val="auto"/>
                <w:kern w:val="0"/>
                <w:sz w:val="24"/>
                <w:szCs w:val="24"/>
                <w:highlight w:val="none"/>
                <w:u w:val="none" w:color="auto"/>
                <w:vertAlign w:val="subscript"/>
                <w:lang w:val="en-US" w:eastAsia="zh-CN" w:bidi="ar"/>
              </w:rPr>
              <w:t>2</w:t>
            </w:r>
            <w:r>
              <w:rPr>
                <w:rFonts w:hint="default" w:ascii="Times New Roman" w:hAnsi="Times New Roman" w:eastAsia="宋体" w:cs="Times New Roman"/>
                <w:color w:val="auto"/>
                <w:kern w:val="0"/>
                <w:sz w:val="24"/>
                <w:szCs w:val="24"/>
                <w:highlight w:val="none"/>
                <w:u w:val="none" w:color="auto"/>
                <w:lang w:val="en-US" w:eastAsia="zh-CN" w:bidi="ar"/>
              </w:rPr>
              <w:t>、NO</w:t>
            </w:r>
            <w:r>
              <w:rPr>
                <w:rFonts w:hint="default" w:ascii="Times New Roman" w:hAnsi="Times New Roman" w:eastAsia="宋体" w:cs="Times New Roman"/>
                <w:color w:val="auto"/>
                <w:kern w:val="0"/>
                <w:sz w:val="24"/>
                <w:szCs w:val="24"/>
                <w:highlight w:val="none"/>
                <w:u w:val="none" w:color="auto"/>
                <w:vertAlign w:val="subscript"/>
                <w:lang w:val="en-US" w:eastAsia="zh-CN" w:bidi="ar"/>
              </w:rPr>
              <w:t>X</w:t>
            </w:r>
            <w:r>
              <w:rPr>
                <w:rFonts w:hint="default" w:ascii="Times New Roman" w:hAnsi="Times New Roman" w:eastAsia="宋体" w:cs="Times New Roman"/>
                <w:color w:val="auto"/>
                <w:kern w:val="0"/>
                <w:sz w:val="24"/>
                <w:szCs w:val="24"/>
                <w:highlight w:val="none"/>
                <w:u w:val="none" w:color="auto"/>
                <w:lang w:val="en-US" w:eastAsia="zh-CN" w:bidi="ar"/>
              </w:rPr>
              <w:t>、烟尘等。发电机废气经发电机房排气口无组织排放。发电机房风机为3000m</w:t>
            </w:r>
            <w:r>
              <w:rPr>
                <w:rFonts w:hint="default" w:ascii="Times New Roman" w:hAnsi="Times New Roman" w:eastAsia="宋体" w:cs="Times New Roman"/>
                <w:color w:val="auto"/>
                <w:kern w:val="0"/>
                <w:sz w:val="24"/>
                <w:szCs w:val="24"/>
                <w:highlight w:val="none"/>
                <w:u w:val="none" w:color="auto"/>
                <w:vertAlign w:val="superscript"/>
                <w:lang w:val="en-US" w:eastAsia="zh-CN" w:bidi="ar"/>
              </w:rPr>
              <w:t>3</w:t>
            </w:r>
            <w:r>
              <w:rPr>
                <w:rFonts w:hint="default" w:ascii="Times New Roman" w:hAnsi="Times New Roman" w:eastAsia="宋体" w:cs="Times New Roman"/>
                <w:color w:val="auto"/>
                <w:kern w:val="0"/>
                <w:sz w:val="24"/>
                <w:szCs w:val="24"/>
                <w:highlight w:val="none"/>
                <w:u w:val="none" w:color="auto"/>
                <w:lang w:val="en-US" w:eastAsia="zh-CN" w:bidi="ar"/>
              </w:rPr>
              <w:t xml:space="preserve">/h。 </w:t>
            </w:r>
          </w:p>
          <w:p w14:paraId="79E48158">
            <w:pPr>
              <w:keepNext w:val="0"/>
              <w:keepLines w:val="0"/>
              <w:pageBreakBefore w:val="0"/>
              <w:widowControl/>
              <w:suppressLineNumbers w:val="0"/>
              <w:kinsoku w:val="0"/>
              <w:wordWrap/>
              <w:overflowPunct/>
              <w:topLinePunct w:val="0"/>
              <w:autoSpaceDE w:val="0"/>
              <w:autoSpaceDN w:val="0"/>
              <w:bidi w:val="0"/>
              <w:adjustRightInd w:val="0"/>
              <w:snapToGrid w:val="0"/>
              <w:spacing w:line="360" w:lineRule="auto"/>
              <w:ind w:firstLine="480" w:firstLineChars="200"/>
              <w:jc w:val="both"/>
              <w:textAlignment w:val="baseline"/>
              <w:outlineLvl w:val="9"/>
              <w:rPr>
                <w:rFonts w:hint="default" w:ascii="Times New Roman" w:hAnsi="Times New Roman" w:eastAsia="宋体" w:cs="Times New Roman"/>
                <w:color w:val="auto"/>
                <w:kern w:val="0"/>
                <w:sz w:val="24"/>
                <w:szCs w:val="24"/>
                <w:highlight w:val="none"/>
                <w:u w:val="none" w:color="auto"/>
                <w:lang w:val="en-US" w:eastAsia="zh-CN" w:bidi="ar"/>
              </w:rPr>
            </w:pPr>
            <w:r>
              <w:rPr>
                <w:rFonts w:hint="default" w:ascii="Times New Roman" w:hAnsi="Times New Roman" w:eastAsia="宋体" w:cs="Times New Roman"/>
                <w:color w:val="auto"/>
                <w:kern w:val="0"/>
                <w:sz w:val="24"/>
                <w:szCs w:val="24"/>
                <w:highlight w:val="none"/>
                <w:u w:val="none" w:color="auto"/>
                <w:lang w:val="en-US" w:eastAsia="zh-CN" w:bidi="ar"/>
              </w:rPr>
              <w:t>项目柴油发电机仅作为紧急备用，电网来电时不启用，按市政停电每月一次，每次2h计，则年使用时间24小时。根据环评工程师注册培训教材《社会区域》给出的计算参数：单位耗油量212.5g/kWh，经核算本项目耗油量约为</w:t>
            </w:r>
            <w:r>
              <w:rPr>
                <w:rFonts w:hint="eastAsia" w:ascii="Times New Roman" w:hAnsi="Times New Roman" w:eastAsia="宋体" w:cs="Times New Roman"/>
                <w:color w:val="auto"/>
                <w:kern w:val="0"/>
                <w:sz w:val="24"/>
                <w:szCs w:val="24"/>
                <w:highlight w:val="none"/>
                <w:u w:val="none" w:color="auto"/>
                <w:lang w:val="en-US" w:eastAsia="zh-CN" w:bidi="ar"/>
              </w:rPr>
              <w:t>1</w:t>
            </w:r>
            <w:r>
              <w:rPr>
                <w:rFonts w:hint="default" w:ascii="Times New Roman" w:hAnsi="Times New Roman" w:eastAsia="宋体" w:cs="Times New Roman"/>
                <w:color w:val="auto"/>
                <w:kern w:val="0"/>
                <w:sz w:val="24"/>
                <w:szCs w:val="24"/>
                <w:highlight w:val="none"/>
                <w:u w:val="none" w:color="auto"/>
                <w:lang w:val="en-US" w:eastAsia="zh-CN" w:bidi="ar"/>
              </w:rPr>
              <w:t>t/a。发电机运行污染物排放系数为：SO</w:t>
            </w:r>
            <w:r>
              <w:rPr>
                <w:rFonts w:hint="default" w:ascii="Times New Roman" w:hAnsi="Times New Roman" w:eastAsia="宋体" w:cs="Times New Roman"/>
                <w:color w:val="auto"/>
                <w:kern w:val="0"/>
                <w:sz w:val="24"/>
                <w:szCs w:val="24"/>
                <w:highlight w:val="none"/>
                <w:u w:val="none" w:color="auto"/>
                <w:vertAlign w:val="subscript"/>
                <w:lang w:val="en-US" w:eastAsia="zh-CN" w:bidi="ar"/>
              </w:rPr>
              <w:t>2</w:t>
            </w:r>
            <w:r>
              <w:rPr>
                <w:rFonts w:hint="default" w:ascii="Times New Roman" w:hAnsi="Times New Roman" w:eastAsia="宋体" w:cs="Times New Roman"/>
                <w:color w:val="auto"/>
                <w:kern w:val="0"/>
                <w:sz w:val="24"/>
                <w:szCs w:val="24"/>
                <w:highlight w:val="none"/>
                <w:u w:val="none" w:color="auto"/>
                <w:lang w:val="en-US" w:eastAsia="zh-CN" w:bidi="ar"/>
              </w:rPr>
              <w:t>4.00g/L，烟尘0.714g/L，NOx2.56g/L。根据以上参数，可计算出发电机组大气污染物产生量，具体污染物产生量及排放量见下表。可见项目备用柴油发电机尾气可达到《大气污染物综合排放标准》（GB16297-1996）表2中的允许最高排放浓度。</w:t>
            </w:r>
          </w:p>
          <w:p w14:paraId="512C9B8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宋体" w:hAnsi="宋体" w:eastAsia="宋体" w:cs="宋体"/>
                <w:color w:val="auto"/>
                <w:sz w:val="24"/>
                <w:szCs w:val="24"/>
                <w:highlight w:val="none"/>
                <w:u w:val="none" w:color="auto"/>
              </w:rPr>
            </w:pPr>
            <w:r>
              <w:rPr>
                <w:rFonts w:hint="default" w:ascii="Times New Roman" w:hAnsi="Times New Roman" w:eastAsia="宋体" w:cs="Times New Roman"/>
                <w:b/>
                <w:bCs/>
                <w:color w:val="auto"/>
                <w:kern w:val="2"/>
                <w:sz w:val="24"/>
                <w:szCs w:val="24"/>
                <w:highlight w:val="none"/>
                <w:u w:val="none" w:color="auto"/>
                <w:lang w:val="en-US" w:eastAsia="zh-CN" w:bidi="ar-SA"/>
              </w:rPr>
              <w:t>表</w:t>
            </w:r>
            <w:r>
              <w:rPr>
                <w:rFonts w:hint="eastAsia" w:ascii="Times New Roman" w:hAnsi="Times New Roman" w:eastAsia="宋体" w:cs="Times New Roman"/>
                <w:b/>
                <w:bCs/>
                <w:color w:val="auto"/>
                <w:kern w:val="2"/>
                <w:sz w:val="24"/>
                <w:szCs w:val="24"/>
                <w:highlight w:val="none"/>
                <w:u w:val="none" w:color="auto"/>
                <w:lang w:val="en-US" w:eastAsia="zh-CN" w:bidi="ar-SA"/>
              </w:rPr>
              <w:t>4-1</w:t>
            </w:r>
            <w:r>
              <w:rPr>
                <w:rFonts w:hint="default" w:ascii="Times New Roman" w:hAnsi="Times New Roman" w:eastAsia="宋体" w:cs="Times New Roman"/>
                <w:b/>
                <w:bCs/>
                <w:color w:val="auto"/>
                <w:kern w:val="2"/>
                <w:sz w:val="24"/>
                <w:szCs w:val="24"/>
                <w:highlight w:val="none"/>
                <w:u w:val="none" w:color="auto"/>
                <w:lang w:val="en-US" w:eastAsia="zh-CN" w:bidi="ar-SA"/>
              </w:rPr>
              <w:t xml:space="preserve">  柴油发电机废气污染物产生与排放情况表</w:t>
            </w:r>
          </w:p>
          <w:tbl>
            <w:tblPr>
              <w:tblStyle w:val="172"/>
              <w:tblW w:w="5004"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003"/>
              <w:gridCol w:w="1039"/>
              <w:gridCol w:w="1039"/>
              <w:gridCol w:w="1046"/>
            </w:tblGrid>
            <w:tr w14:paraId="3A126B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287" w:type="pct"/>
                  <w:vAlign w:val="center"/>
                </w:tcPr>
                <w:p w14:paraId="721355F8">
                  <w:pPr>
                    <w:pStyle w:val="170"/>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5"/>
                      <w:sz w:val="21"/>
                      <w:szCs w:val="21"/>
                      <w:highlight w:val="none"/>
                      <w:u w:val="none" w:color="auto"/>
                    </w:rPr>
                    <w:t>污染物</w:t>
                  </w:r>
                </w:p>
              </w:tc>
              <w:tc>
                <w:tcPr>
                  <w:tcW w:w="569" w:type="pct"/>
                  <w:vAlign w:val="center"/>
                </w:tcPr>
                <w:p w14:paraId="0B0E095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z w:val="21"/>
                      <w:szCs w:val="21"/>
                      <w:highlight w:val="none"/>
                      <w:u w:val="none" w:color="auto"/>
                    </w:rPr>
                    <w:t>SO</w:t>
                  </w:r>
                  <w:r>
                    <w:rPr>
                      <w:rFonts w:hint="default" w:ascii="Times New Roman" w:hAnsi="Times New Roman" w:eastAsia="宋体" w:cs="Times New Roman"/>
                      <w:b w:val="0"/>
                      <w:bCs w:val="0"/>
                      <w:color w:val="auto"/>
                      <w:spacing w:val="1"/>
                      <w:position w:val="-1"/>
                      <w:sz w:val="21"/>
                      <w:szCs w:val="21"/>
                      <w:highlight w:val="none"/>
                      <w:u w:val="none" w:color="auto"/>
                      <w:vertAlign w:val="subscript"/>
                    </w:rPr>
                    <w:t>2</w:t>
                  </w:r>
                </w:p>
              </w:tc>
              <w:tc>
                <w:tcPr>
                  <w:tcW w:w="569" w:type="pct"/>
                  <w:vAlign w:val="center"/>
                </w:tcPr>
                <w:p w14:paraId="362C7C5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6"/>
                      <w:sz w:val="21"/>
                      <w:szCs w:val="21"/>
                      <w:highlight w:val="none"/>
                      <w:u w:val="none" w:color="auto"/>
                    </w:rPr>
                    <w:t>NO</w:t>
                  </w:r>
                  <w:r>
                    <w:rPr>
                      <w:rFonts w:hint="default" w:ascii="Times New Roman" w:hAnsi="Times New Roman" w:eastAsia="宋体" w:cs="Times New Roman"/>
                      <w:b w:val="0"/>
                      <w:bCs w:val="0"/>
                      <w:color w:val="auto"/>
                      <w:spacing w:val="6"/>
                      <w:position w:val="-1"/>
                      <w:sz w:val="21"/>
                      <w:szCs w:val="21"/>
                      <w:highlight w:val="none"/>
                      <w:u w:val="none" w:color="auto"/>
                    </w:rPr>
                    <w:t>x</w:t>
                  </w:r>
                </w:p>
              </w:tc>
              <w:tc>
                <w:tcPr>
                  <w:tcW w:w="573" w:type="pct"/>
                  <w:vAlign w:val="center"/>
                </w:tcPr>
                <w:p w14:paraId="203A4CA0">
                  <w:pPr>
                    <w:pStyle w:val="170"/>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4"/>
                      <w:sz w:val="21"/>
                      <w:szCs w:val="21"/>
                      <w:highlight w:val="none"/>
                      <w:u w:val="none" w:color="auto"/>
                    </w:rPr>
                    <w:t>烟尘</w:t>
                  </w:r>
                </w:p>
              </w:tc>
            </w:tr>
            <w:tr w14:paraId="4D6BEE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287" w:type="pct"/>
                  <w:vAlign w:val="center"/>
                </w:tcPr>
                <w:p w14:paraId="499C2DFF">
                  <w:pPr>
                    <w:pStyle w:val="170"/>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4"/>
                      <w:sz w:val="21"/>
                      <w:szCs w:val="21"/>
                      <w:highlight w:val="none"/>
                      <w:u w:val="none" w:color="auto"/>
                    </w:rPr>
                    <w:t>产生量（t/a）</w:t>
                  </w:r>
                </w:p>
              </w:tc>
              <w:tc>
                <w:tcPr>
                  <w:tcW w:w="569" w:type="pct"/>
                  <w:vAlign w:val="center"/>
                </w:tcPr>
                <w:p w14:paraId="4BFEAD5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z w:val="21"/>
                      <w:szCs w:val="21"/>
                      <w:highlight w:val="none"/>
                      <w:u w:val="none" w:color="auto"/>
                      <w:lang w:val="en-US" w:eastAsia="zh-CN"/>
                    </w:rPr>
                  </w:pPr>
                  <w:r>
                    <w:rPr>
                      <w:rFonts w:hint="default" w:ascii="Times New Roman" w:hAnsi="Times New Roman" w:eastAsia="宋体" w:cs="Times New Roman"/>
                      <w:b w:val="0"/>
                      <w:bCs w:val="0"/>
                      <w:color w:val="auto"/>
                      <w:spacing w:val="2"/>
                      <w:sz w:val="21"/>
                      <w:szCs w:val="21"/>
                      <w:highlight w:val="none"/>
                      <w:u w:val="none" w:color="auto"/>
                      <w:lang w:val="en-US" w:eastAsia="zh-CN"/>
                    </w:rPr>
                    <w:t>0.0</w:t>
                  </w:r>
                  <w:r>
                    <w:rPr>
                      <w:rFonts w:hint="eastAsia" w:cs="Times New Roman"/>
                      <w:b w:val="0"/>
                      <w:bCs w:val="0"/>
                      <w:color w:val="auto"/>
                      <w:spacing w:val="2"/>
                      <w:sz w:val="21"/>
                      <w:szCs w:val="21"/>
                      <w:highlight w:val="none"/>
                      <w:u w:val="none" w:color="auto"/>
                      <w:lang w:val="en-US" w:eastAsia="zh-CN"/>
                    </w:rPr>
                    <w:t>048</w:t>
                  </w:r>
                </w:p>
              </w:tc>
              <w:tc>
                <w:tcPr>
                  <w:tcW w:w="569" w:type="pct"/>
                  <w:vAlign w:val="center"/>
                </w:tcPr>
                <w:p w14:paraId="26E7A5A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z w:val="21"/>
                      <w:szCs w:val="21"/>
                      <w:highlight w:val="none"/>
                      <w:u w:val="none" w:color="auto"/>
                      <w:lang w:val="en-US" w:eastAsia="zh-CN"/>
                    </w:rPr>
                  </w:pPr>
                  <w:r>
                    <w:rPr>
                      <w:rFonts w:hint="default" w:ascii="Times New Roman" w:hAnsi="Times New Roman" w:eastAsia="宋体" w:cs="Times New Roman"/>
                      <w:b w:val="0"/>
                      <w:bCs w:val="0"/>
                      <w:color w:val="auto"/>
                      <w:spacing w:val="3"/>
                      <w:sz w:val="21"/>
                      <w:szCs w:val="21"/>
                      <w:highlight w:val="none"/>
                      <w:u w:val="none" w:color="auto"/>
                      <w:lang w:val="en-US" w:eastAsia="zh-CN"/>
                    </w:rPr>
                    <w:t>0.0031</w:t>
                  </w:r>
                </w:p>
              </w:tc>
              <w:tc>
                <w:tcPr>
                  <w:tcW w:w="573" w:type="pct"/>
                  <w:vAlign w:val="center"/>
                </w:tcPr>
                <w:p w14:paraId="79F8AA2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z w:val="21"/>
                      <w:szCs w:val="21"/>
                      <w:highlight w:val="none"/>
                      <w:u w:val="none" w:color="auto"/>
                      <w:lang w:val="en-US" w:eastAsia="zh-CN"/>
                    </w:rPr>
                  </w:pPr>
                  <w:r>
                    <w:rPr>
                      <w:rFonts w:hint="default" w:ascii="Times New Roman" w:hAnsi="Times New Roman" w:eastAsia="宋体" w:cs="Times New Roman"/>
                      <w:b w:val="0"/>
                      <w:bCs w:val="0"/>
                      <w:color w:val="auto"/>
                      <w:spacing w:val="3"/>
                      <w:sz w:val="21"/>
                      <w:szCs w:val="21"/>
                      <w:highlight w:val="none"/>
                      <w:u w:val="none" w:color="auto"/>
                      <w:lang w:val="en-US" w:eastAsia="zh-CN"/>
                    </w:rPr>
                    <w:t>0.00086</w:t>
                  </w:r>
                </w:p>
              </w:tc>
            </w:tr>
            <w:tr w14:paraId="017FAB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287" w:type="pct"/>
                  <w:vAlign w:val="center"/>
                </w:tcPr>
                <w:p w14:paraId="519E5D1A">
                  <w:pPr>
                    <w:pStyle w:val="170"/>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pacing w:val="2"/>
                      <w:sz w:val="21"/>
                      <w:szCs w:val="21"/>
                      <w:highlight w:val="none"/>
                      <w:u w:val="none" w:color="auto"/>
                    </w:rPr>
                    <w:t>排放浓度（</w:t>
                  </w:r>
                  <w:r>
                    <w:rPr>
                      <w:rFonts w:hint="default" w:ascii="Times New Roman" w:hAnsi="Times New Roman" w:eastAsia="宋体" w:cs="Times New Roman"/>
                      <w:b w:val="0"/>
                      <w:bCs w:val="0"/>
                      <w:color w:val="auto"/>
                      <w:spacing w:val="-58"/>
                      <w:sz w:val="21"/>
                      <w:szCs w:val="21"/>
                      <w:highlight w:val="none"/>
                      <w:u w:val="none" w:color="auto"/>
                    </w:rPr>
                    <w:t xml:space="preserve"> </w:t>
                  </w:r>
                  <w:r>
                    <w:rPr>
                      <w:rFonts w:hint="default" w:ascii="Times New Roman" w:hAnsi="Times New Roman" w:eastAsia="宋体" w:cs="Times New Roman"/>
                      <w:b w:val="0"/>
                      <w:bCs w:val="0"/>
                      <w:color w:val="auto"/>
                      <w:sz w:val="21"/>
                      <w:szCs w:val="21"/>
                      <w:highlight w:val="none"/>
                      <w:u w:val="none" w:color="auto"/>
                    </w:rPr>
                    <w:t>mg</w:t>
                  </w:r>
                  <w:r>
                    <w:rPr>
                      <w:rFonts w:hint="default" w:ascii="Times New Roman" w:hAnsi="Times New Roman" w:eastAsia="宋体" w:cs="Times New Roman"/>
                      <w:b w:val="0"/>
                      <w:bCs w:val="0"/>
                      <w:color w:val="auto"/>
                      <w:spacing w:val="2"/>
                      <w:sz w:val="21"/>
                      <w:szCs w:val="21"/>
                      <w:highlight w:val="none"/>
                      <w:u w:val="none" w:color="auto"/>
                    </w:rPr>
                    <w:t>/m</w:t>
                  </w:r>
                  <w:r>
                    <w:rPr>
                      <w:rFonts w:hint="default" w:ascii="Times New Roman" w:hAnsi="Times New Roman" w:eastAsia="宋体" w:cs="Times New Roman"/>
                      <w:b w:val="0"/>
                      <w:bCs w:val="0"/>
                      <w:color w:val="auto"/>
                      <w:spacing w:val="2"/>
                      <w:sz w:val="21"/>
                      <w:szCs w:val="21"/>
                      <w:highlight w:val="none"/>
                      <w:u w:val="none" w:color="auto"/>
                      <w:vertAlign w:val="superscript"/>
                      <w:lang w:val="en-US" w:eastAsia="zh-CN"/>
                    </w:rPr>
                    <w:t>3</w:t>
                  </w:r>
                  <w:r>
                    <w:rPr>
                      <w:rFonts w:hint="default" w:ascii="Times New Roman" w:hAnsi="Times New Roman" w:eastAsia="宋体" w:cs="Times New Roman"/>
                      <w:b w:val="0"/>
                      <w:bCs w:val="0"/>
                      <w:color w:val="auto"/>
                      <w:spacing w:val="2"/>
                      <w:sz w:val="21"/>
                      <w:szCs w:val="21"/>
                      <w:highlight w:val="none"/>
                      <w:u w:val="none" w:color="auto"/>
                    </w:rPr>
                    <w:t>）</w:t>
                  </w:r>
                </w:p>
              </w:tc>
              <w:tc>
                <w:tcPr>
                  <w:tcW w:w="569" w:type="pct"/>
                  <w:vAlign w:val="center"/>
                </w:tcPr>
                <w:p w14:paraId="4A9DDBE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z w:val="21"/>
                      <w:szCs w:val="21"/>
                      <w:highlight w:val="none"/>
                      <w:u w:val="none" w:color="auto"/>
                      <w:lang w:val="en-US" w:eastAsia="zh-CN"/>
                    </w:rPr>
                  </w:pPr>
                  <w:r>
                    <w:rPr>
                      <w:rFonts w:hint="eastAsia" w:cs="Times New Roman"/>
                      <w:b w:val="0"/>
                      <w:bCs w:val="0"/>
                      <w:color w:val="auto"/>
                      <w:spacing w:val="-1"/>
                      <w:sz w:val="21"/>
                      <w:szCs w:val="21"/>
                      <w:highlight w:val="none"/>
                      <w:u w:val="none" w:color="auto"/>
                      <w:lang w:val="en-US" w:eastAsia="zh-CN"/>
                    </w:rPr>
                    <w:t>66.67</w:t>
                  </w:r>
                </w:p>
              </w:tc>
              <w:tc>
                <w:tcPr>
                  <w:tcW w:w="569" w:type="pct"/>
                  <w:vAlign w:val="center"/>
                </w:tcPr>
                <w:p w14:paraId="48C1240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z w:val="21"/>
                      <w:szCs w:val="21"/>
                      <w:highlight w:val="none"/>
                      <w:u w:val="none" w:color="auto"/>
                      <w:lang w:val="en-US" w:eastAsia="zh-CN"/>
                    </w:rPr>
                  </w:pPr>
                  <w:r>
                    <w:rPr>
                      <w:rFonts w:hint="default" w:ascii="Times New Roman" w:hAnsi="Times New Roman" w:eastAsia="宋体" w:cs="Times New Roman"/>
                      <w:b w:val="0"/>
                      <w:bCs w:val="0"/>
                      <w:color w:val="auto"/>
                      <w:spacing w:val="-1"/>
                      <w:sz w:val="21"/>
                      <w:szCs w:val="21"/>
                      <w:highlight w:val="none"/>
                      <w:u w:val="none" w:color="auto"/>
                      <w:lang w:val="en-US" w:eastAsia="zh-CN"/>
                    </w:rPr>
                    <w:t>43.06</w:t>
                  </w:r>
                </w:p>
              </w:tc>
              <w:tc>
                <w:tcPr>
                  <w:tcW w:w="573" w:type="pct"/>
                  <w:vAlign w:val="center"/>
                </w:tcPr>
                <w:p w14:paraId="288E85A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z w:val="21"/>
                      <w:szCs w:val="21"/>
                      <w:highlight w:val="none"/>
                      <w:u w:val="none" w:color="auto"/>
                      <w:lang w:val="en-US" w:eastAsia="zh-CN"/>
                    </w:rPr>
                  </w:pPr>
                  <w:r>
                    <w:rPr>
                      <w:rFonts w:hint="default" w:ascii="Times New Roman" w:hAnsi="Times New Roman" w:eastAsia="宋体" w:cs="Times New Roman"/>
                      <w:b w:val="0"/>
                      <w:bCs w:val="0"/>
                      <w:color w:val="auto"/>
                      <w:spacing w:val="1"/>
                      <w:sz w:val="21"/>
                      <w:szCs w:val="21"/>
                      <w:highlight w:val="none"/>
                      <w:u w:val="none" w:color="auto"/>
                      <w:lang w:val="en-US" w:eastAsia="zh-CN"/>
                    </w:rPr>
                    <w:t>11.9</w:t>
                  </w:r>
                </w:p>
              </w:tc>
            </w:tr>
          </w:tbl>
          <w:p w14:paraId="13C8B27F">
            <w:pPr>
              <w:adjustRightInd w:val="0"/>
              <w:snapToGrid w:val="0"/>
              <w:spacing w:line="360" w:lineRule="auto"/>
              <w:ind w:firstLine="480" w:firstLineChars="200"/>
              <w:rPr>
                <w:rFonts w:hint="default" w:ascii="Times New Roman" w:hAnsi="Times New Roman" w:cs="Times New Roman"/>
                <w:bCs/>
                <w:color w:val="auto"/>
                <w:sz w:val="24"/>
                <w:highlight w:val="none"/>
                <w:u w:val="none" w:color="auto"/>
              </w:rPr>
            </w:pPr>
            <w:r>
              <w:rPr>
                <w:rFonts w:hint="default" w:ascii="Times New Roman" w:hAnsi="Times New Roman" w:cs="Times New Roman"/>
                <w:bCs/>
                <w:color w:val="auto"/>
                <w:sz w:val="24"/>
                <w:highlight w:val="none"/>
                <w:u w:val="none" w:color="auto"/>
              </w:rPr>
              <w:t>本项目废气污染物排放情况见下表。</w:t>
            </w:r>
          </w:p>
          <w:p w14:paraId="53EADAF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4"/>
                <w:highlight w:val="none"/>
                <w:u w:val="none" w:color="auto"/>
              </w:rPr>
            </w:pPr>
            <w:r>
              <w:rPr>
                <w:rFonts w:hint="default" w:ascii="Times New Roman" w:hAnsi="Times New Roman" w:cs="Times New Roman"/>
                <w:b/>
                <w:bCs/>
                <w:color w:val="auto"/>
                <w:sz w:val="24"/>
                <w:highlight w:val="none"/>
                <w:u w:val="none" w:color="auto"/>
              </w:rPr>
              <w:t>表4-</w:t>
            </w:r>
            <w:r>
              <w:rPr>
                <w:rFonts w:hint="eastAsia" w:ascii="Times New Roman" w:hAnsi="Times New Roman" w:cs="Times New Roman"/>
                <w:b/>
                <w:bCs/>
                <w:color w:val="auto"/>
                <w:sz w:val="24"/>
                <w:highlight w:val="none"/>
                <w:u w:val="none" w:color="auto"/>
                <w:lang w:val="en-US" w:eastAsia="zh-CN"/>
              </w:rPr>
              <w:t>2</w:t>
            </w:r>
            <w:r>
              <w:rPr>
                <w:rFonts w:hint="default" w:ascii="Times New Roman" w:hAnsi="Times New Roman" w:cs="Times New Roman"/>
                <w:b/>
                <w:bCs/>
                <w:color w:val="auto"/>
                <w:sz w:val="24"/>
                <w:highlight w:val="none"/>
                <w:u w:val="none" w:color="auto"/>
                <w:lang w:val="en-US" w:eastAsia="zh-CN"/>
              </w:rPr>
              <w:t xml:space="preserve">    </w:t>
            </w:r>
            <w:r>
              <w:rPr>
                <w:rFonts w:hint="default" w:ascii="Times New Roman" w:hAnsi="Times New Roman" w:cs="Times New Roman"/>
                <w:b/>
                <w:bCs/>
                <w:color w:val="auto"/>
                <w:sz w:val="24"/>
                <w:highlight w:val="none"/>
                <w:u w:val="none" w:color="auto"/>
              </w:rPr>
              <w:t>项目废气产排情况一览表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426"/>
              <w:gridCol w:w="426"/>
              <w:gridCol w:w="636"/>
              <w:gridCol w:w="775"/>
              <w:gridCol w:w="590"/>
              <w:gridCol w:w="800"/>
              <w:gridCol w:w="1255"/>
              <w:gridCol w:w="601"/>
              <w:gridCol w:w="601"/>
              <w:gridCol w:w="426"/>
              <w:gridCol w:w="775"/>
              <w:gridCol w:w="689"/>
              <w:gridCol w:w="689"/>
            </w:tblGrid>
            <w:tr w14:paraId="5161C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4" w:type="pct"/>
                  <w:vMerge w:val="restart"/>
                  <w:noWrap w:val="0"/>
                  <w:vAlign w:val="center"/>
                </w:tcPr>
                <w:p w14:paraId="0576F286">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排放形式</w:t>
                  </w:r>
                </w:p>
              </w:tc>
              <w:tc>
                <w:tcPr>
                  <w:tcW w:w="517" w:type="pct"/>
                  <w:gridSpan w:val="2"/>
                  <w:vMerge w:val="restart"/>
                  <w:noWrap w:val="0"/>
                  <w:vAlign w:val="center"/>
                </w:tcPr>
                <w:p w14:paraId="1583CD5E">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产排污环节</w:t>
                  </w:r>
                </w:p>
              </w:tc>
              <w:tc>
                <w:tcPr>
                  <w:tcW w:w="302" w:type="pct"/>
                  <w:vMerge w:val="restart"/>
                  <w:noWrap w:val="0"/>
                  <w:vAlign w:val="center"/>
                </w:tcPr>
                <w:p w14:paraId="1276BC1C">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污染因子</w:t>
                  </w:r>
                </w:p>
              </w:tc>
              <w:tc>
                <w:tcPr>
                  <w:tcW w:w="1010" w:type="pct"/>
                  <w:gridSpan w:val="3"/>
                  <w:noWrap w:val="0"/>
                  <w:vAlign w:val="center"/>
                </w:tcPr>
                <w:p w14:paraId="3F9542D6">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产生情况</w:t>
                  </w:r>
                </w:p>
              </w:tc>
              <w:tc>
                <w:tcPr>
                  <w:tcW w:w="1813" w:type="pct"/>
                  <w:gridSpan w:val="4"/>
                  <w:noWrap w:val="0"/>
                  <w:vAlign w:val="center"/>
                </w:tcPr>
                <w:p w14:paraId="32ED7B74">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治理情况</w:t>
                  </w:r>
                </w:p>
              </w:tc>
              <w:tc>
                <w:tcPr>
                  <w:tcW w:w="1142" w:type="pct"/>
                  <w:gridSpan w:val="3"/>
                  <w:noWrap w:val="0"/>
                  <w:vAlign w:val="center"/>
                </w:tcPr>
                <w:p w14:paraId="675F6894">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排放情况</w:t>
                  </w:r>
                </w:p>
              </w:tc>
            </w:tr>
            <w:tr w14:paraId="327DB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4" w:type="pct"/>
                  <w:vMerge w:val="continue"/>
                  <w:noWrap w:val="0"/>
                  <w:vAlign w:val="center"/>
                </w:tcPr>
                <w:p w14:paraId="3866D62D">
                  <w:pPr>
                    <w:jc w:val="center"/>
                    <w:rPr>
                      <w:rFonts w:hint="default" w:ascii="Times New Roman" w:hAnsi="Times New Roman" w:eastAsia="宋体" w:cs="Times New Roman"/>
                      <w:color w:val="auto"/>
                      <w:sz w:val="21"/>
                      <w:szCs w:val="21"/>
                      <w:highlight w:val="none"/>
                      <w:u w:val="none" w:color="auto"/>
                    </w:rPr>
                  </w:pPr>
                </w:p>
              </w:tc>
              <w:tc>
                <w:tcPr>
                  <w:tcW w:w="517" w:type="pct"/>
                  <w:gridSpan w:val="2"/>
                  <w:vMerge w:val="continue"/>
                  <w:noWrap w:val="0"/>
                  <w:vAlign w:val="center"/>
                </w:tcPr>
                <w:p w14:paraId="4D35CBDF">
                  <w:pPr>
                    <w:jc w:val="center"/>
                    <w:rPr>
                      <w:rFonts w:hint="default" w:ascii="Times New Roman" w:hAnsi="Times New Roman" w:eastAsia="宋体" w:cs="Times New Roman"/>
                      <w:color w:val="auto"/>
                      <w:sz w:val="21"/>
                      <w:szCs w:val="21"/>
                      <w:highlight w:val="none"/>
                      <w:u w:val="none" w:color="auto"/>
                    </w:rPr>
                  </w:pPr>
                </w:p>
              </w:tc>
              <w:tc>
                <w:tcPr>
                  <w:tcW w:w="302" w:type="pct"/>
                  <w:vMerge w:val="continue"/>
                  <w:noWrap w:val="0"/>
                  <w:vAlign w:val="center"/>
                </w:tcPr>
                <w:p w14:paraId="283E66E7">
                  <w:pPr>
                    <w:jc w:val="center"/>
                    <w:rPr>
                      <w:rFonts w:hint="default" w:ascii="Times New Roman" w:hAnsi="Times New Roman" w:eastAsia="宋体" w:cs="Times New Roman"/>
                      <w:color w:val="auto"/>
                      <w:sz w:val="21"/>
                      <w:szCs w:val="21"/>
                      <w:highlight w:val="none"/>
                      <w:u w:val="none" w:color="auto"/>
                    </w:rPr>
                  </w:pPr>
                </w:p>
              </w:tc>
              <w:tc>
                <w:tcPr>
                  <w:tcW w:w="360" w:type="pct"/>
                  <w:noWrap w:val="0"/>
                  <w:vAlign w:val="center"/>
                </w:tcPr>
                <w:p w14:paraId="0705EC43">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产生浓度mg/m</w:t>
                  </w:r>
                  <w:r>
                    <w:rPr>
                      <w:rFonts w:hint="default" w:ascii="Times New Roman" w:hAnsi="Times New Roman" w:eastAsia="宋体" w:cs="Times New Roman"/>
                      <w:color w:val="auto"/>
                      <w:sz w:val="21"/>
                      <w:szCs w:val="21"/>
                      <w:highlight w:val="none"/>
                      <w:u w:val="none" w:color="auto"/>
                      <w:vertAlign w:val="superscript"/>
                    </w:rPr>
                    <w:t>3</w:t>
                  </w:r>
                </w:p>
              </w:tc>
              <w:tc>
                <w:tcPr>
                  <w:tcW w:w="324" w:type="pct"/>
                  <w:noWrap w:val="0"/>
                  <w:vAlign w:val="center"/>
                </w:tcPr>
                <w:p w14:paraId="64901B35">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产生速率kg/h</w:t>
                  </w:r>
                </w:p>
              </w:tc>
              <w:tc>
                <w:tcPr>
                  <w:tcW w:w="325" w:type="pct"/>
                  <w:noWrap w:val="0"/>
                  <w:vAlign w:val="center"/>
                </w:tcPr>
                <w:p w14:paraId="56917051">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产生量</w:t>
                  </w:r>
                  <w:r>
                    <w:rPr>
                      <w:rFonts w:hint="default" w:ascii="Times New Roman" w:hAnsi="Times New Roman" w:eastAsia="宋体" w:cs="Times New Roman"/>
                      <w:color w:val="auto"/>
                      <w:sz w:val="21"/>
                      <w:szCs w:val="21"/>
                      <w:highlight w:val="none"/>
                      <w:u w:val="none" w:color="auto"/>
                      <w:lang w:val="en-US" w:eastAsia="zh-CN"/>
                    </w:rPr>
                    <w:t>kg</w:t>
                  </w:r>
                  <w:r>
                    <w:rPr>
                      <w:rFonts w:hint="default" w:ascii="Times New Roman" w:hAnsi="Times New Roman" w:eastAsia="宋体" w:cs="Times New Roman"/>
                      <w:color w:val="auto"/>
                      <w:sz w:val="21"/>
                      <w:szCs w:val="21"/>
                      <w:highlight w:val="none"/>
                      <w:u w:val="none" w:color="auto"/>
                    </w:rPr>
                    <w:t>/a</w:t>
                  </w:r>
                </w:p>
              </w:tc>
              <w:tc>
                <w:tcPr>
                  <w:tcW w:w="1024" w:type="pct"/>
                  <w:noWrap w:val="0"/>
                  <w:vAlign w:val="center"/>
                </w:tcPr>
                <w:p w14:paraId="21208955">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治理设施</w:t>
                  </w:r>
                </w:p>
              </w:tc>
              <w:tc>
                <w:tcPr>
                  <w:tcW w:w="286" w:type="pct"/>
                  <w:noWrap w:val="0"/>
                  <w:vAlign w:val="center"/>
                </w:tcPr>
                <w:p w14:paraId="285FF98C">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收集效率%</w:t>
                  </w:r>
                </w:p>
              </w:tc>
              <w:tc>
                <w:tcPr>
                  <w:tcW w:w="286" w:type="pct"/>
                  <w:noWrap w:val="0"/>
                  <w:vAlign w:val="center"/>
                </w:tcPr>
                <w:p w14:paraId="4B8FC644">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处理效率%</w:t>
                  </w:r>
                </w:p>
              </w:tc>
              <w:tc>
                <w:tcPr>
                  <w:tcW w:w="215" w:type="pct"/>
                  <w:noWrap w:val="0"/>
                  <w:vAlign w:val="center"/>
                </w:tcPr>
                <w:p w14:paraId="616A50D4">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技术可行性</w:t>
                  </w:r>
                </w:p>
              </w:tc>
              <w:tc>
                <w:tcPr>
                  <w:tcW w:w="360" w:type="pct"/>
                  <w:noWrap w:val="0"/>
                  <w:vAlign w:val="center"/>
                </w:tcPr>
                <w:p w14:paraId="7C70743E">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排放浓度mg/m</w:t>
                  </w:r>
                  <w:r>
                    <w:rPr>
                      <w:rFonts w:hint="default" w:ascii="Times New Roman" w:hAnsi="Times New Roman" w:eastAsia="宋体" w:cs="Times New Roman"/>
                      <w:color w:val="auto"/>
                      <w:sz w:val="21"/>
                      <w:szCs w:val="21"/>
                      <w:highlight w:val="none"/>
                      <w:u w:val="none" w:color="auto"/>
                      <w:vertAlign w:val="superscript"/>
                    </w:rPr>
                    <w:t>3</w:t>
                  </w:r>
                </w:p>
              </w:tc>
              <w:tc>
                <w:tcPr>
                  <w:tcW w:w="412" w:type="pct"/>
                  <w:noWrap w:val="0"/>
                  <w:vAlign w:val="center"/>
                </w:tcPr>
                <w:p w14:paraId="23AB99D8">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排放速率kg/h</w:t>
                  </w:r>
                </w:p>
              </w:tc>
              <w:tc>
                <w:tcPr>
                  <w:tcW w:w="369" w:type="pct"/>
                  <w:noWrap w:val="0"/>
                  <w:vAlign w:val="center"/>
                </w:tcPr>
                <w:p w14:paraId="711E0C62">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排放量</w:t>
                  </w:r>
                  <w:r>
                    <w:rPr>
                      <w:rFonts w:hint="default" w:ascii="Times New Roman" w:hAnsi="Times New Roman" w:eastAsia="宋体" w:cs="Times New Roman"/>
                      <w:color w:val="auto"/>
                      <w:sz w:val="21"/>
                      <w:szCs w:val="21"/>
                      <w:highlight w:val="none"/>
                      <w:u w:val="none" w:color="auto"/>
                      <w:lang w:val="en-US" w:eastAsia="zh-CN"/>
                    </w:rPr>
                    <w:t>kg</w:t>
                  </w:r>
                  <w:r>
                    <w:rPr>
                      <w:rFonts w:hint="default" w:ascii="Times New Roman" w:hAnsi="Times New Roman" w:eastAsia="宋体" w:cs="Times New Roman"/>
                      <w:color w:val="auto"/>
                      <w:sz w:val="21"/>
                      <w:szCs w:val="21"/>
                      <w:highlight w:val="none"/>
                      <w:u w:val="none" w:color="auto"/>
                    </w:rPr>
                    <w:t>/a</w:t>
                  </w:r>
                </w:p>
              </w:tc>
            </w:tr>
            <w:tr w14:paraId="7F523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4" w:type="pct"/>
                  <w:vMerge w:val="continue"/>
                  <w:noWrap w:val="0"/>
                  <w:vAlign w:val="center"/>
                </w:tcPr>
                <w:p w14:paraId="6C6073BA">
                  <w:pPr>
                    <w:jc w:val="center"/>
                    <w:rPr>
                      <w:rFonts w:hint="default" w:ascii="Times New Roman" w:hAnsi="Times New Roman" w:eastAsia="宋体" w:cs="Times New Roman"/>
                      <w:color w:val="auto"/>
                      <w:sz w:val="21"/>
                      <w:szCs w:val="21"/>
                      <w:highlight w:val="none"/>
                      <w:u w:val="none" w:color="auto"/>
                    </w:rPr>
                  </w:pPr>
                </w:p>
              </w:tc>
              <w:tc>
                <w:tcPr>
                  <w:tcW w:w="214" w:type="pct"/>
                  <w:vMerge w:val="restart"/>
                  <w:noWrap w:val="0"/>
                  <w:vAlign w:val="center"/>
                </w:tcPr>
                <w:p w14:paraId="706725C3">
                  <w:pPr>
                    <w:jc w:val="center"/>
                    <w:rPr>
                      <w:rFonts w:hint="default" w:ascii="Times New Roman" w:hAnsi="Times New Roman" w:eastAsia="宋体" w:cs="Times New Roman"/>
                      <w:bCs/>
                      <w:color w:val="auto"/>
                      <w:sz w:val="21"/>
                      <w:szCs w:val="21"/>
                      <w:highlight w:val="none"/>
                      <w:u w:val="none" w:color="auto"/>
                      <w:lang w:bidi="ar"/>
                    </w:rPr>
                  </w:pPr>
                  <w:r>
                    <w:rPr>
                      <w:rFonts w:hint="default" w:ascii="Times New Roman" w:hAnsi="Times New Roman" w:eastAsia="宋体" w:cs="Times New Roman"/>
                      <w:bCs/>
                      <w:color w:val="auto"/>
                      <w:sz w:val="21"/>
                      <w:szCs w:val="21"/>
                      <w:highlight w:val="none"/>
                      <w:u w:val="none" w:color="auto"/>
                      <w:lang w:bidi="ar"/>
                    </w:rPr>
                    <w:t>有组织</w:t>
                  </w:r>
                </w:p>
              </w:tc>
              <w:tc>
                <w:tcPr>
                  <w:tcW w:w="303" w:type="pct"/>
                  <w:noWrap w:val="0"/>
                  <w:vAlign w:val="center"/>
                </w:tcPr>
                <w:p w14:paraId="2BD5A5FD">
                  <w:pPr>
                    <w:jc w:val="center"/>
                    <w:rPr>
                      <w:rFonts w:hint="default" w:ascii="Times New Roman" w:hAnsi="Times New Roman" w:eastAsia="宋体" w:cs="Times New Roman"/>
                      <w:color w:val="auto"/>
                      <w:sz w:val="21"/>
                      <w:szCs w:val="21"/>
                      <w:highlight w:val="none"/>
                      <w:u w:val="none" w:color="auto"/>
                      <w:lang w:bidi="ar"/>
                    </w:rPr>
                  </w:pPr>
                  <w:r>
                    <w:rPr>
                      <w:rFonts w:hint="default" w:ascii="Times New Roman" w:hAnsi="Times New Roman" w:eastAsia="宋体" w:cs="Times New Roman"/>
                      <w:color w:val="auto"/>
                      <w:sz w:val="21"/>
                      <w:szCs w:val="21"/>
                      <w:highlight w:val="none"/>
                      <w:u w:val="none" w:color="auto"/>
                      <w:lang w:bidi="ar"/>
                    </w:rPr>
                    <w:t>实验室废气</w:t>
                  </w:r>
                </w:p>
              </w:tc>
              <w:tc>
                <w:tcPr>
                  <w:tcW w:w="302" w:type="pct"/>
                  <w:noWrap w:val="0"/>
                  <w:vAlign w:val="center"/>
                </w:tcPr>
                <w:p w14:paraId="7876F895">
                  <w:pPr>
                    <w:pStyle w:val="171"/>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氯化</w:t>
                  </w:r>
                </w:p>
                <w:p w14:paraId="769C24BF">
                  <w:pPr>
                    <w:pStyle w:val="171"/>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氢、</w:t>
                  </w:r>
                </w:p>
                <w:p w14:paraId="4968CFBD">
                  <w:pPr>
                    <w:pStyle w:val="171"/>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硫酸</w:t>
                  </w:r>
                </w:p>
                <w:p w14:paraId="66B5C5CB">
                  <w:pPr>
                    <w:pStyle w:val="171"/>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雾等</w:t>
                  </w:r>
                </w:p>
              </w:tc>
              <w:tc>
                <w:tcPr>
                  <w:tcW w:w="360" w:type="pct"/>
                  <w:noWrap w:val="0"/>
                  <w:vAlign w:val="center"/>
                </w:tcPr>
                <w:p w14:paraId="04F63110">
                  <w:pPr>
                    <w:adjustRightInd w:val="0"/>
                    <w:snapToGrid w:val="0"/>
                    <w:jc w:val="center"/>
                    <w:rPr>
                      <w:rFonts w:hint="default" w:ascii="Times New Roman" w:hAnsi="Times New Roman" w:eastAsia="宋体" w:cs="Times New Roman"/>
                      <w:color w:val="auto"/>
                      <w:sz w:val="21"/>
                      <w:szCs w:val="21"/>
                      <w:highlight w:val="none"/>
                      <w:u w:val="none" w:color="auto"/>
                      <w:lang w:val="en-US"/>
                    </w:rPr>
                  </w:pPr>
                  <w:r>
                    <w:rPr>
                      <w:rFonts w:hint="default" w:ascii="Times New Roman" w:hAnsi="Times New Roman" w:eastAsia="宋体" w:cs="Times New Roman"/>
                      <w:color w:val="auto"/>
                      <w:sz w:val="21"/>
                      <w:szCs w:val="21"/>
                      <w:highlight w:val="none"/>
                      <w:u w:val="none" w:color="auto"/>
                      <w:lang w:val="en-US" w:eastAsia="zh-CN"/>
                    </w:rPr>
                    <w:t>/</w:t>
                  </w:r>
                </w:p>
              </w:tc>
              <w:tc>
                <w:tcPr>
                  <w:tcW w:w="324" w:type="pct"/>
                  <w:noWrap w:val="0"/>
                  <w:vAlign w:val="center"/>
                </w:tcPr>
                <w:p w14:paraId="660837BA">
                  <w:pPr>
                    <w:adjustRightInd w:val="0"/>
                    <w:snapToGrid w:val="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val="en-US" w:eastAsia="zh-CN"/>
                    </w:rPr>
                    <w:t>/</w:t>
                  </w:r>
                </w:p>
              </w:tc>
              <w:tc>
                <w:tcPr>
                  <w:tcW w:w="325" w:type="pct"/>
                  <w:noWrap w:val="0"/>
                  <w:vAlign w:val="center"/>
                </w:tcPr>
                <w:p w14:paraId="26ADAA3B">
                  <w:pPr>
                    <w:adjustRightInd w:val="0"/>
                    <w:snapToGrid w:val="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val="en-US" w:eastAsia="zh-CN"/>
                    </w:rPr>
                    <w:t>/</w:t>
                  </w:r>
                </w:p>
              </w:tc>
              <w:tc>
                <w:tcPr>
                  <w:tcW w:w="1024" w:type="pct"/>
                  <w:noWrap w:val="0"/>
                  <w:vAlign w:val="center"/>
                </w:tcPr>
                <w:p w14:paraId="78A7F3B0">
                  <w:pPr>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rPr>
                    <w:t>实验室操作台内安装通风橱，在使用、配备挥发性的试剂时应在通风橱内操作，通风橱进行负压收集，通过通风管道输送到楼顶经二级活性炭吸附装置</w:t>
                  </w:r>
                  <w:r>
                    <w:rPr>
                      <w:rFonts w:hint="default" w:ascii="Times New Roman" w:hAnsi="Times New Roman" w:eastAsia="宋体" w:cs="Times New Roman"/>
                      <w:bCs/>
                      <w:color w:val="auto"/>
                      <w:sz w:val="21"/>
                      <w:szCs w:val="21"/>
                      <w:highlight w:val="none"/>
                      <w:u w:val="none" w:color="auto"/>
                      <w:lang w:eastAsia="zh-CN"/>
                    </w:rPr>
                    <w:t>（</w:t>
                  </w:r>
                  <w:r>
                    <w:rPr>
                      <w:rFonts w:hint="default" w:ascii="Times New Roman" w:hAnsi="Times New Roman" w:eastAsia="宋体" w:cs="Times New Roman"/>
                      <w:bCs/>
                      <w:color w:val="auto"/>
                      <w:sz w:val="21"/>
                      <w:szCs w:val="21"/>
                      <w:highlight w:val="none"/>
                      <w:u w:val="none" w:color="auto"/>
                      <w:lang w:val="en-US" w:eastAsia="zh-CN"/>
                    </w:rPr>
                    <w:t>TA001）</w:t>
                  </w:r>
                  <w:r>
                    <w:rPr>
                      <w:rFonts w:hint="default" w:ascii="Times New Roman" w:hAnsi="Times New Roman" w:eastAsia="宋体" w:cs="Times New Roman"/>
                      <w:bCs/>
                      <w:color w:val="auto"/>
                      <w:sz w:val="21"/>
                      <w:szCs w:val="21"/>
                      <w:highlight w:val="none"/>
                      <w:u w:val="none" w:color="auto"/>
                    </w:rPr>
                    <w:t>处理后由</w:t>
                  </w:r>
                  <w:r>
                    <w:rPr>
                      <w:rFonts w:hint="default" w:ascii="Times New Roman" w:hAnsi="Times New Roman" w:eastAsia="宋体" w:cs="Times New Roman"/>
                      <w:bCs/>
                      <w:color w:val="auto"/>
                      <w:sz w:val="21"/>
                      <w:szCs w:val="21"/>
                      <w:highlight w:val="none"/>
                      <w:u w:val="none" w:color="auto"/>
                      <w:lang w:val="en-US" w:eastAsia="zh-CN"/>
                    </w:rPr>
                    <w:t>20m高排气筒（DA001）引至高空排放</w:t>
                  </w:r>
                </w:p>
              </w:tc>
              <w:tc>
                <w:tcPr>
                  <w:tcW w:w="286" w:type="pct"/>
                  <w:noWrap w:val="0"/>
                  <w:vAlign w:val="center"/>
                </w:tcPr>
                <w:p w14:paraId="7E546FA0">
                  <w:pPr>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val="en-US" w:eastAsia="zh-CN"/>
                    </w:rPr>
                    <w:t>/</w:t>
                  </w:r>
                </w:p>
              </w:tc>
              <w:tc>
                <w:tcPr>
                  <w:tcW w:w="286" w:type="pct"/>
                  <w:noWrap w:val="0"/>
                  <w:vAlign w:val="center"/>
                </w:tcPr>
                <w:p w14:paraId="5FFEBFD8">
                  <w:pPr>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val="en-US" w:eastAsia="zh-CN"/>
                    </w:rPr>
                    <w:t>/</w:t>
                  </w:r>
                </w:p>
              </w:tc>
              <w:tc>
                <w:tcPr>
                  <w:tcW w:w="215" w:type="pct"/>
                  <w:noWrap w:val="0"/>
                  <w:vAlign w:val="center"/>
                </w:tcPr>
                <w:p w14:paraId="18400514">
                  <w:pPr>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val="en-US" w:eastAsia="zh-CN"/>
                    </w:rPr>
                    <w:t>/</w:t>
                  </w:r>
                </w:p>
              </w:tc>
              <w:tc>
                <w:tcPr>
                  <w:tcW w:w="360" w:type="pct"/>
                  <w:noWrap w:val="0"/>
                  <w:vAlign w:val="center"/>
                </w:tcPr>
                <w:p w14:paraId="38FCF2BB">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w:t>
                  </w:r>
                </w:p>
              </w:tc>
              <w:tc>
                <w:tcPr>
                  <w:tcW w:w="412" w:type="pct"/>
                  <w:noWrap w:val="0"/>
                  <w:vAlign w:val="center"/>
                </w:tcPr>
                <w:p w14:paraId="6C7F5C03">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w:t>
                  </w:r>
                </w:p>
              </w:tc>
              <w:tc>
                <w:tcPr>
                  <w:tcW w:w="369" w:type="pct"/>
                  <w:noWrap w:val="0"/>
                  <w:vAlign w:val="center"/>
                </w:tcPr>
                <w:p w14:paraId="33E3E2B2">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w:t>
                  </w:r>
                </w:p>
              </w:tc>
            </w:tr>
            <w:tr w14:paraId="17A2B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4" w:type="pct"/>
                  <w:vMerge w:val="continue"/>
                  <w:noWrap w:val="0"/>
                  <w:vAlign w:val="center"/>
                </w:tcPr>
                <w:p w14:paraId="05550000">
                  <w:pPr>
                    <w:jc w:val="center"/>
                    <w:rPr>
                      <w:rFonts w:hint="default" w:ascii="Times New Roman" w:hAnsi="Times New Roman" w:eastAsia="宋体" w:cs="Times New Roman"/>
                      <w:color w:val="auto"/>
                      <w:sz w:val="21"/>
                      <w:szCs w:val="21"/>
                      <w:highlight w:val="none"/>
                      <w:u w:val="none" w:color="auto"/>
                    </w:rPr>
                  </w:pPr>
                </w:p>
              </w:tc>
              <w:tc>
                <w:tcPr>
                  <w:tcW w:w="214" w:type="pct"/>
                  <w:vMerge w:val="continue"/>
                  <w:noWrap w:val="0"/>
                  <w:vAlign w:val="center"/>
                </w:tcPr>
                <w:p w14:paraId="1925DDEE">
                  <w:pPr>
                    <w:jc w:val="center"/>
                    <w:rPr>
                      <w:rFonts w:hint="default" w:ascii="Times New Roman" w:hAnsi="Times New Roman" w:eastAsia="宋体" w:cs="Times New Roman"/>
                      <w:bCs/>
                      <w:color w:val="auto"/>
                      <w:sz w:val="21"/>
                      <w:szCs w:val="21"/>
                      <w:highlight w:val="none"/>
                      <w:u w:val="none" w:color="auto"/>
                      <w:lang w:bidi="ar"/>
                    </w:rPr>
                  </w:pPr>
                </w:p>
              </w:tc>
              <w:tc>
                <w:tcPr>
                  <w:tcW w:w="303" w:type="pct"/>
                  <w:vMerge w:val="restart"/>
                  <w:noWrap w:val="0"/>
                  <w:vAlign w:val="center"/>
                </w:tcPr>
                <w:p w14:paraId="15E84A59">
                  <w:pPr>
                    <w:jc w:val="center"/>
                    <w:rPr>
                      <w:rFonts w:hint="default" w:ascii="Times New Roman" w:hAnsi="Times New Roman" w:eastAsia="宋体" w:cs="Times New Roman"/>
                      <w:color w:val="auto"/>
                      <w:sz w:val="21"/>
                      <w:szCs w:val="21"/>
                      <w:highlight w:val="none"/>
                      <w:u w:val="none" w:color="auto"/>
                      <w:lang w:eastAsia="zh-CN" w:bidi="ar"/>
                    </w:rPr>
                  </w:pPr>
                  <w:r>
                    <w:rPr>
                      <w:rFonts w:hint="eastAsia" w:cs="Times New Roman"/>
                      <w:color w:val="auto"/>
                      <w:sz w:val="21"/>
                      <w:szCs w:val="21"/>
                      <w:highlight w:val="none"/>
                      <w:u w:val="none" w:color="auto"/>
                      <w:lang w:eastAsia="zh-CN" w:bidi="ar"/>
                    </w:rPr>
                    <w:t>餐厅</w:t>
                  </w:r>
                  <w:r>
                    <w:rPr>
                      <w:rFonts w:hint="default" w:ascii="Times New Roman" w:hAnsi="Times New Roman" w:eastAsia="宋体" w:cs="Times New Roman"/>
                      <w:color w:val="auto"/>
                      <w:sz w:val="21"/>
                      <w:szCs w:val="21"/>
                      <w:highlight w:val="none"/>
                      <w:u w:val="none" w:color="auto"/>
                      <w:lang w:val="en-US" w:eastAsia="zh-CN" w:bidi="ar"/>
                    </w:rPr>
                    <w:t>废气</w:t>
                  </w:r>
                </w:p>
              </w:tc>
              <w:tc>
                <w:tcPr>
                  <w:tcW w:w="302" w:type="pct"/>
                  <w:noWrap w:val="0"/>
                  <w:vAlign w:val="center"/>
                </w:tcPr>
                <w:p w14:paraId="4C3B9825">
                  <w:pPr>
                    <w:pStyle w:val="171"/>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油烟</w:t>
                  </w:r>
                </w:p>
              </w:tc>
              <w:tc>
                <w:tcPr>
                  <w:tcW w:w="360" w:type="pct"/>
                  <w:noWrap w:val="0"/>
                  <w:vAlign w:val="center"/>
                </w:tcPr>
                <w:p w14:paraId="61D4D42D">
                  <w:pPr>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16.9</w:t>
                  </w:r>
                </w:p>
              </w:tc>
              <w:tc>
                <w:tcPr>
                  <w:tcW w:w="324" w:type="pct"/>
                  <w:noWrap w:val="0"/>
                  <w:vAlign w:val="center"/>
                </w:tcPr>
                <w:p w14:paraId="6AF4CE0A">
                  <w:pPr>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0.6</w:t>
                  </w:r>
                </w:p>
              </w:tc>
              <w:tc>
                <w:tcPr>
                  <w:tcW w:w="325" w:type="pct"/>
                  <w:noWrap w:val="0"/>
                  <w:vAlign w:val="center"/>
                </w:tcPr>
                <w:p w14:paraId="3F35335C">
                  <w:pPr>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pacing w:val="1"/>
                      <w:sz w:val="21"/>
                      <w:szCs w:val="21"/>
                      <w:u w:val="none" w:color="auto"/>
                      <w:lang w:val="en-US" w:eastAsia="zh-CN"/>
                    </w:rPr>
                    <w:t>720.84</w:t>
                  </w:r>
                </w:p>
              </w:tc>
              <w:tc>
                <w:tcPr>
                  <w:tcW w:w="1024" w:type="pct"/>
                  <w:vMerge w:val="restart"/>
                  <w:noWrap w:val="0"/>
                  <w:vAlign w:val="center"/>
                </w:tcPr>
                <w:p w14:paraId="5657A242">
                  <w:pPr>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lang w:val="en-US" w:eastAsia="zh-CN"/>
                    </w:rPr>
                    <w:t>经现有8套</w:t>
                  </w:r>
                  <w:r>
                    <w:rPr>
                      <w:rFonts w:hint="default" w:ascii="Times New Roman" w:hAnsi="Times New Roman" w:eastAsia="宋体" w:cs="Times New Roman"/>
                      <w:bCs/>
                      <w:color w:val="auto"/>
                      <w:sz w:val="21"/>
                      <w:szCs w:val="21"/>
                      <w:highlight w:val="none"/>
                      <w:u w:val="none" w:color="auto"/>
                    </w:rPr>
                    <w:t>油烟净化器</w:t>
                  </w:r>
                  <w:r>
                    <w:rPr>
                      <w:rFonts w:hint="default" w:ascii="Times New Roman" w:hAnsi="Times New Roman" w:eastAsia="宋体" w:cs="Times New Roman"/>
                      <w:bCs/>
                      <w:color w:val="auto"/>
                      <w:sz w:val="21"/>
                      <w:szCs w:val="21"/>
                      <w:highlight w:val="none"/>
                      <w:u w:val="none" w:color="auto"/>
                      <w:lang w:val="en-US" w:eastAsia="zh-CN"/>
                    </w:rPr>
                    <w:t>处理后通过1根专用烟道（DA002）排放</w:t>
                  </w:r>
                </w:p>
              </w:tc>
              <w:tc>
                <w:tcPr>
                  <w:tcW w:w="286" w:type="pct"/>
                  <w:noWrap w:val="0"/>
                  <w:vAlign w:val="center"/>
                </w:tcPr>
                <w:p w14:paraId="00BEEA16">
                  <w:pPr>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90</w:t>
                  </w:r>
                </w:p>
              </w:tc>
              <w:tc>
                <w:tcPr>
                  <w:tcW w:w="286" w:type="pct"/>
                  <w:noWrap w:val="0"/>
                  <w:vAlign w:val="center"/>
                </w:tcPr>
                <w:p w14:paraId="630081B8">
                  <w:pPr>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95</w:t>
                  </w:r>
                </w:p>
              </w:tc>
              <w:tc>
                <w:tcPr>
                  <w:tcW w:w="215" w:type="pct"/>
                  <w:noWrap w:val="0"/>
                  <w:vAlign w:val="center"/>
                </w:tcPr>
                <w:p w14:paraId="08B7C4E9">
                  <w:pPr>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可行</w:t>
                  </w:r>
                </w:p>
              </w:tc>
              <w:tc>
                <w:tcPr>
                  <w:tcW w:w="360" w:type="pct"/>
                  <w:noWrap w:val="0"/>
                  <w:vAlign w:val="center"/>
                </w:tcPr>
                <w:p w14:paraId="6FC32C0A">
                  <w:pPr>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0.85</w:t>
                  </w:r>
                </w:p>
              </w:tc>
              <w:tc>
                <w:tcPr>
                  <w:tcW w:w="412" w:type="pct"/>
                  <w:noWrap w:val="0"/>
                  <w:vAlign w:val="center"/>
                </w:tcPr>
                <w:p w14:paraId="509033D6">
                  <w:pPr>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0.027</w:t>
                  </w:r>
                </w:p>
              </w:tc>
              <w:tc>
                <w:tcPr>
                  <w:tcW w:w="369" w:type="pct"/>
                  <w:noWrap w:val="0"/>
                  <w:vAlign w:val="center"/>
                </w:tcPr>
                <w:p w14:paraId="11C84841">
                  <w:pPr>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32.44</w:t>
                  </w:r>
                </w:p>
              </w:tc>
            </w:tr>
            <w:tr w14:paraId="428E9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4" w:type="pct"/>
                  <w:vMerge w:val="continue"/>
                  <w:noWrap w:val="0"/>
                  <w:vAlign w:val="center"/>
                </w:tcPr>
                <w:p w14:paraId="70A2E74F">
                  <w:pPr>
                    <w:jc w:val="center"/>
                    <w:rPr>
                      <w:rFonts w:hint="default" w:ascii="Times New Roman" w:hAnsi="Times New Roman" w:eastAsia="宋体" w:cs="Times New Roman"/>
                      <w:color w:val="auto"/>
                      <w:sz w:val="21"/>
                      <w:szCs w:val="21"/>
                      <w:highlight w:val="none"/>
                      <w:u w:val="none" w:color="auto"/>
                    </w:rPr>
                  </w:pPr>
                </w:p>
              </w:tc>
              <w:tc>
                <w:tcPr>
                  <w:tcW w:w="214" w:type="pct"/>
                  <w:vMerge w:val="continue"/>
                  <w:noWrap w:val="0"/>
                  <w:vAlign w:val="center"/>
                </w:tcPr>
                <w:p w14:paraId="53F1C5BF">
                  <w:pPr>
                    <w:jc w:val="center"/>
                    <w:rPr>
                      <w:rFonts w:hint="default" w:ascii="Times New Roman" w:hAnsi="Times New Roman" w:eastAsia="宋体" w:cs="Times New Roman"/>
                      <w:bCs/>
                      <w:color w:val="auto"/>
                      <w:sz w:val="21"/>
                      <w:szCs w:val="21"/>
                      <w:highlight w:val="none"/>
                      <w:u w:val="none" w:color="auto"/>
                      <w:lang w:bidi="ar"/>
                    </w:rPr>
                  </w:pPr>
                </w:p>
              </w:tc>
              <w:tc>
                <w:tcPr>
                  <w:tcW w:w="303" w:type="pct"/>
                  <w:vMerge w:val="continue"/>
                  <w:noWrap w:val="0"/>
                  <w:vAlign w:val="center"/>
                </w:tcPr>
                <w:p w14:paraId="3E6F6139">
                  <w:pPr>
                    <w:jc w:val="center"/>
                    <w:rPr>
                      <w:rFonts w:hint="default" w:ascii="Times New Roman" w:hAnsi="Times New Roman" w:eastAsia="宋体" w:cs="Times New Roman"/>
                      <w:color w:val="auto"/>
                      <w:sz w:val="21"/>
                      <w:szCs w:val="21"/>
                      <w:highlight w:val="none"/>
                      <w:u w:val="none" w:color="auto"/>
                      <w:lang w:bidi="ar"/>
                    </w:rPr>
                  </w:pPr>
                </w:p>
              </w:tc>
              <w:tc>
                <w:tcPr>
                  <w:tcW w:w="302" w:type="pct"/>
                  <w:noWrap w:val="0"/>
                  <w:vAlign w:val="center"/>
                </w:tcPr>
                <w:p w14:paraId="6E6ED163">
                  <w:pPr>
                    <w:pStyle w:val="171"/>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非甲烷总烃</w:t>
                  </w:r>
                </w:p>
              </w:tc>
              <w:tc>
                <w:tcPr>
                  <w:tcW w:w="360" w:type="pct"/>
                  <w:noWrap w:val="0"/>
                  <w:vAlign w:val="center"/>
                </w:tcPr>
                <w:p w14:paraId="601FBBB5">
                  <w:pPr>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11.8</w:t>
                  </w:r>
                </w:p>
              </w:tc>
              <w:tc>
                <w:tcPr>
                  <w:tcW w:w="324" w:type="pct"/>
                  <w:noWrap w:val="0"/>
                  <w:vAlign w:val="center"/>
                </w:tcPr>
                <w:p w14:paraId="2D712C13">
                  <w:pPr>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0.42</w:t>
                  </w:r>
                </w:p>
              </w:tc>
              <w:tc>
                <w:tcPr>
                  <w:tcW w:w="325" w:type="pct"/>
                  <w:noWrap w:val="0"/>
                  <w:vAlign w:val="center"/>
                </w:tcPr>
                <w:p w14:paraId="0CAED31D">
                  <w:pPr>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504</w:t>
                  </w:r>
                </w:p>
              </w:tc>
              <w:tc>
                <w:tcPr>
                  <w:tcW w:w="1024" w:type="pct"/>
                  <w:vMerge w:val="continue"/>
                  <w:noWrap w:val="0"/>
                  <w:vAlign w:val="center"/>
                </w:tcPr>
                <w:p w14:paraId="3C0BD887">
                  <w:pPr>
                    <w:jc w:val="center"/>
                    <w:rPr>
                      <w:rFonts w:hint="default" w:ascii="Times New Roman" w:hAnsi="Times New Roman" w:eastAsia="宋体" w:cs="Times New Roman"/>
                      <w:bCs/>
                      <w:color w:val="auto"/>
                      <w:sz w:val="21"/>
                      <w:szCs w:val="21"/>
                      <w:highlight w:val="none"/>
                      <w:u w:val="none" w:color="auto"/>
                    </w:rPr>
                  </w:pPr>
                </w:p>
              </w:tc>
              <w:tc>
                <w:tcPr>
                  <w:tcW w:w="286" w:type="pct"/>
                  <w:noWrap w:val="0"/>
                  <w:vAlign w:val="center"/>
                </w:tcPr>
                <w:p w14:paraId="15280638">
                  <w:pPr>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90</w:t>
                  </w:r>
                </w:p>
              </w:tc>
              <w:tc>
                <w:tcPr>
                  <w:tcW w:w="286" w:type="pct"/>
                  <w:noWrap w:val="0"/>
                  <w:vAlign w:val="center"/>
                </w:tcPr>
                <w:p w14:paraId="7843C6D7">
                  <w:pPr>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60</w:t>
                  </w:r>
                </w:p>
              </w:tc>
              <w:tc>
                <w:tcPr>
                  <w:tcW w:w="215" w:type="pct"/>
                  <w:noWrap w:val="0"/>
                  <w:vAlign w:val="center"/>
                </w:tcPr>
                <w:p w14:paraId="4237B029">
                  <w:pPr>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可行</w:t>
                  </w:r>
                </w:p>
              </w:tc>
              <w:tc>
                <w:tcPr>
                  <w:tcW w:w="360" w:type="pct"/>
                  <w:noWrap w:val="0"/>
                  <w:vAlign w:val="center"/>
                </w:tcPr>
                <w:p w14:paraId="6C3B96E6">
                  <w:pPr>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4.73</w:t>
                  </w:r>
                </w:p>
              </w:tc>
              <w:tc>
                <w:tcPr>
                  <w:tcW w:w="412" w:type="pct"/>
                  <w:noWrap w:val="0"/>
                  <w:vAlign w:val="center"/>
                </w:tcPr>
                <w:p w14:paraId="3CE96BD0">
                  <w:pPr>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0.15</w:t>
                  </w:r>
                </w:p>
              </w:tc>
              <w:tc>
                <w:tcPr>
                  <w:tcW w:w="369" w:type="pct"/>
                  <w:noWrap w:val="0"/>
                  <w:vAlign w:val="center"/>
                </w:tcPr>
                <w:p w14:paraId="78653AB7">
                  <w:pPr>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180</w:t>
                  </w:r>
                </w:p>
              </w:tc>
            </w:tr>
            <w:tr w14:paraId="05F59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4" w:type="pct"/>
                  <w:vMerge w:val="continue"/>
                  <w:noWrap w:val="0"/>
                  <w:vAlign w:val="center"/>
                </w:tcPr>
                <w:p w14:paraId="7FB3149B">
                  <w:pPr>
                    <w:adjustRightInd w:val="0"/>
                    <w:snapToGrid w:val="0"/>
                    <w:jc w:val="center"/>
                    <w:rPr>
                      <w:rFonts w:hint="default" w:ascii="Times New Roman" w:hAnsi="Times New Roman" w:eastAsia="宋体" w:cs="Times New Roman"/>
                      <w:color w:val="auto"/>
                      <w:sz w:val="21"/>
                      <w:szCs w:val="21"/>
                      <w:highlight w:val="none"/>
                      <w:u w:val="none" w:color="auto"/>
                    </w:rPr>
                  </w:pPr>
                </w:p>
              </w:tc>
              <w:tc>
                <w:tcPr>
                  <w:tcW w:w="214" w:type="pct"/>
                  <w:vMerge w:val="restart"/>
                  <w:noWrap w:val="0"/>
                  <w:vAlign w:val="center"/>
                </w:tcPr>
                <w:p w14:paraId="433A7BC9">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无组织</w:t>
                  </w:r>
                </w:p>
              </w:tc>
              <w:tc>
                <w:tcPr>
                  <w:tcW w:w="303" w:type="pct"/>
                  <w:vMerge w:val="restart"/>
                  <w:noWrap w:val="0"/>
                  <w:vAlign w:val="center"/>
                </w:tcPr>
                <w:p w14:paraId="52B9F112">
                  <w:pPr>
                    <w:jc w:val="center"/>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bidi="ar"/>
                    </w:rPr>
                    <w:t>餐厅</w:t>
                  </w:r>
                  <w:r>
                    <w:rPr>
                      <w:rFonts w:hint="default" w:ascii="Times New Roman" w:hAnsi="Times New Roman" w:eastAsia="宋体" w:cs="Times New Roman"/>
                      <w:color w:val="auto"/>
                      <w:sz w:val="21"/>
                      <w:szCs w:val="21"/>
                      <w:highlight w:val="none"/>
                      <w:u w:val="none" w:color="auto"/>
                      <w:lang w:val="en-US" w:eastAsia="zh-CN" w:bidi="ar"/>
                    </w:rPr>
                    <w:t>废气</w:t>
                  </w:r>
                </w:p>
              </w:tc>
              <w:tc>
                <w:tcPr>
                  <w:tcW w:w="302" w:type="pct"/>
                  <w:noWrap w:val="0"/>
                  <w:vAlign w:val="center"/>
                </w:tcPr>
                <w:p w14:paraId="35AD3C00">
                  <w:pPr>
                    <w:pStyle w:val="171"/>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油烟</w:t>
                  </w:r>
                </w:p>
              </w:tc>
              <w:tc>
                <w:tcPr>
                  <w:tcW w:w="360" w:type="pct"/>
                  <w:noWrap w:val="0"/>
                  <w:vAlign w:val="center"/>
                </w:tcPr>
                <w:p w14:paraId="7EE36B68">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c>
                <w:tcPr>
                  <w:tcW w:w="324" w:type="pct"/>
                  <w:noWrap w:val="0"/>
                  <w:vAlign w:val="center"/>
                </w:tcPr>
                <w:p w14:paraId="756E22EC">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c>
                <w:tcPr>
                  <w:tcW w:w="325" w:type="pct"/>
                  <w:noWrap w:val="0"/>
                  <w:vAlign w:val="center"/>
                </w:tcPr>
                <w:p w14:paraId="5F19C655">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72.08</w:t>
                  </w:r>
                </w:p>
              </w:tc>
              <w:tc>
                <w:tcPr>
                  <w:tcW w:w="1024" w:type="pct"/>
                  <w:vMerge w:val="restart"/>
                  <w:noWrap w:val="0"/>
                  <w:vAlign w:val="center"/>
                </w:tcPr>
                <w:p w14:paraId="17B18B63">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定期对废气环保设备维护，保证废气收集效率；</w:t>
                  </w:r>
                </w:p>
              </w:tc>
              <w:tc>
                <w:tcPr>
                  <w:tcW w:w="286" w:type="pct"/>
                  <w:noWrap w:val="0"/>
                  <w:vAlign w:val="center"/>
                </w:tcPr>
                <w:p w14:paraId="6E857709">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c>
                <w:tcPr>
                  <w:tcW w:w="286" w:type="pct"/>
                  <w:noWrap w:val="0"/>
                  <w:vAlign w:val="center"/>
                </w:tcPr>
                <w:p w14:paraId="4C4F43E8">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c>
                <w:tcPr>
                  <w:tcW w:w="215" w:type="pct"/>
                  <w:noWrap w:val="0"/>
                  <w:vAlign w:val="center"/>
                </w:tcPr>
                <w:p w14:paraId="1DFB8FB0">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c>
                <w:tcPr>
                  <w:tcW w:w="360" w:type="pct"/>
                  <w:noWrap w:val="0"/>
                  <w:vAlign w:val="center"/>
                </w:tcPr>
                <w:p w14:paraId="3AE72566">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c>
                <w:tcPr>
                  <w:tcW w:w="412" w:type="pct"/>
                  <w:noWrap w:val="0"/>
                  <w:vAlign w:val="center"/>
                </w:tcPr>
                <w:p w14:paraId="47F08DA6">
                  <w:pPr>
                    <w:adjustRightInd w:val="0"/>
                    <w:snapToGrid w:val="0"/>
                    <w:jc w:val="center"/>
                    <w:rPr>
                      <w:rFonts w:hint="default" w:ascii="Times New Roman" w:hAnsi="Times New Roman" w:eastAsia="宋体" w:cs="Times New Roman"/>
                      <w:color w:val="auto"/>
                      <w:sz w:val="21"/>
                      <w:szCs w:val="21"/>
                      <w:highlight w:val="none"/>
                      <w:u w:val="none" w:color="auto"/>
                      <w:lang w:val="en-US"/>
                    </w:rPr>
                  </w:pPr>
                  <w:r>
                    <w:rPr>
                      <w:rFonts w:hint="default" w:ascii="Times New Roman" w:hAnsi="Times New Roman" w:eastAsia="宋体" w:cs="Times New Roman"/>
                      <w:color w:val="auto"/>
                      <w:sz w:val="21"/>
                      <w:szCs w:val="21"/>
                      <w:highlight w:val="none"/>
                      <w:u w:val="none" w:color="auto"/>
                      <w:lang w:val="en-US" w:eastAsia="zh-CN"/>
                    </w:rPr>
                    <w:t>0.06</w:t>
                  </w:r>
                </w:p>
              </w:tc>
              <w:tc>
                <w:tcPr>
                  <w:tcW w:w="369" w:type="pct"/>
                  <w:noWrap w:val="0"/>
                  <w:vAlign w:val="center"/>
                </w:tcPr>
                <w:p w14:paraId="1330FE1C">
                  <w:pPr>
                    <w:adjustRightInd w:val="0"/>
                    <w:snapToGrid w:val="0"/>
                    <w:jc w:val="center"/>
                    <w:rPr>
                      <w:rFonts w:hint="default" w:ascii="Times New Roman" w:hAnsi="Times New Roman" w:eastAsia="宋体" w:cs="Times New Roman"/>
                      <w:color w:val="auto"/>
                      <w:sz w:val="21"/>
                      <w:szCs w:val="21"/>
                      <w:highlight w:val="none"/>
                      <w:u w:val="none" w:color="auto"/>
                      <w:lang w:val="en-US"/>
                    </w:rPr>
                  </w:pPr>
                  <w:r>
                    <w:rPr>
                      <w:rFonts w:hint="default" w:ascii="Times New Roman" w:hAnsi="Times New Roman" w:eastAsia="宋体" w:cs="Times New Roman"/>
                      <w:color w:val="auto"/>
                      <w:sz w:val="21"/>
                      <w:szCs w:val="21"/>
                      <w:highlight w:val="none"/>
                      <w:u w:val="none" w:color="auto"/>
                      <w:lang w:val="en-US" w:eastAsia="zh-CN"/>
                    </w:rPr>
                    <w:t>72.08</w:t>
                  </w:r>
                </w:p>
              </w:tc>
            </w:tr>
            <w:tr w14:paraId="44CC2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4" w:type="pct"/>
                  <w:vMerge w:val="continue"/>
                  <w:noWrap w:val="0"/>
                  <w:vAlign w:val="center"/>
                </w:tcPr>
                <w:p w14:paraId="2BEF6A75">
                  <w:pPr>
                    <w:adjustRightInd w:val="0"/>
                    <w:snapToGrid w:val="0"/>
                    <w:jc w:val="center"/>
                    <w:rPr>
                      <w:rFonts w:hint="default" w:ascii="Times New Roman" w:hAnsi="Times New Roman" w:eastAsia="宋体" w:cs="Times New Roman"/>
                      <w:color w:val="auto"/>
                      <w:sz w:val="21"/>
                      <w:szCs w:val="21"/>
                      <w:highlight w:val="none"/>
                      <w:u w:val="none" w:color="auto"/>
                    </w:rPr>
                  </w:pPr>
                </w:p>
              </w:tc>
              <w:tc>
                <w:tcPr>
                  <w:tcW w:w="214" w:type="pct"/>
                  <w:vMerge w:val="continue"/>
                  <w:noWrap w:val="0"/>
                  <w:vAlign w:val="center"/>
                </w:tcPr>
                <w:p w14:paraId="169AD167">
                  <w:pPr>
                    <w:adjustRightInd w:val="0"/>
                    <w:snapToGrid w:val="0"/>
                    <w:jc w:val="center"/>
                    <w:rPr>
                      <w:rFonts w:hint="default" w:ascii="Times New Roman" w:hAnsi="Times New Roman" w:eastAsia="宋体" w:cs="Times New Roman"/>
                      <w:color w:val="auto"/>
                      <w:sz w:val="21"/>
                      <w:szCs w:val="21"/>
                      <w:highlight w:val="none"/>
                      <w:u w:val="none" w:color="auto"/>
                    </w:rPr>
                  </w:pPr>
                </w:p>
              </w:tc>
              <w:tc>
                <w:tcPr>
                  <w:tcW w:w="303" w:type="pct"/>
                  <w:vMerge w:val="continue"/>
                  <w:noWrap w:val="0"/>
                  <w:vAlign w:val="center"/>
                </w:tcPr>
                <w:p w14:paraId="2AB9532F">
                  <w:pPr>
                    <w:jc w:val="center"/>
                    <w:rPr>
                      <w:rFonts w:hint="default" w:ascii="Times New Roman" w:hAnsi="Times New Roman" w:eastAsia="宋体" w:cs="Times New Roman"/>
                      <w:color w:val="auto"/>
                      <w:sz w:val="21"/>
                      <w:szCs w:val="21"/>
                      <w:highlight w:val="none"/>
                      <w:u w:val="none" w:color="auto"/>
                    </w:rPr>
                  </w:pPr>
                </w:p>
              </w:tc>
              <w:tc>
                <w:tcPr>
                  <w:tcW w:w="302" w:type="pct"/>
                  <w:noWrap w:val="0"/>
                  <w:vAlign w:val="center"/>
                </w:tcPr>
                <w:p w14:paraId="51308149">
                  <w:pPr>
                    <w:pStyle w:val="171"/>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非甲烷总烃</w:t>
                  </w:r>
                </w:p>
              </w:tc>
              <w:tc>
                <w:tcPr>
                  <w:tcW w:w="360" w:type="pct"/>
                  <w:noWrap w:val="0"/>
                  <w:vAlign w:val="center"/>
                </w:tcPr>
                <w:p w14:paraId="26AA20FD">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c>
                <w:tcPr>
                  <w:tcW w:w="324" w:type="pct"/>
                  <w:noWrap w:val="0"/>
                  <w:vAlign w:val="center"/>
                </w:tcPr>
                <w:p w14:paraId="619B7111">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c>
                <w:tcPr>
                  <w:tcW w:w="325" w:type="pct"/>
                  <w:noWrap w:val="0"/>
                  <w:vAlign w:val="center"/>
                </w:tcPr>
                <w:p w14:paraId="6A4D8151">
                  <w:pPr>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50</w:t>
                  </w:r>
                </w:p>
              </w:tc>
              <w:tc>
                <w:tcPr>
                  <w:tcW w:w="1024" w:type="pct"/>
                  <w:vMerge w:val="continue"/>
                  <w:noWrap w:val="0"/>
                  <w:vAlign w:val="center"/>
                </w:tcPr>
                <w:p w14:paraId="46798C81">
                  <w:pPr>
                    <w:adjustRightInd w:val="0"/>
                    <w:snapToGrid w:val="0"/>
                    <w:jc w:val="center"/>
                    <w:rPr>
                      <w:rFonts w:hint="default" w:ascii="Times New Roman" w:hAnsi="Times New Roman" w:eastAsia="宋体" w:cs="Times New Roman"/>
                      <w:color w:val="auto"/>
                      <w:sz w:val="21"/>
                      <w:szCs w:val="21"/>
                      <w:highlight w:val="none"/>
                      <w:u w:val="none" w:color="auto"/>
                    </w:rPr>
                  </w:pPr>
                </w:p>
              </w:tc>
              <w:tc>
                <w:tcPr>
                  <w:tcW w:w="286" w:type="pct"/>
                  <w:noWrap w:val="0"/>
                  <w:vAlign w:val="center"/>
                </w:tcPr>
                <w:p w14:paraId="69A4B075">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c>
                <w:tcPr>
                  <w:tcW w:w="286" w:type="pct"/>
                  <w:noWrap w:val="0"/>
                  <w:vAlign w:val="center"/>
                </w:tcPr>
                <w:p w14:paraId="4D4DB391">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c>
                <w:tcPr>
                  <w:tcW w:w="215" w:type="pct"/>
                  <w:noWrap w:val="0"/>
                  <w:vAlign w:val="center"/>
                </w:tcPr>
                <w:p w14:paraId="28CA1BFF">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c>
                <w:tcPr>
                  <w:tcW w:w="360" w:type="pct"/>
                  <w:noWrap w:val="0"/>
                  <w:vAlign w:val="center"/>
                </w:tcPr>
                <w:p w14:paraId="2835EC7C">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c>
                <w:tcPr>
                  <w:tcW w:w="412" w:type="pct"/>
                  <w:noWrap w:val="0"/>
                  <w:vAlign w:val="center"/>
                </w:tcPr>
                <w:p w14:paraId="2632D5C4">
                  <w:pPr>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0.042</w:t>
                  </w:r>
                </w:p>
              </w:tc>
              <w:tc>
                <w:tcPr>
                  <w:tcW w:w="369" w:type="pct"/>
                  <w:noWrap w:val="0"/>
                  <w:vAlign w:val="center"/>
                </w:tcPr>
                <w:p w14:paraId="3E3E982B">
                  <w:pPr>
                    <w:adjustRightInd w:val="0"/>
                    <w:snapToGrid w:val="0"/>
                    <w:jc w:val="center"/>
                    <w:rPr>
                      <w:rFonts w:hint="default" w:ascii="Times New Roman" w:hAnsi="Times New Roman" w:eastAsia="宋体" w:cs="Times New Roman"/>
                      <w:color w:val="auto"/>
                      <w:sz w:val="21"/>
                      <w:szCs w:val="21"/>
                      <w:highlight w:val="none"/>
                      <w:u w:val="none" w:color="auto"/>
                      <w:lang w:val="en-US"/>
                    </w:rPr>
                  </w:pPr>
                  <w:r>
                    <w:rPr>
                      <w:rFonts w:hint="default" w:ascii="Times New Roman" w:hAnsi="Times New Roman" w:eastAsia="宋体" w:cs="Times New Roman"/>
                      <w:color w:val="auto"/>
                      <w:sz w:val="21"/>
                      <w:szCs w:val="21"/>
                      <w:highlight w:val="none"/>
                      <w:u w:val="none" w:color="auto"/>
                      <w:lang w:val="en-US" w:eastAsia="zh-CN"/>
                    </w:rPr>
                    <w:t>50</w:t>
                  </w:r>
                </w:p>
              </w:tc>
            </w:tr>
            <w:tr w14:paraId="58BFC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4" w:type="pct"/>
                  <w:vMerge w:val="continue"/>
                  <w:noWrap w:val="0"/>
                  <w:vAlign w:val="center"/>
                </w:tcPr>
                <w:p w14:paraId="1199F253">
                  <w:pPr>
                    <w:adjustRightInd w:val="0"/>
                    <w:snapToGrid w:val="0"/>
                    <w:jc w:val="center"/>
                    <w:rPr>
                      <w:rFonts w:hint="default" w:ascii="Times New Roman" w:hAnsi="Times New Roman" w:eastAsia="宋体" w:cs="Times New Roman"/>
                      <w:color w:val="auto"/>
                      <w:sz w:val="21"/>
                      <w:szCs w:val="21"/>
                      <w:highlight w:val="none"/>
                      <w:u w:val="none" w:color="auto"/>
                    </w:rPr>
                  </w:pPr>
                </w:p>
              </w:tc>
              <w:tc>
                <w:tcPr>
                  <w:tcW w:w="214" w:type="pct"/>
                  <w:vMerge w:val="continue"/>
                  <w:noWrap w:val="0"/>
                  <w:vAlign w:val="center"/>
                </w:tcPr>
                <w:p w14:paraId="2BC8D18D">
                  <w:pPr>
                    <w:adjustRightInd w:val="0"/>
                    <w:snapToGrid w:val="0"/>
                    <w:jc w:val="center"/>
                    <w:rPr>
                      <w:rFonts w:hint="default" w:ascii="Times New Roman" w:hAnsi="Times New Roman" w:eastAsia="宋体" w:cs="Times New Roman"/>
                      <w:color w:val="auto"/>
                      <w:sz w:val="21"/>
                      <w:szCs w:val="21"/>
                      <w:highlight w:val="none"/>
                      <w:u w:val="none" w:color="auto"/>
                    </w:rPr>
                  </w:pPr>
                </w:p>
              </w:tc>
              <w:tc>
                <w:tcPr>
                  <w:tcW w:w="303" w:type="pct"/>
                  <w:noWrap w:val="0"/>
                  <w:vAlign w:val="center"/>
                </w:tcPr>
                <w:p w14:paraId="23AA8897">
                  <w:pPr>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bidi="ar"/>
                    </w:rPr>
                    <w:t>实验室</w:t>
                  </w:r>
                  <w:r>
                    <w:rPr>
                      <w:rFonts w:hint="default" w:ascii="Times New Roman" w:hAnsi="Times New Roman" w:eastAsia="宋体" w:cs="Times New Roman"/>
                      <w:color w:val="auto"/>
                      <w:sz w:val="21"/>
                      <w:szCs w:val="21"/>
                      <w:highlight w:val="none"/>
                      <w:u w:val="none" w:color="auto"/>
                      <w:lang w:val="en-US" w:eastAsia="zh-CN" w:bidi="ar"/>
                    </w:rPr>
                    <w:t>未收集的</w:t>
                  </w:r>
                  <w:r>
                    <w:rPr>
                      <w:rFonts w:hint="default" w:ascii="Times New Roman" w:hAnsi="Times New Roman" w:eastAsia="宋体" w:cs="Times New Roman"/>
                      <w:color w:val="auto"/>
                      <w:sz w:val="21"/>
                      <w:szCs w:val="21"/>
                      <w:highlight w:val="none"/>
                      <w:u w:val="none" w:color="auto"/>
                      <w:lang w:bidi="ar"/>
                    </w:rPr>
                    <w:t>废气</w:t>
                  </w:r>
                </w:p>
              </w:tc>
              <w:tc>
                <w:tcPr>
                  <w:tcW w:w="302" w:type="pct"/>
                  <w:noWrap w:val="0"/>
                  <w:vAlign w:val="center"/>
                </w:tcPr>
                <w:p w14:paraId="29D23AAD">
                  <w:pPr>
                    <w:pStyle w:val="171"/>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氯化</w:t>
                  </w:r>
                </w:p>
                <w:p w14:paraId="639C8E3C">
                  <w:pPr>
                    <w:pStyle w:val="171"/>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氢、</w:t>
                  </w:r>
                </w:p>
                <w:p w14:paraId="1324ACF0">
                  <w:pPr>
                    <w:pStyle w:val="171"/>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硫酸</w:t>
                  </w:r>
                </w:p>
                <w:p w14:paraId="22D54CD5">
                  <w:pPr>
                    <w:pStyle w:val="171"/>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雾等</w:t>
                  </w:r>
                </w:p>
              </w:tc>
              <w:tc>
                <w:tcPr>
                  <w:tcW w:w="360" w:type="pct"/>
                  <w:noWrap w:val="0"/>
                  <w:vAlign w:val="center"/>
                </w:tcPr>
                <w:p w14:paraId="41EF7BAA">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w:t>
                  </w:r>
                </w:p>
              </w:tc>
              <w:tc>
                <w:tcPr>
                  <w:tcW w:w="324" w:type="pct"/>
                  <w:noWrap w:val="0"/>
                  <w:vAlign w:val="center"/>
                </w:tcPr>
                <w:p w14:paraId="4C7D0F30">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w:t>
                  </w:r>
                </w:p>
              </w:tc>
              <w:tc>
                <w:tcPr>
                  <w:tcW w:w="325" w:type="pct"/>
                  <w:noWrap w:val="0"/>
                  <w:vAlign w:val="center"/>
                </w:tcPr>
                <w:p w14:paraId="1A7868CF">
                  <w:pPr>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c>
                <w:tcPr>
                  <w:tcW w:w="1024" w:type="pct"/>
                  <w:vMerge w:val="continue"/>
                  <w:noWrap w:val="0"/>
                  <w:vAlign w:val="center"/>
                </w:tcPr>
                <w:p w14:paraId="39869152">
                  <w:pPr>
                    <w:adjustRightInd w:val="0"/>
                    <w:snapToGrid w:val="0"/>
                    <w:jc w:val="center"/>
                    <w:rPr>
                      <w:rFonts w:hint="default" w:ascii="Times New Roman" w:hAnsi="Times New Roman" w:eastAsia="宋体" w:cs="Times New Roman"/>
                      <w:color w:val="auto"/>
                      <w:sz w:val="21"/>
                      <w:szCs w:val="21"/>
                      <w:highlight w:val="none"/>
                      <w:u w:val="none" w:color="auto"/>
                    </w:rPr>
                  </w:pPr>
                </w:p>
              </w:tc>
              <w:tc>
                <w:tcPr>
                  <w:tcW w:w="286" w:type="pct"/>
                  <w:noWrap w:val="0"/>
                  <w:vAlign w:val="center"/>
                </w:tcPr>
                <w:p w14:paraId="1A19F53E">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w:t>
                  </w:r>
                </w:p>
              </w:tc>
              <w:tc>
                <w:tcPr>
                  <w:tcW w:w="286" w:type="pct"/>
                  <w:noWrap w:val="0"/>
                  <w:vAlign w:val="center"/>
                </w:tcPr>
                <w:p w14:paraId="7BBFEBE3">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w:t>
                  </w:r>
                </w:p>
              </w:tc>
              <w:tc>
                <w:tcPr>
                  <w:tcW w:w="215" w:type="pct"/>
                  <w:noWrap w:val="0"/>
                  <w:vAlign w:val="center"/>
                </w:tcPr>
                <w:p w14:paraId="4BC43B13">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w:t>
                  </w:r>
                </w:p>
              </w:tc>
              <w:tc>
                <w:tcPr>
                  <w:tcW w:w="360" w:type="pct"/>
                  <w:noWrap w:val="0"/>
                  <w:vAlign w:val="center"/>
                </w:tcPr>
                <w:p w14:paraId="5B5DDDE0">
                  <w:pPr>
                    <w:adjustRightInd w:val="0"/>
                    <w:snapToGrid w:val="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w:t>
                  </w:r>
                </w:p>
              </w:tc>
              <w:tc>
                <w:tcPr>
                  <w:tcW w:w="412" w:type="pct"/>
                  <w:noWrap w:val="0"/>
                  <w:vAlign w:val="center"/>
                </w:tcPr>
                <w:p w14:paraId="7158B99C">
                  <w:pPr>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c>
                <w:tcPr>
                  <w:tcW w:w="369" w:type="pct"/>
                  <w:noWrap w:val="0"/>
                  <w:vAlign w:val="center"/>
                </w:tcPr>
                <w:p w14:paraId="646FB8DF">
                  <w:pPr>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r>
          </w:tbl>
          <w:p w14:paraId="51AC5120">
            <w:pPr>
              <w:tabs>
                <w:tab w:val="left" w:pos="1081"/>
              </w:tabs>
              <w:adjustRightInd w:val="0"/>
              <w:snapToGrid w:val="0"/>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1.2本项目废气污染物排放量核算</w:t>
            </w:r>
          </w:p>
          <w:p w14:paraId="18A4BCCC">
            <w:pPr>
              <w:tabs>
                <w:tab w:val="left" w:pos="1081"/>
              </w:tabs>
              <w:adjustRightInd w:val="0"/>
              <w:snapToGrid w:val="0"/>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本项目废气污染物排放量核算见下表。</w:t>
            </w:r>
          </w:p>
          <w:p w14:paraId="642CFB1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4"/>
                <w:szCs w:val="24"/>
                <w:highlight w:val="none"/>
                <w:u w:val="none" w:color="auto"/>
                <w:lang w:val="en-US" w:eastAsia="zh-CN" w:bidi="ar-SA"/>
              </w:rPr>
            </w:pPr>
            <w:r>
              <w:rPr>
                <w:rFonts w:hint="default" w:ascii="Times New Roman" w:hAnsi="Times New Roman" w:eastAsia="宋体" w:cs="Times New Roman"/>
                <w:b/>
                <w:bCs/>
                <w:color w:val="auto"/>
                <w:kern w:val="2"/>
                <w:sz w:val="24"/>
                <w:szCs w:val="24"/>
                <w:highlight w:val="none"/>
                <w:u w:val="none" w:color="auto"/>
                <w:lang w:val="en-US" w:eastAsia="zh-CN" w:bidi="ar-SA"/>
              </w:rPr>
              <w:t>表4-</w:t>
            </w:r>
            <w:r>
              <w:rPr>
                <w:rFonts w:hint="eastAsia" w:ascii="Times New Roman" w:hAnsi="Times New Roman" w:eastAsia="宋体" w:cs="Times New Roman"/>
                <w:b/>
                <w:bCs/>
                <w:color w:val="auto"/>
                <w:kern w:val="2"/>
                <w:sz w:val="24"/>
                <w:szCs w:val="24"/>
                <w:highlight w:val="none"/>
                <w:u w:val="none" w:color="auto"/>
                <w:lang w:val="en-US" w:eastAsia="zh-CN" w:bidi="ar-SA"/>
              </w:rPr>
              <w:t>3</w:t>
            </w:r>
            <w:r>
              <w:rPr>
                <w:rFonts w:hint="default" w:ascii="Times New Roman" w:hAnsi="Times New Roman" w:eastAsia="宋体" w:cs="Times New Roman"/>
                <w:b/>
                <w:bCs/>
                <w:color w:val="auto"/>
                <w:kern w:val="2"/>
                <w:sz w:val="24"/>
                <w:szCs w:val="24"/>
                <w:highlight w:val="none"/>
                <w:u w:val="none" w:color="auto"/>
                <w:lang w:val="en-US" w:eastAsia="zh-CN" w:bidi="ar-SA"/>
              </w:rPr>
              <w:t xml:space="preserve">    工程大气污染物有组织排放量核算表</w:t>
            </w:r>
          </w:p>
          <w:tbl>
            <w:tblPr>
              <w:tblStyle w:val="35"/>
              <w:tblW w:w="4996"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434"/>
              <w:gridCol w:w="662"/>
              <w:gridCol w:w="278"/>
              <w:gridCol w:w="658"/>
              <w:gridCol w:w="658"/>
              <w:gridCol w:w="1258"/>
              <w:gridCol w:w="1076"/>
              <w:gridCol w:w="999"/>
              <w:gridCol w:w="2107"/>
              <w:gridCol w:w="973"/>
            </w:tblGrid>
            <w:tr w14:paraId="3808577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 w:type="pct"/>
                  <w:vMerge w:val="restart"/>
                  <w:noWrap w:val="0"/>
                  <w:vAlign w:val="center"/>
                </w:tcPr>
                <w:p w14:paraId="268A1323">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序号</w:t>
                  </w:r>
                </w:p>
              </w:tc>
              <w:tc>
                <w:tcPr>
                  <w:tcW w:w="490" w:type="pct"/>
                  <w:gridSpan w:val="2"/>
                  <w:vMerge w:val="restart"/>
                  <w:noWrap w:val="0"/>
                  <w:vAlign w:val="center"/>
                </w:tcPr>
                <w:p w14:paraId="4D5156AC">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排放口编号</w:t>
                  </w:r>
                </w:p>
              </w:tc>
              <w:tc>
                <w:tcPr>
                  <w:tcW w:w="372" w:type="pct"/>
                  <w:vMerge w:val="restart"/>
                  <w:noWrap w:val="0"/>
                  <w:vAlign w:val="center"/>
                </w:tcPr>
                <w:p w14:paraId="633CDF5F">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产污环节</w:t>
                  </w:r>
                </w:p>
              </w:tc>
              <w:tc>
                <w:tcPr>
                  <w:tcW w:w="372" w:type="pct"/>
                  <w:vMerge w:val="restart"/>
                  <w:noWrap w:val="0"/>
                  <w:vAlign w:val="center"/>
                </w:tcPr>
                <w:p w14:paraId="0E494EA1">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污染物</w:t>
                  </w:r>
                </w:p>
              </w:tc>
              <w:tc>
                <w:tcPr>
                  <w:tcW w:w="701" w:type="pct"/>
                  <w:vMerge w:val="restart"/>
                  <w:noWrap w:val="0"/>
                  <w:vAlign w:val="center"/>
                </w:tcPr>
                <w:p w14:paraId="57C153CF">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核算排放浓度（mg/m</w:t>
                  </w:r>
                  <w:r>
                    <w:rPr>
                      <w:rFonts w:hint="default" w:ascii="Times New Roman" w:hAnsi="Times New Roman" w:eastAsia="宋体" w:cs="Times New Roman"/>
                      <w:color w:val="auto"/>
                      <w:sz w:val="21"/>
                      <w:szCs w:val="21"/>
                      <w:highlight w:val="none"/>
                      <w:u w:val="none" w:color="auto"/>
                      <w:vertAlign w:val="superscript"/>
                    </w:rPr>
                    <w:t>3</w:t>
                  </w:r>
                  <w:r>
                    <w:rPr>
                      <w:rFonts w:hint="default" w:ascii="Times New Roman" w:hAnsi="Times New Roman" w:eastAsia="宋体" w:cs="Times New Roman"/>
                      <w:color w:val="auto"/>
                      <w:sz w:val="21"/>
                      <w:szCs w:val="21"/>
                      <w:highlight w:val="none"/>
                      <w:u w:val="none" w:color="auto"/>
                    </w:rPr>
                    <w:t>）</w:t>
                  </w:r>
                </w:p>
              </w:tc>
              <w:tc>
                <w:tcPr>
                  <w:tcW w:w="598" w:type="pct"/>
                  <w:vMerge w:val="restart"/>
                  <w:noWrap w:val="0"/>
                  <w:vAlign w:val="center"/>
                </w:tcPr>
                <w:p w14:paraId="76081A10">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核算排放速率（kg/h）</w:t>
                  </w:r>
                </w:p>
              </w:tc>
              <w:tc>
                <w:tcPr>
                  <w:tcW w:w="527" w:type="pct"/>
                  <w:vMerge w:val="restart"/>
                  <w:noWrap w:val="0"/>
                  <w:vAlign w:val="center"/>
                </w:tcPr>
                <w:p w14:paraId="0FD847AE">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核算年排放量（</w:t>
                  </w:r>
                  <w:r>
                    <w:rPr>
                      <w:rFonts w:hint="default" w:ascii="Times New Roman" w:hAnsi="Times New Roman" w:eastAsia="宋体" w:cs="Times New Roman"/>
                      <w:color w:val="auto"/>
                      <w:sz w:val="21"/>
                      <w:szCs w:val="21"/>
                      <w:highlight w:val="none"/>
                      <w:u w:val="none" w:color="auto"/>
                      <w:lang w:val="en-US" w:eastAsia="zh-CN"/>
                    </w:rPr>
                    <w:t>kg</w:t>
                  </w:r>
                  <w:r>
                    <w:rPr>
                      <w:rFonts w:hint="default" w:ascii="Times New Roman" w:hAnsi="Times New Roman" w:eastAsia="宋体" w:cs="Times New Roman"/>
                      <w:color w:val="auto"/>
                      <w:sz w:val="21"/>
                      <w:szCs w:val="21"/>
                      <w:highlight w:val="none"/>
                      <w:u w:val="none" w:color="auto"/>
                    </w:rPr>
                    <w:t>/a）</w:t>
                  </w:r>
                </w:p>
              </w:tc>
              <w:tc>
                <w:tcPr>
                  <w:tcW w:w="1687" w:type="pct"/>
                  <w:gridSpan w:val="2"/>
                  <w:noWrap w:val="0"/>
                  <w:vAlign w:val="center"/>
                </w:tcPr>
                <w:p w14:paraId="124053F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排放标准mg/m</w:t>
                  </w:r>
                  <w:r>
                    <w:rPr>
                      <w:rFonts w:hint="default" w:ascii="Times New Roman" w:hAnsi="Times New Roman" w:eastAsia="宋体" w:cs="Times New Roman"/>
                      <w:color w:val="auto"/>
                      <w:sz w:val="21"/>
                      <w:szCs w:val="21"/>
                      <w:highlight w:val="none"/>
                      <w:u w:val="none" w:color="auto"/>
                      <w:vertAlign w:val="superscript"/>
                    </w:rPr>
                    <w:t>3</w:t>
                  </w:r>
                </w:p>
              </w:tc>
            </w:tr>
            <w:tr w14:paraId="6A350CA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 w:type="pct"/>
                  <w:vMerge w:val="continue"/>
                  <w:noWrap w:val="0"/>
                  <w:vAlign w:val="center"/>
                </w:tcPr>
                <w:p w14:paraId="7DC05DE2">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p>
              </w:tc>
              <w:tc>
                <w:tcPr>
                  <w:tcW w:w="490" w:type="pct"/>
                  <w:gridSpan w:val="2"/>
                  <w:vMerge w:val="continue"/>
                  <w:noWrap w:val="0"/>
                  <w:vAlign w:val="center"/>
                </w:tcPr>
                <w:p w14:paraId="29D0F2E2">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p>
              </w:tc>
              <w:tc>
                <w:tcPr>
                  <w:tcW w:w="372" w:type="pct"/>
                  <w:vMerge w:val="continue"/>
                  <w:noWrap w:val="0"/>
                  <w:vAlign w:val="center"/>
                </w:tcPr>
                <w:p w14:paraId="7B487009">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p>
              </w:tc>
              <w:tc>
                <w:tcPr>
                  <w:tcW w:w="372" w:type="pct"/>
                  <w:vMerge w:val="continue"/>
                  <w:noWrap w:val="0"/>
                  <w:vAlign w:val="center"/>
                </w:tcPr>
                <w:p w14:paraId="55CD0908">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p>
              </w:tc>
              <w:tc>
                <w:tcPr>
                  <w:tcW w:w="701" w:type="pct"/>
                  <w:vMerge w:val="continue"/>
                  <w:noWrap w:val="0"/>
                  <w:vAlign w:val="center"/>
                </w:tcPr>
                <w:p w14:paraId="73137C75">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p>
              </w:tc>
              <w:tc>
                <w:tcPr>
                  <w:tcW w:w="598" w:type="pct"/>
                  <w:vMerge w:val="continue"/>
                  <w:noWrap w:val="0"/>
                  <w:vAlign w:val="center"/>
                </w:tcPr>
                <w:p w14:paraId="7BEA2D47">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p>
              </w:tc>
              <w:tc>
                <w:tcPr>
                  <w:tcW w:w="527" w:type="pct"/>
                  <w:vMerge w:val="continue"/>
                  <w:noWrap w:val="0"/>
                  <w:vAlign w:val="center"/>
                </w:tcPr>
                <w:p w14:paraId="72A18236">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p>
              </w:tc>
              <w:tc>
                <w:tcPr>
                  <w:tcW w:w="1143" w:type="pct"/>
                  <w:noWrap w:val="0"/>
                  <w:vAlign w:val="center"/>
                </w:tcPr>
                <w:p w14:paraId="0643BE74">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标准名称</w:t>
                  </w:r>
                </w:p>
              </w:tc>
              <w:tc>
                <w:tcPr>
                  <w:tcW w:w="543" w:type="pct"/>
                  <w:noWrap w:val="0"/>
                  <w:vAlign w:val="center"/>
                </w:tcPr>
                <w:p w14:paraId="2D959551">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浓度限值mg/m</w:t>
                  </w:r>
                  <w:r>
                    <w:rPr>
                      <w:rFonts w:hint="default" w:ascii="Times New Roman" w:hAnsi="Times New Roman" w:eastAsia="宋体" w:cs="Times New Roman"/>
                      <w:color w:val="auto"/>
                      <w:sz w:val="21"/>
                      <w:szCs w:val="21"/>
                      <w:highlight w:val="none"/>
                      <w:u w:val="none" w:color="auto"/>
                      <w:vertAlign w:val="superscript"/>
                    </w:rPr>
                    <w:t>3</w:t>
                  </w:r>
                </w:p>
              </w:tc>
            </w:tr>
            <w:tr w14:paraId="3828074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 w:type="pct"/>
                  <w:vMerge w:val="restart"/>
                  <w:noWrap w:val="0"/>
                  <w:vAlign w:val="center"/>
                </w:tcPr>
                <w:p w14:paraId="40517623">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w:t>
                  </w:r>
                </w:p>
              </w:tc>
              <w:tc>
                <w:tcPr>
                  <w:tcW w:w="490" w:type="pct"/>
                  <w:gridSpan w:val="2"/>
                  <w:vMerge w:val="restart"/>
                  <w:noWrap w:val="0"/>
                  <w:vAlign w:val="center"/>
                </w:tcPr>
                <w:p w14:paraId="1FFD1D2D">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DA00</w:t>
                  </w:r>
                  <w:r>
                    <w:rPr>
                      <w:rFonts w:hint="default" w:ascii="Times New Roman" w:hAnsi="Times New Roman" w:eastAsia="宋体" w:cs="Times New Roman"/>
                      <w:color w:val="auto"/>
                      <w:sz w:val="21"/>
                      <w:szCs w:val="21"/>
                      <w:highlight w:val="none"/>
                      <w:u w:val="none" w:color="auto"/>
                      <w:lang w:val="en-US" w:eastAsia="zh-CN"/>
                    </w:rPr>
                    <w:t>1</w:t>
                  </w:r>
                </w:p>
              </w:tc>
              <w:tc>
                <w:tcPr>
                  <w:tcW w:w="372" w:type="pct"/>
                  <w:vMerge w:val="restart"/>
                  <w:noWrap w:val="0"/>
                  <w:vAlign w:val="center"/>
                </w:tcPr>
                <w:p w14:paraId="75BFF8D4">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实验室废气</w:t>
                  </w:r>
                </w:p>
              </w:tc>
              <w:tc>
                <w:tcPr>
                  <w:tcW w:w="372" w:type="pct"/>
                  <w:vMerge w:val="restart"/>
                  <w:noWrap w:val="0"/>
                  <w:vAlign w:val="center"/>
                </w:tcPr>
                <w:p w14:paraId="0D49A143">
                  <w:pPr>
                    <w:pStyle w:val="171"/>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氯化</w:t>
                  </w:r>
                </w:p>
                <w:p w14:paraId="7E846170">
                  <w:pPr>
                    <w:pStyle w:val="171"/>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氢</w:t>
                  </w:r>
                </w:p>
              </w:tc>
              <w:tc>
                <w:tcPr>
                  <w:tcW w:w="701" w:type="pct"/>
                  <w:vMerge w:val="restart"/>
                  <w:noWrap w:val="0"/>
                  <w:vAlign w:val="center"/>
                </w:tcPr>
                <w:p w14:paraId="68C3C27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c>
                <w:tcPr>
                  <w:tcW w:w="598" w:type="pct"/>
                  <w:vMerge w:val="restart"/>
                  <w:noWrap w:val="0"/>
                  <w:vAlign w:val="center"/>
                </w:tcPr>
                <w:p w14:paraId="6EE41F5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w:t>
                  </w:r>
                </w:p>
              </w:tc>
              <w:tc>
                <w:tcPr>
                  <w:tcW w:w="527" w:type="pct"/>
                  <w:vMerge w:val="restart"/>
                  <w:noWrap w:val="0"/>
                  <w:vAlign w:val="center"/>
                </w:tcPr>
                <w:p w14:paraId="40D4F93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w:t>
                  </w:r>
                </w:p>
              </w:tc>
              <w:tc>
                <w:tcPr>
                  <w:tcW w:w="1143" w:type="pct"/>
                  <w:noWrap w:val="0"/>
                  <w:vAlign w:val="center"/>
                </w:tcPr>
                <w:p w14:paraId="3C41330D">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《大气污染物综合排放标准》（GB16297-1996）表2中二级标准</w:t>
                  </w:r>
                </w:p>
              </w:tc>
              <w:tc>
                <w:tcPr>
                  <w:tcW w:w="543" w:type="pct"/>
                  <w:noWrap w:val="0"/>
                  <w:vAlign w:val="center"/>
                </w:tcPr>
                <w:p w14:paraId="39EA6526">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100</w:t>
                  </w:r>
                </w:p>
              </w:tc>
            </w:tr>
            <w:tr w14:paraId="7F941DF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 w:type="pct"/>
                  <w:vMerge w:val="continue"/>
                  <w:noWrap w:val="0"/>
                  <w:vAlign w:val="center"/>
                </w:tcPr>
                <w:p w14:paraId="318C236E">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p>
              </w:tc>
              <w:tc>
                <w:tcPr>
                  <w:tcW w:w="490" w:type="pct"/>
                  <w:gridSpan w:val="2"/>
                  <w:vMerge w:val="continue"/>
                  <w:noWrap w:val="0"/>
                  <w:vAlign w:val="center"/>
                </w:tcPr>
                <w:p w14:paraId="6C701B5B">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p>
              </w:tc>
              <w:tc>
                <w:tcPr>
                  <w:tcW w:w="372" w:type="pct"/>
                  <w:vMerge w:val="continue"/>
                  <w:noWrap w:val="0"/>
                  <w:vAlign w:val="center"/>
                </w:tcPr>
                <w:p w14:paraId="417F120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372" w:type="pct"/>
                  <w:noWrap w:val="0"/>
                  <w:vAlign w:val="center"/>
                </w:tcPr>
                <w:p w14:paraId="1E3E9B74">
                  <w:pPr>
                    <w:pStyle w:val="171"/>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硫酸</w:t>
                  </w:r>
                </w:p>
                <w:p w14:paraId="6419A02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雾</w:t>
                  </w:r>
                </w:p>
              </w:tc>
              <w:tc>
                <w:tcPr>
                  <w:tcW w:w="701" w:type="pct"/>
                  <w:noWrap w:val="0"/>
                  <w:vAlign w:val="center"/>
                </w:tcPr>
                <w:p w14:paraId="665685A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w:t>
                  </w:r>
                </w:p>
              </w:tc>
              <w:tc>
                <w:tcPr>
                  <w:tcW w:w="598" w:type="pct"/>
                  <w:noWrap w:val="0"/>
                  <w:vAlign w:val="center"/>
                </w:tcPr>
                <w:p w14:paraId="1A4CE84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w:t>
                  </w:r>
                </w:p>
              </w:tc>
              <w:tc>
                <w:tcPr>
                  <w:tcW w:w="527" w:type="pct"/>
                  <w:noWrap w:val="0"/>
                  <w:vAlign w:val="center"/>
                </w:tcPr>
                <w:p w14:paraId="7CA20B8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w:t>
                  </w:r>
                </w:p>
              </w:tc>
              <w:tc>
                <w:tcPr>
                  <w:tcW w:w="1143" w:type="pct"/>
                  <w:noWrap w:val="0"/>
                  <w:vAlign w:val="center"/>
                </w:tcPr>
                <w:p w14:paraId="04C001F5">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《大气污染物综合排放标准》（GB16297-1996）表2中二级标准</w:t>
                  </w:r>
                </w:p>
              </w:tc>
              <w:tc>
                <w:tcPr>
                  <w:tcW w:w="543" w:type="pct"/>
                  <w:noWrap w:val="0"/>
                  <w:vAlign w:val="center"/>
                </w:tcPr>
                <w:p w14:paraId="33FB0BD6">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45</w:t>
                  </w:r>
                </w:p>
              </w:tc>
            </w:tr>
            <w:tr w14:paraId="47BE5D7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 w:type="pct"/>
                  <w:vMerge w:val="restart"/>
                  <w:noWrap w:val="0"/>
                  <w:vAlign w:val="center"/>
                </w:tcPr>
                <w:p w14:paraId="67932979">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w:t>
                  </w:r>
                </w:p>
              </w:tc>
              <w:tc>
                <w:tcPr>
                  <w:tcW w:w="490" w:type="pct"/>
                  <w:gridSpan w:val="2"/>
                  <w:vMerge w:val="restart"/>
                  <w:noWrap w:val="0"/>
                  <w:vAlign w:val="center"/>
                </w:tcPr>
                <w:p w14:paraId="17639802">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DA0002</w:t>
                  </w:r>
                </w:p>
              </w:tc>
              <w:tc>
                <w:tcPr>
                  <w:tcW w:w="372" w:type="pct"/>
                  <w:vMerge w:val="restart"/>
                  <w:noWrap w:val="0"/>
                  <w:vAlign w:val="center"/>
                </w:tcPr>
                <w:p w14:paraId="3B73ABA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餐厅</w:t>
                  </w:r>
                  <w:r>
                    <w:rPr>
                      <w:rFonts w:hint="default" w:ascii="Times New Roman" w:hAnsi="Times New Roman" w:eastAsia="宋体" w:cs="Times New Roman"/>
                      <w:color w:val="auto"/>
                      <w:sz w:val="21"/>
                      <w:szCs w:val="21"/>
                      <w:highlight w:val="none"/>
                      <w:u w:val="none" w:color="auto"/>
                      <w:lang w:val="en-US" w:eastAsia="zh-CN"/>
                    </w:rPr>
                    <w:t>废气</w:t>
                  </w:r>
                </w:p>
              </w:tc>
              <w:tc>
                <w:tcPr>
                  <w:tcW w:w="372" w:type="pct"/>
                  <w:noWrap w:val="0"/>
                  <w:vAlign w:val="center"/>
                </w:tcPr>
                <w:p w14:paraId="0A8BCAAE">
                  <w:pPr>
                    <w:pStyle w:val="171"/>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油烟</w:t>
                  </w:r>
                </w:p>
              </w:tc>
              <w:tc>
                <w:tcPr>
                  <w:tcW w:w="701" w:type="pct"/>
                  <w:noWrap w:val="0"/>
                  <w:vAlign w:val="center"/>
                </w:tcPr>
                <w:p w14:paraId="40E949A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0.85</w:t>
                  </w:r>
                </w:p>
              </w:tc>
              <w:tc>
                <w:tcPr>
                  <w:tcW w:w="598" w:type="pct"/>
                  <w:noWrap w:val="0"/>
                  <w:vAlign w:val="center"/>
                </w:tcPr>
                <w:p w14:paraId="0F68C7A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0.027</w:t>
                  </w:r>
                </w:p>
              </w:tc>
              <w:tc>
                <w:tcPr>
                  <w:tcW w:w="527" w:type="pct"/>
                  <w:noWrap w:val="0"/>
                  <w:vAlign w:val="center"/>
                </w:tcPr>
                <w:p w14:paraId="435DC07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32.44</w:t>
                  </w:r>
                </w:p>
              </w:tc>
              <w:tc>
                <w:tcPr>
                  <w:tcW w:w="1143" w:type="pct"/>
                  <w:noWrap w:val="0"/>
                  <w:vAlign w:val="center"/>
                </w:tcPr>
                <w:p w14:paraId="75C40277">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《餐饮业油烟污染物排放标准》（DB41/1604-2018）表1，</w:t>
                  </w:r>
                  <w:r>
                    <w:rPr>
                      <w:rFonts w:hint="default" w:ascii="Times New Roman" w:hAnsi="Times New Roman" w:eastAsia="宋体" w:cs="Times New Roman"/>
                      <w:color w:val="auto"/>
                      <w:sz w:val="21"/>
                      <w:szCs w:val="21"/>
                      <w:highlight w:val="none"/>
                      <w:u w:val="none" w:color="auto"/>
                      <w:lang w:val="en-US" w:eastAsia="zh-CN"/>
                    </w:rPr>
                    <w:t>大</w:t>
                  </w:r>
                  <w:r>
                    <w:rPr>
                      <w:rFonts w:hint="default" w:ascii="Times New Roman" w:hAnsi="Times New Roman" w:eastAsia="宋体" w:cs="Times New Roman"/>
                      <w:color w:val="auto"/>
                      <w:sz w:val="21"/>
                      <w:szCs w:val="21"/>
                      <w:highlight w:val="none"/>
                      <w:u w:val="none" w:color="auto"/>
                    </w:rPr>
                    <w:t>型标准</w:t>
                  </w:r>
                </w:p>
              </w:tc>
              <w:tc>
                <w:tcPr>
                  <w:tcW w:w="543" w:type="pct"/>
                  <w:noWrap w:val="0"/>
                  <w:vAlign w:val="center"/>
                </w:tcPr>
                <w:p w14:paraId="3E5AA52D">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w:t>
                  </w:r>
                </w:p>
              </w:tc>
            </w:tr>
            <w:tr w14:paraId="1C40349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 w:type="pct"/>
                  <w:vMerge w:val="continue"/>
                  <w:noWrap w:val="0"/>
                  <w:vAlign w:val="center"/>
                </w:tcPr>
                <w:p w14:paraId="1EEF5598">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490" w:type="pct"/>
                  <w:gridSpan w:val="2"/>
                  <w:vMerge w:val="continue"/>
                  <w:noWrap w:val="0"/>
                  <w:vAlign w:val="center"/>
                </w:tcPr>
                <w:p w14:paraId="1D4F46CF">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372" w:type="pct"/>
                  <w:vMerge w:val="continue"/>
                  <w:noWrap w:val="0"/>
                  <w:vAlign w:val="center"/>
                </w:tcPr>
                <w:p w14:paraId="353E6BC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p>
              </w:tc>
              <w:tc>
                <w:tcPr>
                  <w:tcW w:w="372" w:type="pct"/>
                  <w:noWrap w:val="0"/>
                  <w:vAlign w:val="center"/>
                </w:tcPr>
                <w:p w14:paraId="7EE947A4">
                  <w:pPr>
                    <w:pStyle w:val="171"/>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非甲烷总烃</w:t>
                  </w:r>
                </w:p>
              </w:tc>
              <w:tc>
                <w:tcPr>
                  <w:tcW w:w="701" w:type="pct"/>
                  <w:noWrap w:val="0"/>
                  <w:vAlign w:val="center"/>
                </w:tcPr>
                <w:p w14:paraId="2B0AB00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4.73</w:t>
                  </w:r>
                </w:p>
              </w:tc>
              <w:tc>
                <w:tcPr>
                  <w:tcW w:w="598" w:type="pct"/>
                  <w:noWrap w:val="0"/>
                  <w:vAlign w:val="center"/>
                </w:tcPr>
                <w:p w14:paraId="7C1DBD3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0.15</w:t>
                  </w:r>
                </w:p>
              </w:tc>
              <w:tc>
                <w:tcPr>
                  <w:tcW w:w="527" w:type="pct"/>
                  <w:noWrap w:val="0"/>
                  <w:vAlign w:val="center"/>
                </w:tcPr>
                <w:p w14:paraId="2EE0010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180</w:t>
                  </w:r>
                </w:p>
              </w:tc>
              <w:tc>
                <w:tcPr>
                  <w:tcW w:w="1143" w:type="pct"/>
                  <w:noWrap w:val="0"/>
                  <w:vAlign w:val="center"/>
                </w:tcPr>
                <w:p w14:paraId="139DA54D">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《餐饮业油烟污染物排放标准》（DB41/1604-2018）表1，</w:t>
                  </w:r>
                  <w:r>
                    <w:rPr>
                      <w:rFonts w:hint="default" w:ascii="Times New Roman" w:hAnsi="Times New Roman" w:eastAsia="宋体" w:cs="Times New Roman"/>
                      <w:color w:val="auto"/>
                      <w:sz w:val="21"/>
                      <w:szCs w:val="21"/>
                      <w:highlight w:val="none"/>
                      <w:u w:val="none" w:color="auto"/>
                      <w:lang w:val="en-US" w:eastAsia="zh-CN"/>
                    </w:rPr>
                    <w:t>大</w:t>
                  </w:r>
                  <w:r>
                    <w:rPr>
                      <w:rFonts w:hint="default" w:ascii="Times New Roman" w:hAnsi="Times New Roman" w:eastAsia="宋体" w:cs="Times New Roman"/>
                      <w:color w:val="auto"/>
                      <w:sz w:val="21"/>
                      <w:szCs w:val="21"/>
                      <w:highlight w:val="none"/>
                      <w:u w:val="none" w:color="auto"/>
                    </w:rPr>
                    <w:t>型标准</w:t>
                  </w:r>
                </w:p>
              </w:tc>
              <w:tc>
                <w:tcPr>
                  <w:tcW w:w="543" w:type="pct"/>
                  <w:noWrap w:val="0"/>
                  <w:vAlign w:val="center"/>
                </w:tcPr>
                <w:p w14:paraId="63D04DAB">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10</w:t>
                  </w:r>
                </w:p>
              </w:tc>
            </w:tr>
            <w:tr w14:paraId="553A031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4" w:type="pct"/>
                  <w:gridSpan w:val="2"/>
                  <w:vMerge w:val="restart"/>
                  <w:tcBorders>
                    <w:right w:val="single" w:color="auto" w:sz="6" w:space="0"/>
                  </w:tcBorders>
                  <w:noWrap w:val="0"/>
                  <w:vAlign w:val="center"/>
                </w:tcPr>
                <w:p w14:paraId="15DC7AD5">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有组织排放合计</w:t>
                  </w:r>
                </w:p>
              </w:tc>
              <w:tc>
                <w:tcPr>
                  <w:tcW w:w="2191" w:type="pct"/>
                  <w:gridSpan w:val="5"/>
                  <w:tcBorders>
                    <w:left w:val="single" w:color="auto" w:sz="6" w:space="0"/>
                  </w:tcBorders>
                  <w:noWrap w:val="0"/>
                  <w:vAlign w:val="center"/>
                </w:tcPr>
                <w:p w14:paraId="37A34171">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油烟</w:t>
                  </w:r>
                </w:p>
              </w:tc>
              <w:tc>
                <w:tcPr>
                  <w:tcW w:w="2214" w:type="pct"/>
                  <w:gridSpan w:val="3"/>
                  <w:noWrap w:val="0"/>
                  <w:vAlign w:val="center"/>
                </w:tcPr>
                <w:p w14:paraId="5206D63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32.44kg</w:t>
                  </w:r>
                  <w:r>
                    <w:rPr>
                      <w:rFonts w:hint="default" w:ascii="Times New Roman" w:hAnsi="Times New Roman" w:eastAsia="宋体" w:cs="Times New Roman"/>
                      <w:color w:val="auto"/>
                      <w:sz w:val="21"/>
                      <w:szCs w:val="21"/>
                      <w:highlight w:val="none"/>
                      <w:u w:val="none" w:color="auto"/>
                    </w:rPr>
                    <w:t>/a</w:t>
                  </w:r>
                </w:p>
              </w:tc>
            </w:tr>
            <w:tr w14:paraId="7B21DC0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4" w:type="pct"/>
                  <w:gridSpan w:val="2"/>
                  <w:vMerge w:val="continue"/>
                  <w:tcBorders>
                    <w:right w:val="single" w:color="auto" w:sz="6" w:space="0"/>
                  </w:tcBorders>
                  <w:noWrap w:val="0"/>
                  <w:vAlign w:val="center"/>
                </w:tcPr>
                <w:p w14:paraId="0351F67A">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p>
              </w:tc>
              <w:tc>
                <w:tcPr>
                  <w:tcW w:w="2191" w:type="pct"/>
                  <w:gridSpan w:val="5"/>
                  <w:tcBorders>
                    <w:left w:val="single" w:color="auto" w:sz="6" w:space="0"/>
                  </w:tcBorders>
                  <w:noWrap w:val="0"/>
                  <w:vAlign w:val="center"/>
                </w:tcPr>
                <w:p w14:paraId="1A38FC13">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非甲烷总烃</w:t>
                  </w:r>
                </w:p>
              </w:tc>
              <w:tc>
                <w:tcPr>
                  <w:tcW w:w="2214" w:type="pct"/>
                  <w:gridSpan w:val="3"/>
                  <w:noWrap w:val="0"/>
                  <w:vAlign w:val="center"/>
                </w:tcPr>
                <w:p w14:paraId="1F529C1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180kg</w:t>
                  </w:r>
                  <w:r>
                    <w:rPr>
                      <w:rFonts w:hint="default" w:ascii="Times New Roman" w:hAnsi="Times New Roman" w:eastAsia="宋体" w:cs="Times New Roman"/>
                      <w:color w:val="auto"/>
                      <w:sz w:val="21"/>
                      <w:szCs w:val="21"/>
                      <w:highlight w:val="none"/>
                      <w:u w:val="none" w:color="auto"/>
                    </w:rPr>
                    <w:t>/a</w:t>
                  </w:r>
                </w:p>
              </w:tc>
            </w:tr>
          </w:tbl>
          <w:p w14:paraId="3241027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4"/>
                <w:szCs w:val="24"/>
                <w:highlight w:val="none"/>
                <w:u w:val="none" w:color="auto"/>
                <w:lang w:val="en-US" w:eastAsia="zh-CN" w:bidi="ar-SA"/>
              </w:rPr>
            </w:pPr>
            <w:r>
              <w:rPr>
                <w:rFonts w:hint="default" w:ascii="Times New Roman" w:hAnsi="Times New Roman" w:eastAsia="宋体" w:cs="Times New Roman"/>
                <w:b/>
                <w:bCs/>
                <w:color w:val="auto"/>
                <w:kern w:val="2"/>
                <w:sz w:val="24"/>
                <w:szCs w:val="24"/>
                <w:highlight w:val="none"/>
                <w:u w:val="none" w:color="auto"/>
                <w:lang w:val="en-US" w:eastAsia="zh-CN" w:bidi="ar-SA"/>
              </w:rPr>
              <w:t>表4-</w:t>
            </w:r>
            <w:r>
              <w:rPr>
                <w:rFonts w:hint="eastAsia" w:ascii="Times New Roman" w:hAnsi="Times New Roman" w:eastAsia="宋体" w:cs="Times New Roman"/>
                <w:b/>
                <w:bCs/>
                <w:color w:val="auto"/>
                <w:kern w:val="2"/>
                <w:sz w:val="24"/>
                <w:szCs w:val="24"/>
                <w:highlight w:val="none"/>
                <w:u w:val="none" w:color="auto"/>
                <w:lang w:val="en-US" w:eastAsia="zh-CN" w:bidi="ar-SA"/>
              </w:rPr>
              <w:t>4</w:t>
            </w:r>
            <w:r>
              <w:rPr>
                <w:rFonts w:hint="default" w:ascii="Times New Roman" w:hAnsi="Times New Roman" w:eastAsia="宋体" w:cs="Times New Roman"/>
                <w:b/>
                <w:bCs/>
                <w:color w:val="auto"/>
                <w:kern w:val="2"/>
                <w:sz w:val="24"/>
                <w:szCs w:val="24"/>
                <w:highlight w:val="none"/>
                <w:u w:val="none" w:color="auto"/>
                <w:lang w:val="en-US" w:eastAsia="zh-CN" w:bidi="ar-SA"/>
              </w:rPr>
              <w:t xml:space="preserve">    工程大气污染物无组织排放量核算表</w:t>
            </w:r>
          </w:p>
          <w:tbl>
            <w:tblPr>
              <w:tblStyle w:val="35"/>
              <w:tblW w:w="4998"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508"/>
              <w:gridCol w:w="1548"/>
              <w:gridCol w:w="679"/>
              <w:gridCol w:w="1521"/>
              <w:gridCol w:w="2381"/>
              <w:gridCol w:w="1155"/>
              <w:gridCol w:w="860"/>
            </w:tblGrid>
            <w:tr w14:paraId="51A9F33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 w:type="pct"/>
                  <w:vMerge w:val="restart"/>
                  <w:noWrap w:val="0"/>
                  <w:vAlign w:val="center"/>
                </w:tcPr>
                <w:p w14:paraId="70F3CE91">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序号</w:t>
                  </w:r>
                </w:p>
              </w:tc>
              <w:tc>
                <w:tcPr>
                  <w:tcW w:w="279" w:type="pct"/>
                  <w:vMerge w:val="restart"/>
                  <w:noWrap w:val="0"/>
                  <w:vAlign w:val="center"/>
                </w:tcPr>
                <w:p w14:paraId="702DF444">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排放口编号</w:t>
                  </w:r>
                </w:p>
              </w:tc>
              <w:tc>
                <w:tcPr>
                  <w:tcW w:w="848" w:type="pct"/>
                  <w:vMerge w:val="restart"/>
                  <w:noWrap w:val="0"/>
                  <w:vAlign w:val="center"/>
                </w:tcPr>
                <w:p w14:paraId="5A0E8F6C">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产污环节</w:t>
                  </w:r>
                </w:p>
              </w:tc>
              <w:tc>
                <w:tcPr>
                  <w:tcW w:w="373" w:type="pct"/>
                  <w:vMerge w:val="restart"/>
                  <w:noWrap w:val="0"/>
                  <w:vAlign w:val="center"/>
                </w:tcPr>
                <w:p w14:paraId="4310A761">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污染物</w:t>
                  </w:r>
                </w:p>
              </w:tc>
              <w:tc>
                <w:tcPr>
                  <w:tcW w:w="835" w:type="pct"/>
                  <w:vMerge w:val="restart"/>
                  <w:noWrap w:val="0"/>
                  <w:vAlign w:val="center"/>
                </w:tcPr>
                <w:p w14:paraId="733E6D38">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主要污染防治措施</w:t>
                  </w:r>
                </w:p>
              </w:tc>
              <w:tc>
                <w:tcPr>
                  <w:tcW w:w="1940" w:type="pct"/>
                  <w:gridSpan w:val="2"/>
                  <w:noWrap w:val="0"/>
                  <w:vAlign w:val="center"/>
                </w:tcPr>
                <w:p w14:paraId="7F9B52D8">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国家或地方标准</w:t>
                  </w:r>
                </w:p>
              </w:tc>
              <w:tc>
                <w:tcPr>
                  <w:tcW w:w="472" w:type="pct"/>
                  <w:vMerge w:val="restart"/>
                  <w:noWrap w:val="0"/>
                  <w:vAlign w:val="center"/>
                </w:tcPr>
                <w:p w14:paraId="085F2714">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年排放量</w:t>
                  </w:r>
                  <w:r>
                    <w:rPr>
                      <w:rFonts w:hint="default" w:ascii="Times New Roman" w:hAnsi="Times New Roman" w:eastAsia="宋体" w:cs="Times New Roman"/>
                      <w:color w:val="auto"/>
                      <w:sz w:val="21"/>
                      <w:szCs w:val="21"/>
                      <w:highlight w:val="none"/>
                      <w:u w:val="none" w:color="auto"/>
                      <w:lang w:val="en-US" w:eastAsia="zh-CN"/>
                    </w:rPr>
                    <w:t>kg</w:t>
                  </w:r>
                  <w:r>
                    <w:rPr>
                      <w:rFonts w:hint="default" w:ascii="Times New Roman" w:hAnsi="Times New Roman" w:eastAsia="宋体" w:cs="Times New Roman"/>
                      <w:color w:val="auto"/>
                      <w:sz w:val="21"/>
                      <w:szCs w:val="21"/>
                      <w:highlight w:val="none"/>
                      <w:u w:val="none" w:color="auto"/>
                    </w:rPr>
                    <w:t>/a</w:t>
                  </w:r>
                </w:p>
              </w:tc>
            </w:tr>
            <w:tr w14:paraId="506A128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 w:type="pct"/>
                  <w:vMerge w:val="continue"/>
                  <w:noWrap w:val="0"/>
                  <w:vAlign w:val="center"/>
                </w:tcPr>
                <w:p w14:paraId="01533357">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p>
              </w:tc>
              <w:tc>
                <w:tcPr>
                  <w:tcW w:w="279" w:type="pct"/>
                  <w:vMerge w:val="continue"/>
                  <w:noWrap w:val="0"/>
                  <w:vAlign w:val="center"/>
                </w:tcPr>
                <w:p w14:paraId="70CCB65B">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p>
              </w:tc>
              <w:tc>
                <w:tcPr>
                  <w:tcW w:w="848" w:type="pct"/>
                  <w:vMerge w:val="continue"/>
                  <w:noWrap w:val="0"/>
                  <w:vAlign w:val="center"/>
                </w:tcPr>
                <w:p w14:paraId="752E3289">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p>
              </w:tc>
              <w:tc>
                <w:tcPr>
                  <w:tcW w:w="373" w:type="pct"/>
                  <w:vMerge w:val="continue"/>
                  <w:noWrap w:val="0"/>
                  <w:vAlign w:val="center"/>
                </w:tcPr>
                <w:p w14:paraId="168A7A18">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p>
              </w:tc>
              <w:tc>
                <w:tcPr>
                  <w:tcW w:w="835" w:type="pct"/>
                  <w:vMerge w:val="continue"/>
                  <w:noWrap w:val="0"/>
                  <w:vAlign w:val="center"/>
                </w:tcPr>
                <w:p w14:paraId="109342AB">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p>
              </w:tc>
              <w:tc>
                <w:tcPr>
                  <w:tcW w:w="1307" w:type="pct"/>
                  <w:noWrap w:val="0"/>
                  <w:vAlign w:val="center"/>
                </w:tcPr>
                <w:p w14:paraId="43A1A1DC">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标准名称</w:t>
                  </w:r>
                </w:p>
              </w:tc>
              <w:tc>
                <w:tcPr>
                  <w:tcW w:w="632" w:type="pct"/>
                  <w:noWrap w:val="0"/>
                  <w:vAlign w:val="center"/>
                </w:tcPr>
                <w:p w14:paraId="1F39B4BD">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浓度限值mg/m</w:t>
                  </w:r>
                  <w:r>
                    <w:rPr>
                      <w:rFonts w:hint="default" w:ascii="Times New Roman" w:hAnsi="Times New Roman" w:eastAsia="宋体" w:cs="Times New Roman"/>
                      <w:color w:val="auto"/>
                      <w:sz w:val="21"/>
                      <w:szCs w:val="21"/>
                      <w:highlight w:val="none"/>
                      <w:u w:val="none" w:color="auto"/>
                      <w:vertAlign w:val="superscript"/>
                    </w:rPr>
                    <w:t>3</w:t>
                  </w:r>
                </w:p>
              </w:tc>
              <w:tc>
                <w:tcPr>
                  <w:tcW w:w="472" w:type="pct"/>
                  <w:vMerge w:val="continue"/>
                  <w:noWrap w:val="0"/>
                  <w:vAlign w:val="center"/>
                </w:tcPr>
                <w:p w14:paraId="414657E2">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p>
              </w:tc>
            </w:tr>
            <w:tr w14:paraId="12AA955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 w:type="pct"/>
                  <w:vMerge w:val="restart"/>
                  <w:noWrap w:val="0"/>
                  <w:vAlign w:val="center"/>
                </w:tcPr>
                <w:p w14:paraId="2C838C2F">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w:t>
                  </w:r>
                </w:p>
              </w:tc>
              <w:tc>
                <w:tcPr>
                  <w:tcW w:w="279" w:type="pct"/>
                  <w:vMerge w:val="restart"/>
                  <w:noWrap w:val="0"/>
                  <w:vAlign w:val="center"/>
                </w:tcPr>
                <w:p w14:paraId="3574A497">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val="en-US" w:eastAsia="zh-CN"/>
                    </w:rPr>
                    <w:t>校区</w:t>
                  </w:r>
                </w:p>
              </w:tc>
              <w:tc>
                <w:tcPr>
                  <w:tcW w:w="848" w:type="pct"/>
                  <w:vMerge w:val="restart"/>
                  <w:noWrap w:val="0"/>
                  <w:vAlign w:val="center"/>
                </w:tcPr>
                <w:p w14:paraId="01DFE9EE">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eastAsia" w:cs="Times New Roman"/>
                      <w:color w:val="auto"/>
                      <w:sz w:val="21"/>
                      <w:szCs w:val="21"/>
                      <w:highlight w:val="none"/>
                      <w:u w:val="none" w:color="auto"/>
                      <w:lang w:eastAsia="zh-CN" w:bidi="ar"/>
                    </w:rPr>
                    <w:t>餐厅</w:t>
                  </w:r>
                  <w:r>
                    <w:rPr>
                      <w:rFonts w:hint="default" w:ascii="Times New Roman" w:hAnsi="Times New Roman" w:eastAsia="宋体" w:cs="Times New Roman"/>
                      <w:color w:val="auto"/>
                      <w:sz w:val="21"/>
                      <w:szCs w:val="21"/>
                      <w:highlight w:val="none"/>
                      <w:u w:val="none" w:color="auto"/>
                      <w:lang w:val="en-US" w:eastAsia="zh-CN" w:bidi="ar"/>
                    </w:rPr>
                    <w:t>废气</w:t>
                  </w:r>
                </w:p>
              </w:tc>
              <w:tc>
                <w:tcPr>
                  <w:tcW w:w="373" w:type="pct"/>
                  <w:noWrap w:val="0"/>
                  <w:vAlign w:val="center"/>
                </w:tcPr>
                <w:p w14:paraId="0A53152B">
                  <w:pPr>
                    <w:pStyle w:val="171"/>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油烟</w:t>
                  </w:r>
                </w:p>
              </w:tc>
              <w:tc>
                <w:tcPr>
                  <w:tcW w:w="835" w:type="pct"/>
                  <w:vMerge w:val="restart"/>
                  <w:tcBorders>
                    <w:top w:val="single" w:color="auto" w:sz="4" w:space="0"/>
                  </w:tcBorders>
                  <w:noWrap w:val="0"/>
                  <w:vAlign w:val="center"/>
                </w:tcPr>
                <w:p w14:paraId="28D88B31">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bCs/>
                      <w:color w:val="auto"/>
                      <w:sz w:val="21"/>
                      <w:szCs w:val="21"/>
                      <w:highlight w:val="none"/>
                      <w:u w:val="none" w:color="auto"/>
                      <w:lang w:val="en-GB"/>
                    </w:rPr>
                  </w:pPr>
                  <w:r>
                    <w:rPr>
                      <w:rFonts w:hint="default" w:ascii="Times New Roman" w:hAnsi="Times New Roman" w:eastAsia="宋体" w:cs="Times New Roman"/>
                      <w:color w:val="auto"/>
                      <w:sz w:val="21"/>
                      <w:szCs w:val="21"/>
                      <w:highlight w:val="none"/>
                      <w:u w:val="none" w:color="auto"/>
                    </w:rPr>
                    <w:t>定期对废气环保设备维护，保证废气收集效率；</w:t>
                  </w:r>
                </w:p>
              </w:tc>
              <w:tc>
                <w:tcPr>
                  <w:tcW w:w="1307" w:type="pct"/>
                  <w:noWrap w:val="0"/>
                  <w:vAlign w:val="center"/>
                </w:tcPr>
                <w:p w14:paraId="02788284">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《大气污染物综合排放标准》（GB16297-1996）表2中标准</w:t>
                  </w:r>
                </w:p>
              </w:tc>
              <w:tc>
                <w:tcPr>
                  <w:tcW w:w="632" w:type="pct"/>
                  <w:noWrap w:val="0"/>
                  <w:vAlign w:val="center"/>
                </w:tcPr>
                <w:p w14:paraId="6BAB95F5">
                  <w:pPr>
                    <w:pStyle w:val="148"/>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1.0</w:t>
                  </w:r>
                </w:p>
              </w:tc>
              <w:tc>
                <w:tcPr>
                  <w:tcW w:w="472" w:type="pct"/>
                  <w:noWrap w:val="0"/>
                  <w:vAlign w:val="center"/>
                </w:tcPr>
                <w:p w14:paraId="6AAA446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72.08</w:t>
                  </w:r>
                </w:p>
              </w:tc>
            </w:tr>
            <w:tr w14:paraId="08890CD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 w:type="pct"/>
                  <w:vMerge w:val="continue"/>
                  <w:noWrap w:val="0"/>
                  <w:vAlign w:val="center"/>
                </w:tcPr>
                <w:p w14:paraId="55BC4034">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p>
              </w:tc>
              <w:tc>
                <w:tcPr>
                  <w:tcW w:w="279" w:type="pct"/>
                  <w:vMerge w:val="continue"/>
                  <w:noWrap w:val="0"/>
                  <w:vAlign w:val="center"/>
                </w:tcPr>
                <w:p w14:paraId="17AF765E">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p>
              </w:tc>
              <w:tc>
                <w:tcPr>
                  <w:tcW w:w="848" w:type="pct"/>
                  <w:vMerge w:val="continue"/>
                  <w:noWrap w:val="0"/>
                  <w:vAlign w:val="center"/>
                </w:tcPr>
                <w:p w14:paraId="2C3DB06A">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kern w:val="32"/>
                      <w:sz w:val="21"/>
                      <w:szCs w:val="21"/>
                      <w:highlight w:val="none"/>
                      <w:u w:val="none" w:color="auto"/>
                    </w:rPr>
                  </w:pPr>
                </w:p>
              </w:tc>
              <w:tc>
                <w:tcPr>
                  <w:tcW w:w="373" w:type="pct"/>
                  <w:noWrap w:val="0"/>
                  <w:vAlign w:val="center"/>
                </w:tcPr>
                <w:p w14:paraId="158278FA">
                  <w:pPr>
                    <w:pStyle w:val="171"/>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非甲烷总烃</w:t>
                  </w:r>
                </w:p>
              </w:tc>
              <w:tc>
                <w:tcPr>
                  <w:tcW w:w="835" w:type="pct"/>
                  <w:vMerge w:val="continue"/>
                  <w:noWrap w:val="0"/>
                  <w:vAlign w:val="center"/>
                </w:tcPr>
                <w:p w14:paraId="772DC88D">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bCs/>
                      <w:color w:val="auto"/>
                      <w:sz w:val="21"/>
                      <w:szCs w:val="21"/>
                      <w:highlight w:val="none"/>
                      <w:u w:val="none" w:color="auto"/>
                      <w:lang w:val="en-GB"/>
                    </w:rPr>
                  </w:pPr>
                </w:p>
              </w:tc>
              <w:tc>
                <w:tcPr>
                  <w:tcW w:w="1307" w:type="pct"/>
                  <w:noWrap w:val="0"/>
                  <w:vAlign w:val="center"/>
                </w:tcPr>
                <w:p w14:paraId="26EC86AE">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《大气污染物综合排放标准》（GB16297-1996）表2中标准</w:t>
                  </w:r>
                </w:p>
              </w:tc>
              <w:tc>
                <w:tcPr>
                  <w:tcW w:w="632" w:type="pct"/>
                  <w:noWrap w:val="0"/>
                  <w:vAlign w:val="center"/>
                </w:tcPr>
                <w:p w14:paraId="40769217">
                  <w:pPr>
                    <w:pStyle w:val="148"/>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4.0</w:t>
                  </w:r>
                </w:p>
              </w:tc>
              <w:tc>
                <w:tcPr>
                  <w:tcW w:w="472" w:type="pct"/>
                  <w:noWrap w:val="0"/>
                  <w:vAlign w:val="center"/>
                </w:tcPr>
                <w:p w14:paraId="1BC9E98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50</w:t>
                  </w:r>
                </w:p>
              </w:tc>
            </w:tr>
            <w:tr w14:paraId="65AB732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 w:type="pct"/>
                  <w:vMerge w:val="continue"/>
                  <w:noWrap w:val="0"/>
                  <w:vAlign w:val="center"/>
                </w:tcPr>
                <w:p w14:paraId="48E18F06">
                  <w:pPr>
                    <w:pStyle w:val="148"/>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p>
              </w:tc>
              <w:tc>
                <w:tcPr>
                  <w:tcW w:w="279" w:type="pct"/>
                  <w:vMerge w:val="continue"/>
                  <w:noWrap w:val="0"/>
                  <w:vAlign w:val="center"/>
                </w:tcPr>
                <w:p w14:paraId="7DF62FF4">
                  <w:pPr>
                    <w:pStyle w:val="148"/>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p>
              </w:tc>
              <w:tc>
                <w:tcPr>
                  <w:tcW w:w="848" w:type="pct"/>
                  <w:vMerge w:val="restart"/>
                  <w:noWrap w:val="0"/>
                  <w:vAlign w:val="center"/>
                </w:tcPr>
                <w:p w14:paraId="6DBD4DF8">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bidi="ar"/>
                    </w:rPr>
                    <w:t>实验室</w:t>
                  </w:r>
                  <w:r>
                    <w:rPr>
                      <w:rFonts w:hint="default" w:ascii="Times New Roman" w:hAnsi="Times New Roman" w:eastAsia="宋体" w:cs="Times New Roman"/>
                      <w:color w:val="auto"/>
                      <w:sz w:val="21"/>
                      <w:szCs w:val="21"/>
                      <w:highlight w:val="none"/>
                      <w:u w:val="none" w:color="auto"/>
                      <w:lang w:val="en-US" w:eastAsia="zh-CN" w:bidi="ar"/>
                    </w:rPr>
                    <w:t>未收集的</w:t>
                  </w:r>
                  <w:r>
                    <w:rPr>
                      <w:rFonts w:hint="default" w:ascii="Times New Roman" w:hAnsi="Times New Roman" w:eastAsia="宋体" w:cs="Times New Roman"/>
                      <w:color w:val="auto"/>
                      <w:sz w:val="21"/>
                      <w:szCs w:val="21"/>
                      <w:highlight w:val="none"/>
                      <w:u w:val="none" w:color="auto"/>
                      <w:lang w:bidi="ar"/>
                    </w:rPr>
                    <w:t>废气</w:t>
                  </w:r>
                </w:p>
              </w:tc>
              <w:tc>
                <w:tcPr>
                  <w:tcW w:w="373" w:type="pct"/>
                  <w:noWrap w:val="0"/>
                  <w:vAlign w:val="center"/>
                </w:tcPr>
                <w:p w14:paraId="49394CD6">
                  <w:pPr>
                    <w:pStyle w:val="171"/>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氯化</w:t>
                  </w:r>
                </w:p>
                <w:p w14:paraId="280DD8AC">
                  <w:pPr>
                    <w:pStyle w:val="171"/>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氢</w:t>
                  </w:r>
                </w:p>
              </w:tc>
              <w:tc>
                <w:tcPr>
                  <w:tcW w:w="835" w:type="pct"/>
                  <w:vMerge w:val="continue"/>
                  <w:noWrap w:val="0"/>
                  <w:vAlign w:val="center"/>
                </w:tcPr>
                <w:p w14:paraId="20C25E7E">
                  <w:pPr>
                    <w:pStyle w:val="148"/>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p>
              </w:tc>
              <w:tc>
                <w:tcPr>
                  <w:tcW w:w="1307" w:type="pct"/>
                  <w:noWrap w:val="0"/>
                  <w:vAlign w:val="center"/>
                </w:tcPr>
                <w:p w14:paraId="15DF2365">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《大气污染物综合排放标准》（GB16297-1996）表2中标准</w:t>
                  </w:r>
                </w:p>
              </w:tc>
              <w:tc>
                <w:tcPr>
                  <w:tcW w:w="632" w:type="pct"/>
                  <w:noWrap w:val="0"/>
                  <w:vAlign w:val="center"/>
                </w:tcPr>
                <w:p w14:paraId="06DEE1D8">
                  <w:pPr>
                    <w:pStyle w:val="148"/>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0.2</w:t>
                  </w:r>
                </w:p>
              </w:tc>
              <w:tc>
                <w:tcPr>
                  <w:tcW w:w="472" w:type="pct"/>
                  <w:noWrap w:val="0"/>
                  <w:vAlign w:val="center"/>
                </w:tcPr>
                <w:p w14:paraId="55E700B2">
                  <w:pPr>
                    <w:pStyle w:val="148"/>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default" w:ascii="Times New Roman" w:hAnsi="Times New Roman" w:eastAsia="宋体" w:cs="Times New Roman"/>
                      <w:color w:val="auto"/>
                      <w:kern w:val="0"/>
                      <w:sz w:val="21"/>
                      <w:szCs w:val="21"/>
                      <w:highlight w:val="none"/>
                      <w:u w:val="none" w:color="auto"/>
                      <w:lang w:val="en-US" w:eastAsia="zh-CN"/>
                    </w:rPr>
                    <w:t>/</w:t>
                  </w:r>
                </w:p>
              </w:tc>
            </w:tr>
            <w:tr w14:paraId="524181F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 w:type="pct"/>
                  <w:vMerge w:val="continue"/>
                  <w:noWrap w:val="0"/>
                  <w:vAlign w:val="center"/>
                </w:tcPr>
                <w:p w14:paraId="61456274">
                  <w:pPr>
                    <w:pStyle w:val="148"/>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u w:val="none" w:color="auto"/>
                    </w:rPr>
                  </w:pPr>
                </w:p>
              </w:tc>
              <w:tc>
                <w:tcPr>
                  <w:tcW w:w="279" w:type="pct"/>
                  <w:vMerge w:val="continue"/>
                  <w:noWrap w:val="0"/>
                  <w:vAlign w:val="center"/>
                </w:tcPr>
                <w:p w14:paraId="4D0A643A">
                  <w:pPr>
                    <w:pStyle w:val="148"/>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u w:val="none" w:color="auto"/>
                    </w:rPr>
                  </w:pPr>
                </w:p>
              </w:tc>
              <w:tc>
                <w:tcPr>
                  <w:tcW w:w="848" w:type="pct"/>
                  <w:vMerge w:val="continue"/>
                  <w:noWrap w:val="0"/>
                  <w:vAlign w:val="center"/>
                </w:tcPr>
                <w:p w14:paraId="6B17DF80">
                  <w:pPr>
                    <w:pStyle w:val="148"/>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u w:val="none" w:color="auto"/>
                    </w:rPr>
                  </w:pPr>
                </w:p>
              </w:tc>
              <w:tc>
                <w:tcPr>
                  <w:tcW w:w="373" w:type="pct"/>
                  <w:noWrap w:val="0"/>
                  <w:vAlign w:val="center"/>
                </w:tcPr>
                <w:p w14:paraId="2350CEE9">
                  <w:pPr>
                    <w:pStyle w:val="171"/>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硫酸</w:t>
                  </w:r>
                </w:p>
                <w:p w14:paraId="7FAAE5D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雾</w:t>
                  </w:r>
                </w:p>
              </w:tc>
              <w:tc>
                <w:tcPr>
                  <w:tcW w:w="835" w:type="pct"/>
                  <w:vMerge w:val="continue"/>
                  <w:noWrap w:val="0"/>
                  <w:vAlign w:val="center"/>
                </w:tcPr>
                <w:p w14:paraId="6C17A657">
                  <w:pPr>
                    <w:pStyle w:val="148"/>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p>
              </w:tc>
              <w:tc>
                <w:tcPr>
                  <w:tcW w:w="1307" w:type="pct"/>
                  <w:noWrap w:val="0"/>
                  <w:vAlign w:val="center"/>
                </w:tcPr>
                <w:p w14:paraId="59A6FB19">
                  <w:pPr>
                    <w:pStyle w:val="148"/>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《大气污染物综合排放标准》（GB16297-1996）表2中标准</w:t>
                  </w:r>
                </w:p>
              </w:tc>
              <w:tc>
                <w:tcPr>
                  <w:tcW w:w="632" w:type="pct"/>
                  <w:noWrap w:val="0"/>
                  <w:vAlign w:val="center"/>
                </w:tcPr>
                <w:p w14:paraId="26BE2D82">
                  <w:pPr>
                    <w:pStyle w:val="148"/>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1.2</w:t>
                  </w:r>
                </w:p>
              </w:tc>
              <w:tc>
                <w:tcPr>
                  <w:tcW w:w="472" w:type="pct"/>
                  <w:noWrap w:val="0"/>
                  <w:vAlign w:val="center"/>
                </w:tcPr>
                <w:p w14:paraId="42B69B42">
                  <w:pPr>
                    <w:pStyle w:val="148"/>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w:t>
                  </w:r>
                </w:p>
              </w:tc>
            </w:tr>
            <w:tr w14:paraId="505438C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78" w:type="pct"/>
                  <w:gridSpan w:val="3"/>
                  <w:vMerge w:val="restart"/>
                  <w:tcBorders>
                    <w:right w:val="single" w:color="auto" w:sz="6" w:space="0"/>
                  </w:tcBorders>
                  <w:noWrap w:val="0"/>
                  <w:vAlign w:val="center"/>
                </w:tcPr>
                <w:p w14:paraId="4759BD8F">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无组织排放合计</w:t>
                  </w:r>
                </w:p>
              </w:tc>
              <w:tc>
                <w:tcPr>
                  <w:tcW w:w="3149" w:type="pct"/>
                  <w:gridSpan w:val="4"/>
                  <w:tcBorders>
                    <w:left w:val="single" w:color="auto" w:sz="6" w:space="0"/>
                  </w:tcBorders>
                  <w:noWrap w:val="0"/>
                  <w:vAlign w:val="center"/>
                </w:tcPr>
                <w:p w14:paraId="6C4073AD">
                  <w:pPr>
                    <w:pStyle w:val="171"/>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油烟</w:t>
                  </w:r>
                </w:p>
              </w:tc>
              <w:tc>
                <w:tcPr>
                  <w:tcW w:w="472" w:type="pct"/>
                  <w:noWrap w:val="0"/>
                  <w:vAlign w:val="center"/>
                </w:tcPr>
                <w:p w14:paraId="2726CBC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72.08</w:t>
                  </w:r>
                </w:p>
              </w:tc>
            </w:tr>
            <w:tr w14:paraId="626A48C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78" w:type="pct"/>
                  <w:gridSpan w:val="3"/>
                  <w:vMerge w:val="continue"/>
                  <w:tcBorders>
                    <w:right w:val="single" w:color="auto" w:sz="6" w:space="0"/>
                  </w:tcBorders>
                  <w:noWrap w:val="0"/>
                  <w:vAlign w:val="center"/>
                </w:tcPr>
                <w:p w14:paraId="0C53FB12">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p>
              </w:tc>
              <w:tc>
                <w:tcPr>
                  <w:tcW w:w="3149" w:type="pct"/>
                  <w:gridSpan w:val="4"/>
                  <w:tcBorders>
                    <w:left w:val="single" w:color="auto" w:sz="6" w:space="0"/>
                  </w:tcBorders>
                  <w:noWrap w:val="0"/>
                  <w:vAlign w:val="center"/>
                </w:tcPr>
                <w:p w14:paraId="1E49B061">
                  <w:pPr>
                    <w:pStyle w:val="171"/>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非甲烷总烃</w:t>
                  </w:r>
                </w:p>
              </w:tc>
              <w:tc>
                <w:tcPr>
                  <w:tcW w:w="472" w:type="pct"/>
                  <w:noWrap w:val="0"/>
                  <w:vAlign w:val="center"/>
                </w:tcPr>
                <w:p w14:paraId="7F51A56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rPr>
                  </w:pPr>
                  <w:r>
                    <w:rPr>
                      <w:rFonts w:hint="default" w:ascii="Times New Roman" w:hAnsi="Times New Roman" w:eastAsia="宋体" w:cs="Times New Roman"/>
                      <w:color w:val="auto"/>
                      <w:sz w:val="21"/>
                      <w:szCs w:val="21"/>
                      <w:highlight w:val="none"/>
                      <w:u w:val="none" w:color="auto"/>
                      <w:lang w:val="en-US" w:eastAsia="zh-CN"/>
                    </w:rPr>
                    <w:t>50</w:t>
                  </w:r>
                </w:p>
              </w:tc>
            </w:tr>
          </w:tbl>
          <w:p w14:paraId="3D16507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4"/>
                <w:szCs w:val="24"/>
                <w:highlight w:val="none"/>
                <w:u w:val="none" w:color="auto"/>
                <w:lang w:val="en-US" w:eastAsia="zh-CN" w:bidi="ar-SA"/>
              </w:rPr>
            </w:pPr>
            <w:r>
              <w:rPr>
                <w:rFonts w:hint="default" w:ascii="Times New Roman" w:hAnsi="Times New Roman" w:eastAsia="宋体" w:cs="Times New Roman"/>
                <w:b/>
                <w:bCs/>
                <w:color w:val="auto"/>
                <w:kern w:val="2"/>
                <w:sz w:val="24"/>
                <w:szCs w:val="24"/>
                <w:highlight w:val="none"/>
                <w:u w:val="none" w:color="auto"/>
                <w:lang w:val="en-US" w:eastAsia="zh-CN" w:bidi="ar-SA"/>
              </w:rPr>
              <w:t>表4-</w:t>
            </w:r>
            <w:r>
              <w:rPr>
                <w:rFonts w:hint="eastAsia" w:ascii="Times New Roman" w:hAnsi="Times New Roman" w:eastAsia="宋体" w:cs="Times New Roman"/>
                <w:b/>
                <w:bCs/>
                <w:color w:val="auto"/>
                <w:kern w:val="2"/>
                <w:sz w:val="24"/>
                <w:szCs w:val="24"/>
                <w:highlight w:val="none"/>
                <w:u w:val="none" w:color="auto"/>
                <w:lang w:val="en-US" w:eastAsia="zh-CN" w:bidi="ar-SA"/>
              </w:rPr>
              <w:t>5</w:t>
            </w:r>
            <w:r>
              <w:rPr>
                <w:rFonts w:hint="default" w:ascii="Times New Roman" w:hAnsi="Times New Roman" w:eastAsia="宋体" w:cs="Times New Roman"/>
                <w:b/>
                <w:bCs/>
                <w:color w:val="auto"/>
                <w:kern w:val="2"/>
                <w:sz w:val="24"/>
                <w:szCs w:val="24"/>
                <w:highlight w:val="none"/>
                <w:u w:val="none" w:color="auto"/>
                <w:lang w:val="en-US" w:eastAsia="zh-CN" w:bidi="ar-SA"/>
              </w:rPr>
              <w:t xml:space="preserve">    工程大气污染物年排放量核算表</w:t>
            </w:r>
          </w:p>
          <w:tbl>
            <w:tblPr>
              <w:tblStyle w:val="35"/>
              <w:tblW w:w="4999"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913"/>
              <w:gridCol w:w="4335"/>
              <w:gridCol w:w="3860"/>
            </w:tblGrid>
            <w:tr w14:paraId="2D343E6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454" w:hRule="exact"/>
                <w:jc w:val="center"/>
              </w:trPr>
              <w:tc>
                <w:tcPr>
                  <w:tcW w:w="501" w:type="pct"/>
                  <w:noWrap w:val="0"/>
                  <w:vAlign w:val="center"/>
                </w:tcPr>
                <w:p w14:paraId="774B3DAE">
                  <w:pPr>
                    <w:pStyle w:val="149"/>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序号</w:t>
                  </w:r>
                </w:p>
              </w:tc>
              <w:tc>
                <w:tcPr>
                  <w:tcW w:w="2379" w:type="pct"/>
                  <w:noWrap w:val="0"/>
                  <w:vAlign w:val="center"/>
                </w:tcPr>
                <w:p w14:paraId="66B23D3D">
                  <w:pPr>
                    <w:pStyle w:val="149"/>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污染物</w:t>
                  </w:r>
                </w:p>
              </w:tc>
              <w:tc>
                <w:tcPr>
                  <w:tcW w:w="2118" w:type="pct"/>
                  <w:noWrap w:val="0"/>
                  <w:vAlign w:val="center"/>
                </w:tcPr>
                <w:p w14:paraId="714E24E9">
                  <w:pPr>
                    <w:pStyle w:val="149"/>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年排放量（</w:t>
                  </w:r>
                  <w:r>
                    <w:rPr>
                      <w:rFonts w:hint="default" w:ascii="Times New Roman" w:hAnsi="Times New Roman" w:eastAsia="宋体" w:cs="Times New Roman"/>
                      <w:color w:val="auto"/>
                      <w:sz w:val="21"/>
                      <w:szCs w:val="21"/>
                      <w:highlight w:val="none"/>
                      <w:u w:val="none" w:color="auto"/>
                      <w:lang w:val="en-US" w:eastAsia="zh-CN"/>
                    </w:rPr>
                    <w:t>kg</w:t>
                  </w:r>
                  <w:r>
                    <w:rPr>
                      <w:rFonts w:hint="default" w:ascii="Times New Roman" w:hAnsi="Times New Roman" w:eastAsia="宋体" w:cs="Times New Roman"/>
                      <w:color w:val="auto"/>
                      <w:sz w:val="21"/>
                      <w:szCs w:val="21"/>
                      <w:highlight w:val="none"/>
                      <w:u w:val="none" w:color="auto"/>
                    </w:rPr>
                    <w:t>/a）</w:t>
                  </w:r>
                </w:p>
              </w:tc>
            </w:tr>
            <w:tr w14:paraId="59CBB954">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1" w:type="pct"/>
                  <w:noWrap w:val="0"/>
                  <w:vAlign w:val="center"/>
                </w:tcPr>
                <w:p w14:paraId="48CC0CC9">
                  <w:pPr>
                    <w:pStyle w:val="149"/>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w:t>
                  </w:r>
                </w:p>
              </w:tc>
              <w:tc>
                <w:tcPr>
                  <w:tcW w:w="2379" w:type="pct"/>
                  <w:noWrap w:val="0"/>
                  <w:vAlign w:val="center"/>
                </w:tcPr>
                <w:p w14:paraId="69A63795">
                  <w:pPr>
                    <w:pStyle w:val="149"/>
                    <w:jc w:val="center"/>
                    <w:rPr>
                      <w:rFonts w:hint="default" w:ascii="Times New Roman" w:hAnsi="Times New Roman" w:eastAsia="宋体" w:cs="Times New Roman"/>
                      <w:color w:val="auto"/>
                      <w:kern w:val="0"/>
                      <w:sz w:val="21"/>
                      <w:szCs w:val="21"/>
                      <w:highlight w:val="none"/>
                      <w:u w:val="none" w:color="auto"/>
                      <w:lang w:eastAsia="zh-CN"/>
                    </w:rPr>
                  </w:pPr>
                  <w:r>
                    <w:rPr>
                      <w:rFonts w:hint="default" w:ascii="Times New Roman" w:hAnsi="Times New Roman" w:eastAsia="宋体" w:cs="Times New Roman"/>
                      <w:color w:val="auto"/>
                      <w:sz w:val="21"/>
                      <w:szCs w:val="21"/>
                      <w:highlight w:val="none"/>
                      <w:u w:val="none" w:color="auto"/>
                      <w:lang w:val="en-US" w:eastAsia="zh-CN"/>
                    </w:rPr>
                    <w:t>油烟</w:t>
                  </w:r>
                </w:p>
              </w:tc>
              <w:tc>
                <w:tcPr>
                  <w:tcW w:w="2118" w:type="pct"/>
                  <w:noWrap w:val="0"/>
                  <w:vAlign w:val="center"/>
                </w:tcPr>
                <w:p w14:paraId="5C2DDEFD">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u w:val="none" w:color="auto"/>
                      <w:lang w:val="en-US"/>
                    </w:rPr>
                  </w:pPr>
                  <w:r>
                    <w:rPr>
                      <w:rFonts w:hint="default" w:ascii="Times New Roman" w:hAnsi="Times New Roman" w:eastAsia="宋体" w:cs="Times New Roman"/>
                      <w:i w:val="0"/>
                      <w:iCs w:val="0"/>
                      <w:color w:val="auto"/>
                      <w:kern w:val="0"/>
                      <w:sz w:val="21"/>
                      <w:szCs w:val="21"/>
                      <w:highlight w:val="none"/>
                      <w:u w:val="none" w:color="auto"/>
                      <w:lang w:val="en-US" w:eastAsia="zh-CN" w:bidi="ar"/>
                    </w:rPr>
                    <w:t>104.52</w:t>
                  </w:r>
                </w:p>
              </w:tc>
            </w:tr>
            <w:tr w14:paraId="26352CC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1" w:type="pct"/>
                  <w:noWrap w:val="0"/>
                  <w:vAlign w:val="center"/>
                </w:tcPr>
                <w:p w14:paraId="2E63E457">
                  <w:pPr>
                    <w:pStyle w:val="149"/>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2</w:t>
                  </w:r>
                </w:p>
              </w:tc>
              <w:tc>
                <w:tcPr>
                  <w:tcW w:w="2379" w:type="pct"/>
                  <w:noWrap w:val="0"/>
                  <w:vAlign w:val="center"/>
                </w:tcPr>
                <w:p w14:paraId="6CF89442">
                  <w:pPr>
                    <w:pStyle w:val="149"/>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sz w:val="21"/>
                      <w:szCs w:val="21"/>
                      <w:highlight w:val="none"/>
                      <w:u w:val="none" w:color="auto"/>
                    </w:rPr>
                    <w:t>非甲烷总烃</w:t>
                  </w:r>
                </w:p>
              </w:tc>
              <w:tc>
                <w:tcPr>
                  <w:tcW w:w="2118" w:type="pct"/>
                  <w:noWrap w:val="0"/>
                  <w:vAlign w:val="center"/>
                </w:tcPr>
                <w:p w14:paraId="27EC419F">
                  <w:pPr>
                    <w:keepNext w:val="0"/>
                    <w:keepLines w:val="0"/>
                    <w:widowControl/>
                    <w:suppressLineNumbers w:val="0"/>
                    <w:jc w:val="center"/>
                    <w:textAlignment w:val="bottom"/>
                    <w:rPr>
                      <w:rFonts w:hint="default" w:ascii="Times New Roman" w:hAnsi="Times New Roman" w:eastAsia="宋体" w:cs="Times New Roman"/>
                      <w:color w:val="auto"/>
                      <w:sz w:val="21"/>
                      <w:szCs w:val="21"/>
                      <w:highlight w:val="none"/>
                      <w:u w:val="none" w:color="auto"/>
                      <w:lang w:val="en-US"/>
                    </w:rPr>
                  </w:pPr>
                  <w:r>
                    <w:rPr>
                      <w:rFonts w:hint="default" w:ascii="Times New Roman" w:hAnsi="Times New Roman" w:eastAsia="宋体" w:cs="Times New Roman"/>
                      <w:i w:val="0"/>
                      <w:iCs w:val="0"/>
                      <w:color w:val="auto"/>
                      <w:kern w:val="0"/>
                      <w:sz w:val="21"/>
                      <w:szCs w:val="21"/>
                      <w:highlight w:val="none"/>
                      <w:u w:val="none" w:color="auto"/>
                      <w:lang w:val="en-US" w:eastAsia="zh-CN" w:bidi="ar"/>
                    </w:rPr>
                    <w:t>230</w:t>
                  </w:r>
                </w:p>
              </w:tc>
            </w:tr>
          </w:tbl>
          <w:p w14:paraId="75718555">
            <w:pPr>
              <w:tabs>
                <w:tab w:val="left" w:pos="1081"/>
              </w:tabs>
              <w:adjustRightInd w:val="0"/>
              <w:snapToGrid w:val="0"/>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1.3项目有组织排放口详细参数</w:t>
            </w:r>
          </w:p>
          <w:p w14:paraId="5B070C0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4"/>
                <w:szCs w:val="24"/>
                <w:highlight w:val="none"/>
                <w:u w:val="none" w:color="auto"/>
                <w:lang w:val="en-US" w:eastAsia="zh-CN" w:bidi="ar-SA"/>
              </w:rPr>
            </w:pPr>
            <w:r>
              <w:rPr>
                <w:rFonts w:hint="default" w:ascii="Times New Roman" w:hAnsi="Times New Roman" w:eastAsia="宋体" w:cs="Times New Roman"/>
                <w:b/>
                <w:bCs/>
                <w:color w:val="auto"/>
                <w:kern w:val="2"/>
                <w:sz w:val="24"/>
                <w:szCs w:val="24"/>
                <w:highlight w:val="none"/>
                <w:u w:val="none" w:color="auto"/>
                <w:lang w:val="en-US" w:eastAsia="zh-CN" w:bidi="ar-SA"/>
              </w:rPr>
              <w:t>表4-</w:t>
            </w:r>
            <w:r>
              <w:rPr>
                <w:rFonts w:hint="eastAsia" w:ascii="Times New Roman" w:hAnsi="Times New Roman" w:eastAsia="宋体" w:cs="Times New Roman"/>
                <w:b/>
                <w:bCs/>
                <w:color w:val="auto"/>
                <w:kern w:val="2"/>
                <w:sz w:val="24"/>
                <w:szCs w:val="24"/>
                <w:highlight w:val="none"/>
                <w:u w:val="none" w:color="auto"/>
                <w:lang w:val="en-US" w:eastAsia="zh-CN" w:bidi="ar-SA"/>
              </w:rPr>
              <w:t>6</w:t>
            </w:r>
            <w:r>
              <w:rPr>
                <w:rFonts w:hint="default" w:ascii="Times New Roman" w:hAnsi="Times New Roman" w:eastAsia="宋体" w:cs="Times New Roman"/>
                <w:b/>
                <w:bCs/>
                <w:color w:val="auto"/>
                <w:kern w:val="2"/>
                <w:sz w:val="24"/>
                <w:szCs w:val="24"/>
                <w:highlight w:val="none"/>
                <w:u w:val="none" w:color="auto"/>
                <w:lang w:val="en-US" w:eastAsia="zh-CN" w:bidi="ar-SA"/>
              </w:rPr>
              <w:t xml:space="preserve">    项目有组织排放口参数一览表</w:t>
            </w:r>
          </w:p>
          <w:tbl>
            <w:tblPr>
              <w:tblStyle w:val="35"/>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82"/>
              <w:gridCol w:w="912"/>
              <w:gridCol w:w="454"/>
              <w:gridCol w:w="454"/>
              <w:gridCol w:w="930"/>
              <w:gridCol w:w="1563"/>
              <w:gridCol w:w="1459"/>
              <w:gridCol w:w="872"/>
              <w:gridCol w:w="637"/>
              <w:gridCol w:w="691"/>
              <w:gridCol w:w="461"/>
            </w:tblGrid>
            <w:tr w14:paraId="29387C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74" w:type="pct"/>
                  <w:vMerge w:val="restart"/>
                  <w:noWrap w:val="0"/>
                  <w:vAlign w:val="center"/>
                </w:tcPr>
                <w:p w14:paraId="7217DE9C">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工序</w:t>
                  </w:r>
                </w:p>
              </w:tc>
              <w:tc>
                <w:tcPr>
                  <w:tcW w:w="500" w:type="pct"/>
                  <w:vMerge w:val="restart"/>
                  <w:noWrap w:val="0"/>
                  <w:vAlign w:val="center"/>
                </w:tcPr>
                <w:p w14:paraId="7D5E4E3B">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编号</w:t>
                  </w:r>
                </w:p>
              </w:tc>
              <w:tc>
                <w:tcPr>
                  <w:tcW w:w="249" w:type="pct"/>
                  <w:vMerge w:val="restart"/>
                  <w:noWrap w:val="0"/>
                  <w:vAlign w:val="center"/>
                </w:tcPr>
                <w:p w14:paraId="1242A7F5">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排放口名称</w:t>
                  </w:r>
                </w:p>
              </w:tc>
              <w:tc>
                <w:tcPr>
                  <w:tcW w:w="249" w:type="pct"/>
                  <w:vMerge w:val="restart"/>
                  <w:noWrap w:val="0"/>
                  <w:vAlign w:val="center"/>
                </w:tcPr>
                <w:p w14:paraId="1FC408A3">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排放口类型</w:t>
                  </w:r>
                </w:p>
              </w:tc>
              <w:tc>
                <w:tcPr>
                  <w:tcW w:w="510" w:type="pct"/>
                  <w:vMerge w:val="restart"/>
                  <w:noWrap w:val="0"/>
                  <w:vAlign w:val="center"/>
                </w:tcPr>
                <w:p w14:paraId="6A988182">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排气筒温度（℃）</w:t>
                  </w:r>
                </w:p>
              </w:tc>
              <w:tc>
                <w:tcPr>
                  <w:tcW w:w="1657" w:type="pct"/>
                  <w:gridSpan w:val="2"/>
                  <w:noWrap w:val="0"/>
                  <w:vAlign w:val="center"/>
                </w:tcPr>
                <w:p w14:paraId="1CC7497B">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排气筒底部中心坐标</w:t>
                  </w:r>
                </w:p>
              </w:tc>
              <w:tc>
                <w:tcPr>
                  <w:tcW w:w="478" w:type="pct"/>
                  <w:vMerge w:val="restart"/>
                  <w:noWrap w:val="0"/>
                  <w:vAlign w:val="center"/>
                </w:tcPr>
                <w:p w14:paraId="6A978DA6">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排气筒高度（m）</w:t>
                  </w:r>
                </w:p>
              </w:tc>
              <w:tc>
                <w:tcPr>
                  <w:tcW w:w="349" w:type="pct"/>
                  <w:vMerge w:val="restart"/>
                  <w:noWrap w:val="0"/>
                  <w:vAlign w:val="center"/>
                </w:tcPr>
                <w:p w14:paraId="1C37468F">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排气筒出口内径/m</w:t>
                  </w:r>
                </w:p>
              </w:tc>
              <w:tc>
                <w:tcPr>
                  <w:tcW w:w="379" w:type="pct"/>
                  <w:vMerge w:val="restart"/>
                  <w:noWrap w:val="0"/>
                  <w:vAlign w:val="center"/>
                </w:tcPr>
                <w:p w14:paraId="0EB7586B">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年排放小时数/h</w:t>
                  </w:r>
                </w:p>
              </w:tc>
              <w:tc>
                <w:tcPr>
                  <w:tcW w:w="252" w:type="pct"/>
                  <w:vMerge w:val="restart"/>
                  <w:noWrap w:val="0"/>
                  <w:vAlign w:val="center"/>
                </w:tcPr>
                <w:p w14:paraId="06C3A304">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排放工况</w:t>
                  </w:r>
                </w:p>
              </w:tc>
            </w:tr>
            <w:tr w14:paraId="493D8D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444CA11E">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500" w:type="pct"/>
                  <w:vMerge w:val="continue"/>
                  <w:noWrap w:val="0"/>
                  <w:vAlign w:val="center"/>
                </w:tcPr>
                <w:p w14:paraId="3F410553">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249" w:type="pct"/>
                  <w:vMerge w:val="continue"/>
                  <w:noWrap w:val="0"/>
                  <w:vAlign w:val="center"/>
                </w:tcPr>
                <w:p w14:paraId="50F74697">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249" w:type="pct"/>
                  <w:vMerge w:val="continue"/>
                  <w:noWrap w:val="0"/>
                  <w:vAlign w:val="center"/>
                </w:tcPr>
                <w:p w14:paraId="71269C2F">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510" w:type="pct"/>
                  <w:vMerge w:val="continue"/>
                  <w:noWrap w:val="0"/>
                  <w:vAlign w:val="center"/>
                </w:tcPr>
                <w:p w14:paraId="6B5F000D">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857" w:type="pct"/>
                  <w:noWrap w:val="0"/>
                  <w:vAlign w:val="center"/>
                </w:tcPr>
                <w:p w14:paraId="6EB2B2C1">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X</w:t>
                  </w:r>
                </w:p>
              </w:tc>
              <w:tc>
                <w:tcPr>
                  <w:tcW w:w="799" w:type="pct"/>
                  <w:noWrap w:val="0"/>
                  <w:vAlign w:val="center"/>
                </w:tcPr>
                <w:p w14:paraId="19E12A7F">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Y</w:t>
                  </w:r>
                </w:p>
              </w:tc>
              <w:tc>
                <w:tcPr>
                  <w:tcW w:w="478" w:type="pct"/>
                  <w:vMerge w:val="continue"/>
                  <w:noWrap w:val="0"/>
                  <w:vAlign w:val="center"/>
                </w:tcPr>
                <w:p w14:paraId="40F44848">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349" w:type="pct"/>
                  <w:vMerge w:val="continue"/>
                  <w:noWrap w:val="0"/>
                  <w:vAlign w:val="center"/>
                </w:tcPr>
                <w:p w14:paraId="60DD9F42">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379" w:type="pct"/>
                  <w:vMerge w:val="continue"/>
                  <w:noWrap w:val="0"/>
                  <w:vAlign w:val="center"/>
                </w:tcPr>
                <w:p w14:paraId="18DEF87C">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c>
                <w:tcPr>
                  <w:tcW w:w="252" w:type="pct"/>
                  <w:vMerge w:val="continue"/>
                  <w:noWrap w:val="0"/>
                  <w:vAlign w:val="center"/>
                </w:tcPr>
                <w:p w14:paraId="0F2B6D6F">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p>
              </w:tc>
            </w:tr>
            <w:tr w14:paraId="34DA4D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74" w:type="pct"/>
                  <w:noWrap w:val="0"/>
                  <w:vAlign w:val="center"/>
                </w:tcPr>
                <w:p w14:paraId="4347CE3E">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bidi="ar"/>
                    </w:rPr>
                    <w:t>实验室废气</w:t>
                  </w:r>
                </w:p>
              </w:tc>
              <w:tc>
                <w:tcPr>
                  <w:tcW w:w="500" w:type="pct"/>
                  <w:noWrap w:val="0"/>
                  <w:vAlign w:val="center"/>
                </w:tcPr>
                <w:p w14:paraId="40D77CCB">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DA001</w:t>
                  </w:r>
                </w:p>
              </w:tc>
              <w:tc>
                <w:tcPr>
                  <w:tcW w:w="249" w:type="pct"/>
                  <w:noWrap w:val="0"/>
                  <w:vAlign w:val="center"/>
                </w:tcPr>
                <w:p w14:paraId="080B2321">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1#排气口</w:t>
                  </w:r>
                </w:p>
              </w:tc>
              <w:tc>
                <w:tcPr>
                  <w:tcW w:w="249" w:type="pct"/>
                  <w:noWrap w:val="0"/>
                  <w:vAlign w:val="center"/>
                </w:tcPr>
                <w:p w14:paraId="25B3FA2E">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一般排放口</w:t>
                  </w:r>
                </w:p>
              </w:tc>
              <w:tc>
                <w:tcPr>
                  <w:tcW w:w="510" w:type="pct"/>
                  <w:noWrap w:val="0"/>
                  <w:vAlign w:val="center"/>
                </w:tcPr>
                <w:p w14:paraId="5EB939D1">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20</w:t>
                  </w:r>
                </w:p>
              </w:tc>
              <w:tc>
                <w:tcPr>
                  <w:tcW w:w="857" w:type="pct"/>
                  <w:noWrap w:val="0"/>
                  <w:vAlign w:val="center"/>
                </w:tcPr>
                <w:p w14:paraId="7E678646">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112.25197051</w:t>
                  </w:r>
                </w:p>
              </w:tc>
              <w:tc>
                <w:tcPr>
                  <w:tcW w:w="799" w:type="pct"/>
                  <w:noWrap w:val="0"/>
                  <w:vAlign w:val="center"/>
                </w:tcPr>
                <w:p w14:paraId="212E1D81">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33.03660028</w:t>
                  </w:r>
                </w:p>
              </w:tc>
              <w:tc>
                <w:tcPr>
                  <w:tcW w:w="478" w:type="pct"/>
                  <w:noWrap w:val="0"/>
                  <w:vAlign w:val="center"/>
                </w:tcPr>
                <w:p w14:paraId="586F5A6D">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20</w:t>
                  </w:r>
                </w:p>
              </w:tc>
              <w:tc>
                <w:tcPr>
                  <w:tcW w:w="349" w:type="pct"/>
                  <w:noWrap w:val="0"/>
                  <w:vAlign w:val="center"/>
                </w:tcPr>
                <w:p w14:paraId="091C9915">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0.15</w:t>
                  </w:r>
                </w:p>
              </w:tc>
              <w:tc>
                <w:tcPr>
                  <w:tcW w:w="379" w:type="pct"/>
                  <w:noWrap w:val="0"/>
                  <w:vAlign w:val="center"/>
                </w:tcPr>
                <w:p w14:paraId="3A95A040">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1200</w:t>
                  </w:r>
                </w:p>
              </w:tc>
              <w:tc>
                <w:tcPr>
                  <w:tcW w:w="252" w:type="pct"/>
                  <w:noWrap w:val="0"/>
                  <w:vAlign w:val="center"/>
                </w:tcPr>
                <w:p w14:paraId="4426298B">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正常</w:t>
                  </w:r>
                </w:p>
              </w:tc>
            </w:tr>
            <w:tr w14:paraId="2F33E9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374" w:type="pct"/>
                  <w:noWrap w:val="0"/>
                  <w:vAlign w:val="center"/>
                </w:tcPr>
                <w:p w14:paraId="4DA24FBE">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lang w:eastAsia="zh-CN" w:bidi="ar"/>
                    </w:rPr>
                  </w:pPr>
                  <w:r>
                    <w:rPr>
                      <w:rFonts w:hint="eastAsia" w:cs="Times New Roman"/>
                      <w:color w:val="auto"/>
                      <w:sz w:val="21"/>
                      <w:szCs w:val="21"/>
                      <w:highlight w:val="none"/>
                      <w:u w:val="none" w:color="auto"/>
                      <w:lang w:eastAsia="zh-CN" w:bidi="ar"/>
                    </w:rPr>
                    <w:t>餐厅</w:t>
                  </w:r>
                  <w:r>
                    <w:rPr>
                      <w:rFonts w:hint="default" w:ascii="Times New Roman" w:hAnsi="Times New Roman" w:eastAsia="宋体" w:cs="Times New Roman"/>
                      <w:color w:val="auto"/>
                      <w:sz w:val="21"/>
                      <w:szCs w:val="21"/>
                      <w:highlight w:val="none"/>
                      <w:u w:val="none" w:color="auto"/>
                      <w:lang w:val="en-US" w:eastAsia="zh-CN" w:bidi="ar"/>
                    </w:rPr>
                    <w:t>废气</w:t>
                  </w:r>
                </w:p>
              </w:tc>
              <w:tc>
                <w:tcPr>
                  <w:tcW w:w="500" w:type="pct"/>
                  <w:noWrap w:val="0"/>
                  <w:vAlign w:val="center"/>
                </w:tcPr>
                <w:p w14:paraId="7143BC8F">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DA002</w:t>
                  </w:r>
                </w:p>
              </w:tc>
              <w:tc>
                <w:tcPr>
                  <w:tcW w:w="249" w:type="pct"/>
                  <w:shd w:val="clear" w:color="auto" w:fill="auto"/>
                  <w:noWrap w:val="0"/>
                  <w:vAlign w:val="center"/>
                </w:tcPr>
                <w:p w14:paraId="2511F9DD">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0"/>
                      <w:sz w:val="21"/>
                      <w:szCs w:val="21"/>
                      <w:highlight w:val="none"/>
                      <w:u w:val="none" w:color="auto"/>
                      <w:lang w:val="en-US" w:eastAsia="en-US" w:bidi="ar-SA"/>
                    </w:rPr>
                  </w:pPr>
                  <w:r>
                    <w:rPr>
                      <w:rFonts w:hint="default" w:ascii="Times New Roman" w:hAnsi="Times New Roman" w:eastAsia="宋体" w:cs="Times New Roman"/>
                      <w:color w:val="auto"/>
                      <w:sz w:val="21"/>
                      <w:szCs w:val="21"/>
                      <w:highlight w:val="none"/>
                      <w:u w:val="none" w:color="auto"/>
                      <w:lang w:val="en-US" w:eastAsia="zh-CN"/>
                    </w:rPr>
                    <w:t>2</w:t>
                  </w:r>
                  <w:r>
                    <w:rPr>
                      <w:rFonts w:hint="default" w:ascii="Times New Roman" w:hAnsi="Times New Roman" w:eastAsia="宋体" w:cs="Times New Roman"/>
                      <w:color w:val="auto"/>
                      <w:sz w:val="21"/>
                      <w:szCs w:val="21"/>
                      <w:highlight w:val="none"/>
                      <w:u w:val="none" w:color="auto"/>
                    </w:rPr>
                    <w:t>#排气口</w:t>
                  </w:r>
                </w:p>
              </w:tc>
              <w:tc>
                <w:tcPr>
                  <w:tcW w:w="249" w:type="pct"/>
                  <w:shd w:val="clear" w:color="auto" w:fill="auto"/>
                  <w:noWrap w:val="0"/>
                  <w:vAlign w:val="center"/>
                </w:tcPr>
                <w:p w14:paraId="4A6BE7D1">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0"/>
                      <w:sz w:val="21"/>
                      <w:szCs w:val="21"/>
                      <w:highlight w:val="none"/>
                      <w:u w:val="none" w:color="auto"/>
                      <w:lang w:val="en-US" w:eastAsia="en-US" w:bidi="ar-SA"/>
                    </w:rPr>
                  </w:pPr>
                  <w:r>
                    <w:rPr>
                      <w:rFonts w:hint="default" w:ascii="Times New Roman" w:hAnsi="Times New Roman" w:eastAsia="宋体" w:cs="Times New Roman"/>
                      <w:color w:val="auto"/>
                      <w:sz w:val="21"/>
                      <w:szCs w:val="21"/>
                      <w:highlight w:val="none"/>
                      <w:u w:val="none" w:color="auto"/>
                    </w:rPr>
                    <w:t>一般排放口</w:t>
                  </w:r>
                </w:p>
              </w:tc>
              <w:tc>
                <w:tcPr>
                  <w:tcW w:w="510" w:type="pct"/>
                  <w:noWrap w:val="0"/>
                  <w:vAlign w:val="center"/>
                </w:tcPr>
                <w:p w14:paraId="658D3169">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20</w:t>
                  </w:r>
                </w:p>
              </w:tc>
              <w:tc>
                <w:tcPr>
                  <w:tcW w:w="857" w:type="pct"/>
                  <w:noWrap w:val="0"/>
                  <w:vAlign w:val="center"/>
                </w:tcPr>
                <w:p w14:paraId="6F4D24E4">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112.25245853</w:t>
                  </w:r>
                </w:p>
              </w:tc>
              <w:tc>
                <w:tcPr>
                  <w:tcW w:w="799" w:type="pct"/>
                  <w:noWrap w:val="0"/>
                  <w:vAlign w:val="center"/>
                </w:tcPr>
                <w:p w14:paraId="27CC709A">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33.03664072</w:t>
                  </w:r>
                </w:p>
              </w:tc>
              <w:tc>
                <w:tcPr>
                  <w:tcW w:w="478" w:type="pct"/>
                  <w:noWrap w:val="0"/>
                  <w:vAlign w:val="center"/>
                </w:tcPr>
                <w:p w14:paraId="6C49291E">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20</w:t>
                  </w:r>
                </w:p>
              </w:tc>
              <w:tc>
                <w:tcPr>
                  <w:tcW w:w="349" w:type="pct"/>
                  <w:noWrap w:val="0"/>
                  <w:vAlign w:val="center"/>
                </w:tcPr>
                <w:p w14:paraId="33557144">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0.8</w:t>
                  </w:r>
                </w:p>
              </w:tc>
              <w:tc>
                <w:tcPr>
                  <w:tcW w:w="379" w:type="pct"/>
                  <w:noWrap w:val="0"/>
                  <w:vAlign w:val="center"/>
                </w:tcPr>
                <w:p w14:paraId="2A63CB40">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1200</w:t>
                  </w:r>
                </w:p>
              </w:tc>
              <w:tc>
                <w:tcPr>
                  <w:tcW w:w="252" w:type="pct"/>
                  <w:noWrap w:val="0"/>
                  <w:vAlign w:val="center"/>
                </w:tcPr>
                <w:p w14:paraId="6AAAF565">
                  <w:pPr>
                    <w:keepNext w:val="0"/>
                    <w:keepLines w:val="0"/>
                    <w:pageBreakBefore w:val="0"/>
                    <w:widowControl w:val="0"/>
                    <w:tabs>
                      <w:tab w:val="left" w:pos="1081"/>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正常</w:t>
                  </w:r>
                </w:p>
              </w:tc>
            </w:tr>
          </w:tbl>
          <w:p w14:paraId="6B279A42">
            <w:pPr>
              <w:adjustRightInd w:val="0"/>
              <w:snapToGrid w:val="0"/>
              <w:spacing w:line="360" w:lineRule="auto"/>
              <w:ind w:firstLine="480" w:firstLineChars="200"/>
              <w:rPr>
                <w:rFonts w:hint="default" w:ascii="Times New Roman" w:hAnsi="Times New Roman" w:cs="Times New Roman"/>
                <w:bCs/>
                <w:color w:val="auto"/>
                <w:sz w:val="24"/>
                <w:highlight w:val="none"/>
                <w:u w:val="none" w:color="auto"/>
              </w:rPr>
            </w:pPr>
            <w:r>
              <w:rPr>
                <w:rFonts w:hint="default" w:ascii="Times New Roman" w:hAnsi="Times New Roman" w:cs="Times New Roman"/>
                <w:bCs/>
                <w:color w:val="auto"/>
                <w:sz w:val="24"/>
                <w:highlight w:val="none"/>
                <w:u w:val="none" w:color="auto"/>
              </w:rPr>
              <w:t>1.4废气监测计划</w:t>
            </w:r>
          </w:p>
          <w:p w14:paraId="07AE8DF2">
            <w:pPr>
              <w:adjustRightInd w:val="0"/>
              <w:snapToGrid w:val="0"/>
              <w:spacing w:line="360" w:lineRule="auto"/>
              <w:ind w:firstLine="480" w:firstLineChars="200"/>
              <w:rPr>
                <w:rFonts w:hint="default" w:ascii="Times New Roman" w:hAnsi="Times New Roman" w:cs="Times New Roman"/>
                <w:bCs/>
                <w:color w:val="auto"/>
                <w:sz w:val="24"/>
                <w:highlight w:val="none"/>
                <w:u w:val="none" w:color="auto"/>
              </w:rPr>
            </w:pPr>
            <w:r>
              <w:rPr>
                <w:rFonts w:hint="default" w:ascii="Times New Roman" w:hAnsi="Times New Roman" w:cs="Times New Roman"/>
                <w:bCs/>
                <w:color w:val="auto"/>
                <w:sz w:val="24"/>
                <w:highlight w:val="none"/>
                <w:u w:val="none" w:color="auto"/>
              </w:rPr>
              <w:t>根据</w:t>
            </w:r>
            <w:r>
              <w:rPr>
                <w:rFonts w:hint="default" w:ascii="Times New Roman" w:hAnsi="Times New Roman" w:cs="Times New Roman"/>
                <w:color w:val="auto"/>
                <w:sz w:val="24"/>
                <w:highlight w:val="none"/>
                <w:u w:val="none" w:color="auto"/>
              </w:rPr>
              <w:t xml:space="preserve">《排污单位自行监测技术指南 总则》 </w:t>
            </w:r>
            <w:r>
              <w:rPr>
                <w:rFonts w:hint="eastAsia" w:ascii="Times New Roman" w:hAnsi="Times New Roman" w:eastAsia="宋体"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rPr>
              <w:t>HJ819-2017</w:t>
            </w:r>
            <w:r>
              <w:rPr>
                <w:rFonts w:hint="eastAsia" w:ascii="Times New Roman" w:hAnsi="Times New Roman" w:eastAsia="宋体" w:cs="Times New Roman"/>
                <w:color w:val="auto"/>
                <w:sz w:val="24"/>
                <w:highlight w:val="none"/>
                <w:u w:val="none" w:color="auto"/>
                <w:lang w:eastAsia="zh-CN"/>
              </w:rPr>
              <w:t>）</w:t>
            </w:r>
            <w:r>
              <w:rPr>
                <w:rFonts w:hint="default" w:ascii="Times New Roman" w:hAnsi="Times New Roman" w:cs="Times New Roman"/>
                <w:bCs/>
                <w:color w:val="auto"/>
                <w:sz w:val="24"/>
                <w:highlight w:val="none"/>
                <w:u w:val="none" w:color="auto"/>
              </w:rPr>
              <w:t>自行监测计划，项目废气自行监测计划如下：</w:t>
            </w:r>
          </w:p>
          <w:p w14:paraId="443E481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4"/>
                <w:szCs w:val="24"/>
                <w:highlight w:val="none"/>
                <w:u w:val="none" w:color="auto"/>
                <w:lang w:val="en-US" w:eastAsia="zh-CN" w:bidi="ar-SA"/>
              </w:rPr>
            </w:pPr>
            <w:r>
              <w:rPr>
                <w:rFonts w:hint="default" w:ascii="Times New Roman" w:hAnsi="Times New Roman" w:eastAsia="宋体" w:cs="Times New Roman"/>
                <w:b/>
                <w:bCs/>
                <w:color w:val="auto"/>
                <w:kern w:val="2"/>
                <w:sz w:val="24"/>
                <w:szCs w:val="24"/>
                <w:highlight w:val="none"/>
                <w:u w:val="none" w:color="auto"/>
                <w:lang w:val="en-US" w:eastAsia="zh-CN" w:bidi="ar-SA"/>
              </w:rPr>
              <w:t>表4-</w:t>
            </w:r>
            <w:r>
              <w:rPr>
                <w:rFonts w:hint="eastAsia" w:ascii="Times New Roman" w:hAnsi="Times New Roman" w:eastAsia="宋体" w:cs="Times New Roman"/>
                <w:b/>
                <w:bCs/>
                <w:color w:val="auto"/>
                <w:kern w:val="2"/>
                <w:sz w:val="24"/>
                <w:szCs w:val="24"/>
                <w:highlight w:val="none"/>
                <w:u w:val="none" w:color="auto"/>
                <w:lang w:val="en-US" w:eastAsia="zh-CN" w:bidi="ar-SA"/>
              </w:rPr>
              <w:t>7</w:t>
            </w:r>
            <w:r>
              <w:rPr>
                <w:rFonts w:hint="default" w:ascii="Times New Roman" w:hAnsi="Times New Roman" w:eastAsia="宋体" w:cs="Times New Roman"/>
                <w:b/>
                <w:bCs/>
                <w:color w:val="auto"/>
                <w:kern w:val="2"/>
                <w:sz w:val="24"/>
                <w:szCs w:val="24"/>
                <w:highlight w:val="none"/>
                <w:u w:val="none" w:color="auto"/>
                <w:lang w:val="en-US" w:eastAsia="zh-CN" w:bidi="ar-SA"/>
              </w:rPr>
              <w:t xml:space="preserve">    项目废气监测计划一览表</w:t>
            </w:r>
          </w:p>
          <w:tbl>
            <w:tblPr>
              <w:tblStyle w:val="35"/>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81"/>
              <w:gridCol w:w="650"/>
              <w:gridCol w:w="1917"/>
              <w:gridCol w:w="1272"/>
              <w:gridCol w:w="1115"/>
              <w:gridCol w:w="3470"/>
            </w:tblGrid>
            <w:tr w14:paraId="29EDCE3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1" w:type="pct"/>
                  <w:gridSpan w:val="2"/>
                  <w:tcBorders>
                    <w:right w:val="single" w:color="auto" w:sz="4" w:space="0"/>
                  </w:tcBorders>
                  <w:noWrap w:val="0"/>
                  <w:vAlign w:val="center"/>
                </w:tcPr>
                <w:p w14:paraId="3573E31E">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项目</w:t>
                  </w:r>
                </w:p>
              </w:tc>
              <w:tc>
                <w:tcPr>
                  <w:tcW w:w="1052" w:type="pct"/>
                  <w:tcBorders>
                    <w:left w:val="single" w:color="auto" w:sz="4" w:space="0"/>
                    <w:bottom w:val="single" w:color="auto" w:sz="4" w:space="0"/>
                  </w:tcBorders>
                  <w:noWrap w:val="0"/>
                  <w:vAlign w:val="center"/>
                </w:tcPr>
                <w:p w14:paraId="6DB6CD2C">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监测点位</w:t>
                  </w:r>
                </w:p>
              </w:tc>
              <w:tc>
                <w:tcPr>
                  <w:tcW w:w="698" w:type="pct"/>
                  <w:noWrap w:val="0"/>
                  <w:vAlign w:val="center"/>
                </w:tcPr>
                <w:p w14:paraId="5D4F2287">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监测因子</w:t>
                  </w:r>
                </w:p>
              </w:tc>
              <w:tc>
                <w:tcPr>
                  <w:tcW w:w="612" w:type="pct"/>
                  <w:noWrap w:val="0"/>
                  <w:vAlign w:val="center"/>
                </w:tcPr>
                <w:p w14:paraId="1D13FCD9">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监测频次</w:t>
                  </w:r>
                </w:p>
              </w:tc>
              <w:tc>
                <w:tcPr>
                  <w:tcW w:w="1904" w:type="pct"/>
                  <w:noWrap w:val="0"/>
                  <w:vAlign w:val="center"/>
                </w:tcPr>
                <w:p w14:paraId="490E370B">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执行标准</w:t>
                  </w:r>
                </w:p>
              </w:tc>
            </w:tr>
            <w:tr w14:paraId="7D45B88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4" w:type="pct"/>
                  <w:vMerge w:val="restart"/>
                  <w:tcBorders>
                    <w:right w:val="single" w:color="auto" w:sz="4" w:space="0"/>
                  </w:tcBorders>
                  <w:noWrap w:val="0"/>
                  <w:vAlign w:val="center"/>
                </w:tcPr>
                <w:p w14:paraId="70A0DDDB">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废气</w:t>
                  </w:r>
                </w:p>
              </w:tc>
              <w:tc>
                <w:tcPr>
                  <w:tcW w:w="357" w:type="pct"/>
                  <w:vMerge w:val="restart"/>
                  <w:tcBorders>
                    <w:left w:val="single" w:color="auto" w:sz="4" w:space="0"/>
                    <w:right w:val="single" w:color="auto" w:sz="4" w:space="0"/>
                  </w:tcBorders>
                  <w:noWrap w:val="0"/>
                  <w:vAlign w:val="center"/>
                </w:tcPr>
                <w:p w14:paraId="00657381">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有组织</w:t>
                  </w:r>
                </w:p>
              </w:tc>
              <w:tc>
                <w:tcPr>
                  <w:tcW w:w="1052" w:type="pct"/>
                  <w:tcBorders>
                    <w:top w:val="single" w:color="auto" w:sz="4" w:space="0"/>
                    <w:left w:val="single" w:color="auto" w:sz="4" w:space="0"/>
                  </w:tcBorders>
                  <w:noWrap w:val="0"/>
                  <w:vAlign w:val="center"/>
                </w:tcPr>
                <w:p w14:paraId="4970364F">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DA001</w:t>
                  </w:r>
                </w:p>
              </w:tc>
              <w:tc>
                <w:tcPr>
                  <w:tcW w:w="698" w:type="pct"/>
                  <w:noWrap w:val="0"/>
                  <w:vAlign w:val="center"/>
                </w:tcPr>
                <w:p w14:paraId="0DAC5BF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氯化氢、硫酸雾等</w:t>
                  </w:r>
                </w:p>
              </w:tc>
              <w:tc>
                <w:tcPr>
                  <w:tcW w:w="612" w:type="pct"/>
                  <w:noWrap w:val="0"/>
                  <w:vAlign w:val="center"/>
                </w:tcPr>
                <w:p w14:paraId="2ACD4A2A">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b/>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1次/年</w:t>
                  </w:r>
                </w:p>
              </w:tc>
              <w:tc>
                <w:tcPr>
                  <w:tcW w:w="1904" w:type="pct"/>
                  <w:noWrap w:val="0"/>
                  <w:vAlign w:val="center"/>
                </w:tcPr>
                <w:p w14:paraId="2E2778BA">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sz w:val="21"/>
                      <w:szCs w:val="21"/>
                      <w:highlight w:val="none"/>
                      <w:u w:val="none" w:color="auto"/>
                    </w:rPr>
                    <w:t>《大气污染物综合排放标准》（GB16297-1996）表2中二级标准</w:t>
                  </w:r>
                </w:p>
              </w:tc>
            </w:tr>
            <w:tr w14:paraId="2DC2BB5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4" w:type="pct"/>
                  <w:vMerge w:val="continue"/>
                  <w:tcBorders>
                    <w:right w:val="single" w:color="auto" w:sz="4" w:space="0"/>
                  </w:tcBorders>
                  <w:noWrap w:val="0"/>
                  <w:vAlign w:val="center"/>
                </w:tcPr>
                <w:p w14:paraId="46A9DA06">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p>
              </w:tc>
              <w:tc>
                <w:tcPr>
                  <w:tcW w:w="357" w:type="pct"/>
                  <w:vMerge w:val="continue"/>
                  <w:tcBorders>
                    <w:left w:val="single" w:color="auto" w:sz="4" w:space="0"/>
                    <w:right w:val="single" w:color="auto" w:sz="4" w:space="0"/>
                  </w:tcBorders>
                  <w:noWrap w:val="0"/>
                  <w:vAlign w:val="center"/>
                </w:tcPr>
                <w:p w14:paraId="35B31104">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p>
              </w:tc>
              <w:tc>
                <w:tcPr>
                  <w:tcW w:w="1052" w:type="pct"/>
                  <w:tcBorders>
                    <w:left w:val="single" w:color="auto" w:sz="4" w:space="0"/>
                  </w:tcBorders>
                  <w:noWrap w:val="0"/>
                  <w:vAlign w:val="center"/>
                </w:tcPr>
                <w:p w14:paraId="567A50F4">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DA002</w:t>
                  </w:r>
                </w:p>
              </w:tc>
              <w:tc>
                <w:tcPr>
                  <w:tcW w:w="698" w:type="pct"/>
                  <w:noWrap w:val="0"/>
                  <w:vAlign w:val="center"/>
                </w:tcPr>
                <w:p w14:paraId="701F389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油烟、非甲烷总烃</w:t>
                  </w:r>
                </w:p>
              </w:tc>
              <w:tc>
                <w:tcPr>
                  <w:tcW w:w="612" w:type="pct"/>
                  <w:noWrap w:val="0"/>
                  <w:vAlign w:val="center"/>
                </w:tcPr>
                <w:p w14:paraId="5A77A0E9">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1次/年</w:t>
                  </w:r>
                </w:p>
              </w:tc>
              <w:tc>
                <w:tcPr>
                  <w:tcW w:w="1904" w:type="pct"/>
                  <w:noWrap w:val="0"/>
                  <w:vAlign w:val="center"/>
                </w:tcPr>
                <w:p w14:paraId="565E7CA8">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《餐饮业油烟污染物排放标准》（DB41/1604-2018）表1，</w:t>
                  </w:r>
                  <w:r>
                    <w:rPr>
                      <w:rFonts w:hint="default" w:ascii="Times New Roman" w:hAnsi="Times New Roman" w:eastAsia="宋体" w:cs="Times New Roman"/>
                      <w:color w:val="auto"/>
                      <w:sz w:val="21"/>
                      <w:szCs w:val="21"/>
                      <w:highlight w:val="none"/>
                      <w:u w:val="none" w:color="auto"/>
                      <w:lang w:val="en-US" w:eastAsia="zh-CN"/>
                    </w:rPr>
                    <w:t>大</w:t>
                  </w:r>
                  <w:r>
                    <w:rPr>
                      <w:rFonts w:hint="default" w:ascii="Times New Roman" w:hAnsi="Times New Roman" w:eastAsia="宋体" w:cs="Times New Roman"/>
                      <w:color w:val="auto"/>
                      <w:sz w:val="21"/>
                      <w:szCs w:val="21"/>
                      <w:highlight w:val="none"/>
                      <w:u w:val="none" w:color="auto"/>
                    </w:rPr>
                    <w:t>型标准</w:t>
                  </w:r>
                </w:p>
              </w:tc>
            </w:tr>
            <w:tr w14:paraId="08A8BF2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4" w:type="pct"/>
                  <w:vMerge w:val="continue"/>
                  <w:tcBorders>
                    <w:right w:val="single" w:color="auto" w:sz="4" w:space="0"/>
                  </w:tcBorders>
                  <w:noWrap w:val="0"/>
                  <w:vAlign w:val="center"/>
                </w:tcPr>
                <w:p w14:paraId="21BBF481">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p>
              </w:tc>
              <w:tc>
                <w:tcPr>
                  <w:tcW w:w="357" w:type="pct"/>
                  <w:vMerge w:val="restart"/>
                  <w:tcBorders>
                    <w:top w:val="single" w:color="auto" w:sz="4" w:space="0"/>
                    <w:left w:val="single" w:color="auto" w:sz="4" w:space="0"/>
                  </w:tcBorders>
                  <w:noWrap w:val="0"/>
                  <w:vAlign w:val="center"/>
                </w:tcPr>
                <w:p w14:paraId="5A90F929">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无组织</w:t>
                  </w:r>
                </w:p>
              </w:tc>
              <w:tc>
                <w:tcPr>
                  <w:tcW w:w="1052" w:type="pct"/>
                  <w:vMerge w:val="restart"/>
                  <w:noWrap w:val="0"/>
                  <w:vAlign w:val="center"/>
                </w:tcPr>
                <w:p w14:paraId="1058A8E9">
                  <w:pPr>
                    <w:keepNext w:val="0"/>
                    <w:keepLines w:val="0"/>
                    <w:pageBreakBefore w:val="0"/>
                    <w:widowControl w:val="0"/>
                    <w:kinsoku/>
                    <w:wordWrap/>
                    <w:overflowPunct/>
                    <w:topLinePunct w:val="0"/>
                    <w:autoSpaceDE/>
                    <w:autoSpaceDN/>
                    <w:bidi w:val="0"/>
                    <w:jc w:val="center"/>
                    <w:textAlignment w:val="auto"/>
                    <w:rPr>
                      <w:rFonts w:hint="eastAsia"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校界</w:t>
                  </w:r>
                </w:p>
              </w:tc>
              <w:tc>
                <w:tcPr>
                  <w:tcW w:w="698" w:type="pct"/>
                  <w:noWrap w:val="0"/>
                  <w:vAlign w:val="center"/>
                </w:tcPr>
                <w:p w14:paraId="7DDFC9C6">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氯化氢、硫酸雾等</w:t>
                  </w:r>
                </w:p>
              </w:tc>
              <w:tc>
                <w:tcPr>
                  <w:tcW w:w="612" w:type="pct"/>
                  <w:noWrap w:val="0"/>
                  <w:vAlign w:val="center"/>
                </w:tcPr>
                <w:p w14:paraId="2EE7C93B">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1次/年</w:t>
                  </w:r>
                </w:p>
              </w:tc>
              <w:tc>
                <w:tcPr>
                  <w:tcW w:w="1904" w:type="pct"/>
                  <w:tcBorders>
                    <w:top w:val="single" w:color="auto" w:sz="4" w:space="0"/>
                    <w:bottom w:val="single" w:color="auto" w:sz="4" w:space="0"/>
                  </w:tcBorders>
                  <w:noWrap w:val="0"/>
                  <w:vAlign w:val="center"/>
                </w:tcPr>
                <w:p w14:paraId="7F5714F8">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kern w:val="21"/>
                      <w:sz w:val="21"/>
                      <w:szCs w:val="21"/>
                      <w:highlight w:val="none"/>
                      <w:u w:val="none" w:color="auto"/>
                    </w:rPr>
                  </w:pPr>
                  <w:r>
                    <w:rPr>
                      <w:rFonts w:hint="default" w:ascii="Times New Roman" w:hAnsi="Times New Roman" w:eastAsia="宋体" w:cs="Times New Roman"/>
                      <w:color w:val="auto"/>
                      <w:sz w:val="21"/>
                      <w:szCs w:val="21"/>
                      <w:highlight w:val="none"/>
                      <w:u w:val="none" w:color="auto"/>
                    </w:rPr>
                    <w:t>《大气污染物综合排放标准》（GB16297-1996）表2中标准</w:t>
                  </w:r>
                </w:p>
              </w:tc>
            </w:tr>
            <w:tr w14:paraId="6FD4D4E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4" w:type="pct"/>
                  <w:vMerge w:val="continue"/>
                  <w:tcBorders>
                    <w:right w:val="single" w:color="auto" w:sz="4" w:space="0"/>
                  </w:tcBorders>
                  <w:noWrap w:val="0"/>
                  <w:vAlign w:val="center"/>
                </w:tcPr>
                <w:p w14:paraId="50FA8C8B">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p>
              </w:tc>
              <w:tc>
                <w:tcPr>
                  <w:tcW w:w="357" w:type="pct"/>
                  <w:vMerge w:val="continue"/>
                  <w:tcBorders>
                    <w:left w:val="single" w:color="auto" w:sz="4" w:space="0"/>
                  </w:tcBorders>
                  <w:noWrap w:val="0"/>
                  <w:vAlign w:val="center"/>
                </w:tcPr>
                <w:p w14:paraId="342FD41A">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p>
              </w:tc>
              <w:tc>
                <w:tcPr>
                  <w:tcW w:w="1052" w:type="pct"/>
                  <w:vMerge w:val="continue"/>
                  <w:noWrap w:val="0"/>
                  <w:vAlign w:val="center"/>
                </w:tcPr>
                <w:p w14:paraId="7F8CC54E">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p>
              </w:tc>
              <w:tc>
                <w:tcPr>
                  <w:tcW w:w="698" w:type="pct"/>
                  <w:noWrap w:val="0"/>
                  <w:vAlign w:val="center"/>
                </w:tcPr>
                <w:p w14:paraId="6AEB1FB9">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油烟</w:t>
                  </w:r>
                </w:p>
              </w:tc>
              <w:tc>
                <w:tcPr>
                  <w:tcW w:w="612" w:type="pct"/>
                  <w:noWrap w:val="0"/>
                  <w:vAlign w:val="center"/>
                </w:tcPr>
                <w:p w14:paraId="5B1C21C5">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1次/年</w:t>
                  </w:r>
                </w:p>
              </w:tc>
              <w:tc>
                <w:tcPr>
                  <w:tcW w:w="1904" w:type="pct"/>
                  <w:tcBorders>
                    <w:top w:val="single" w:color="auto" w:sz="4" w:space="0"/>
                    <w:bottom w:val="single" w:color="auto" w:sz="4" w:space="0"/>
                  </w:tcBorders>
                  <w:noWrap w:val="0"/>
                  <w:vAlign w:val="center"/>
                </w:tcPr>
                <w:p w14:paraId="1503FB4D">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《大气污染物综合排放标准》（GB16297-1996）表2中标准</w:t>
                  </w:r>
                </w:p>
              </w:tc>
            </w:tr>
            <w:tr w14:paraId="267EA6B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4" w:type="pct"/>
                  <w:vMerge w:val="continue"/>
                  <w:tcBorders>
                    <w:right w:val="single" w:color="auto" w:sz="4" w:space="0"/>
                  </w:tcBorders>
                  <w:noWrap w:val="0"/>
                  <w:vAlign w:val="center"/>
                </w:tcPr>
                <w:p w14:paraId="510D4E26">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p>
              </w:tc>
              <w:tc>
                <w:tcPr>
                  <w:tcW w:w="357" w:type="pct"/>
                  <w:vMerge w:val="continue"/>
                  <w:tcBorders>
                    <w:left w:val="single" w:color="auto" w:sz="4" w:space="0"/>
                  </w:tcBorders>
                  <w:noWrap w:val="0"/>
                  <w:vAlign w:val="center"/>
                </w:tcPr>
                <w:p w14:paraId="53183283">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p>
              </w:tc>
              <w:tc>
                <w:tcPr>
                  <w:tcW w:w="1052" w:type="pct"/>
                  <w:vMerge w:val="continue"/>
                  <w:noWrap w:val="0"/>
                  <w:vAlign w:val="center"/>
                </w:tcPr>
                <w:p w14:paraId="72327C29">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p>
              </w:tc>
              <w:tc>
                <w:tcPr>
                  <w:tcW w:w="698" w:type="pct"/>
                  <w:noWrap w:val="0"/>
                  <w:vAlign w:val="center"/>
                </w:tcPr>
                <w:p w14:paraId="6857E89D">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非甲烷总烃</w:t>
                  </w:r>
                </w:p>
              </w:tc>
              <w:tc>
                <w:tcPr>
                  <w:tcW w:w="612" w:type="pct"/>
                  <w:noWrap w:val="0"/>
                  <w:vAlign w:val="center"/>
                </w:tcPr>
                <w:p w14:paraId="222C54E9">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1次/年</w:t>
                  </w:r>
                </w:p>
              </w:tc>
              <w:tc>
                <w:tcPr>
                  <w:tcW w:w="1904" w:type="pct"/>
                  <w:tcBorders>
                    <w:top w:val="single" w:color="auto" w:sz="4" w:space="0"/>
                    <w:bottom w:val="single" w:color="auto" w:sz="4" w:space="0"/>
                  </w:tcBorders>
                  <w:noWrap w:val="0"/>
                  <w:vAlign w:val="center"/>
                </w:tcPr>
                <w:p w14:paraId="4D9543B7">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sz w:val="21"/>
                      <w:szCs w:val="21"/>
                      <w:highlight w:val="none"/>
                      <w:u w:val="none" w:color="auto"/>
                    </w:rPr>
                    <w:t>《大气污染物综合排放标准》（GB16297-1996）表2中标准</w:t>
                  </w:r>
                </w:p>
              </w:tc>
            </w:tr>
          </w:tbl>
          <w:p w14:paraId="260EF744">
            <w:pPr>
              <w:adjustRightInd w:val="0"/>
              <w:snapToGrid w:val="0"/>
              <w:spacing w:line="360" w:lineRule="auto"/>
              <w:ind w:firstLine="480" w:firstLineChars="200"/>
              <w:rPr>
                <w:bCs/>
                <w:color w:val="auto"/>
                <w:sz w:val="24"/>
                <w:szCs w:val="24"/>
                <w:u w:val="none" w:color="auto"/>
              </w:rPr>
            </w:pPr>
            <w:r>
              <w:rPr>
                <w:rFonts w:hint="eastAsia"/>
                <w:bCs/>
                <w:color w:val="auto"/>
                <w:sz w:val="24"/>
                <w:szCs w:val="24"/>
                <w:u w:val="none" w:color="auto"/>
                <w:lang w:val="en-US" w:eastAsia="zh-CN"/>
              </w:rPr>
              <w:t>1</w:t>
            </w:r>
            <w:r>
              <w:rPr>
                <w:bCs/>
                <w:color w:val="auto"/>
                <w:sz w:val="24"/>
                <w:szCs w:val="24"/>
                <w:u w:val="none" w:color="auto"/>
              </w:rPr>
              <w:t>.</w:t>
            </w:r>
            <w:r>
              <w:rPr>
                <w:rFonts w:hint="eastAsia"/>
                <w:bCs/>
                <w:color w:val="auto"/>
                <w:sz w:val="24"/>
                <w:szCs w:val="24"/>
                <w:u w:val="none" w:color="auto"/>
              </w:rPr>
              <w:t>5</w:t>
            </w:r>
            <w:r>
              <w:rPr>
                <w:bCs/>
                <w:color w:val="auto"/>
                <w:sz w:val="24"/>
                <w:szCs w:val="24"/>
                <w:u w:val="none" w:color="auto"/>
              </w:rPr>
              <w:t>非正常工况分析</w:t>
            </w:r>
          </w:p>
          <w:p w14:paraId="63FA3065">
            <w:pPr>
              <w:adjustRightInd w:val="0"/>
              <w:snapToGrid w:val="0"/>
              <w:spacing w:line="360" w:lineRule="auto"/>
              <w:ind w:firstLine="480" w:firstLineChars="200"/>
              <w:rPr>
                <w:color w:val="auto"/>
                <w:sz w:val="24"/>
                <w:szCs w:val="24"/>
                <w:u w:val="none" w:color="auto"/>
              </w:rPr>
            </w:pPr>
            <w:r>
              <w:rPr>
                <w:color w:val="auto"/>
                <w:sz w:val="24"/>
                <w:szCs w:val="24"/>
                <w:u w:val="none" w:color="auto"/>
              </w:rPr>
              <w:t>非正常排放是指生产过程中开停（工、炉）、设备检修、工艺设备运转异常等非正常工况下的污染物排放，以及污染物排放控制措施达不到应有效率等情况下的排放。项目环保措施出现异常时，会使污染物处理效率下降。项目非正常工况下大气污染物的排放情况具体见下表。</w:t>
            </w:r>
          </w:p>
          <w:p w14:paraId="67DEB8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4"/>
                <w:szCs w:val="24"/>
                <w:highlight w:val="none"/>
                <w:u w:val="none" w:color="auto"/>
                <w:lang w:val="en-US" w:eastAsia="zh-CN" w:bidi="ar-SA"/>
              </w:rPr>
            </w:pPr>
            <w:r>
              <w:rPr>
                <w:rFonts w:hint="default" w:ascii="Times New Roman" w:hAnsi="Times New Roman" w:eastAsia="宋体" w:cs="Times New Roman"/>
                <w:b/>
                <w:bCs/>
                <w:color w:val="auto"/>
                <w:kern w:val="2"/>
                <w:sz w:val="24"/>
                <w:szCs w:val="24"/>
                <w:highlight w:val="none"/>
                <w:u w:val="none" w:color="auto"/>
                <w:lang w:val="en-US" w:eastAsia="zh-CN" w:bidi="ar-SA"/>
              </w:rPr>
              <w:t>表4-</w:t>
            </w:r>
            <w:r>
              <w:rPr>
                <w:rFonts w:hint="eastAsia" w:ascii="Times New Roman" w:hAnsi="Times New Roman" w:eastAsia="宋体" w:cs="Times New Roman"/>
                <w:b/>
                <w:bCs/>
                <w:color w:val="auto"/>
                <w:kern w:val="2"/>
                <w:sz w:val="24"/>
                <w:szCs w:val="24"/>
                <w:highlight w:val="none"/>
                <w:u w:val="none" w:color="auto"/>
                <w:lang w:val="en-US" w:eastAsia="zh-CN" w:bidi="ar-SA"/>
              </w:rPr>
              <w:t>8</w:t>
            </w:r>
            <w:r>
              <w:rPr>
                <w:rFonts w:hint="default" w:ascii="Times New Roman" w:hAnsi="Times New Roman" w:eastAsia="宋体" w:cs="Times New Roman"/>
                <w:b/>
                <w:bCs/>
                <w:color w:val="auto"/>
                <w:kern w:val="2"/>
                <w:sz w:val="24"/>
                <w:szCs w:val="24"/>
                <w:highlight w:val="none"/>
                <w:u w:val="none" w:color="auto"/>
                <w:lang w:val="en-US" w:eastAsia="zh-CN" w:bidi="ar-SA"/>
              </w:rPr>
              <w:t xml:space="preserve">      非正常工况下废气排放情况一览表</w:t>
            </w:r>
          </w:p>
          <w:tbl>
            <w:tblPr>
              <w:tblStyle w:val="35"/>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084"/>
              <w:gridCol w:w="916"/>
              <w:gridCol w:w="1155"/>
              <w:gridCol w:w="920"/>
              <w:gridCol w:w="1192"/>
              <w:gridCol w:w="1297"/>
              <w:gridCol w:w="916"/>
              <w:gridCol w:w="771"/>
              <w:gridCol w:w="855"/>
            </w:tblGrid>
            <w:tr w14:paraId="2943E40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5" w:type="pct"/>
                  <w:vMerge w:val="restart"/>
                  <w:vAlign w:val="center"/>
                </w:tcPr>
                <w:p w14:paraId="44030556">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污染源</w:t>
                  </w:r>
                </w:p>
              </w:tc>
              <w:tc>
                <w:tcPr>
                  <w:tcW w:w="503" w:type="pct"/>
                  <w:vMerge w:val="restart"/>
                  <w:vAlign w:val="center"/>
                </w:tcPr>
                <w:p w14:paraId="4D9C3E35">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污染物</w:t>
                  </w:r>
                </w:p>
              </w:tc>
              <w:tc>
                <w:tcPr>
                  <w:tcW w:w="634" w:type="pct"/>
                  <w:vMerge w:val="restart"/>
                  <w:vAlign w:val="center"/>
                </w:tcPr>
                <w:p w14:paraId="43AE8907">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非正常原因</w:t>
                  </w:r>
                </w:p>
              </w:tc>
              <w:tc>
                <w:tcPr>
                  <w:tcW w:w="1871" w:type="pct"/>
                  <w:gridSpan w:val="3"/>
                  <w:tcBorders>
                    <w:right w:val="single" w:color="auto" w:sz="4" w:space="0"/>
                  </w:tcBorders>
                  <w:vAlign w:val="center"/>
                </w:tcPr>
                <w:p w14:paraId="67870BE2">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非正常排放工况</w:t>
                  </w:r>
                </w:p>
              </w:tc>
              <w:tc>
                <w:tcPr>
                  <w:tcW w:w="926" w:type="pct"/>
                  <w:gridSpan w:val="2"/>
                  <w:vAlign w:val="center"/>
                </w:tcPr>
                <w:p w14:paraId="71614CA4">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执行标准</w:t>
                  </w:r>
                </w:p>
              </w:tc>
              <w:tc>
                <w:tcPr>
                  <w:tcW w:w="469" w:type="pct"/>
                  <w:vMerge w:val="restart"/>
                  <w:vAlign w:val="center"/>
                </w:tcPr>
                <w:p w14:paraId="2E497019">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达标情况</w:t>
                  </w:r>
                </w:p>
              </w:tc>
            </w:tr>
            <w:tr w14:paraId="2769A8E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5" w:type="pct"/>
                  <w:vMerge w:val="continue"/>
                  <w:vAlign w:val="center"/>
                </w:tcPr>
                <w:p w14:paraId="7D24B627">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p>
              </w:tc>
              <w:tc>
                <w:tcPr>
                  <w:tcW w:w="503" w:type="pct"/>
                  <w:vMerge w:val="continue"/>
                  <w:vAlign w:val="center"/>
                </w:tcPr>
                <w:p w14:paraId="0B18BCF4">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p>
              </w:tc>
              <w:tc>
                <w:tcPr>
                  <w:tcW w:w="634" w:type="pct"/>
                  <w:vMerge w:val="continue"/>
                  <w:vAlign w:val="center"/>
                </w:tcPr>
                <w:p w14:paraId="2CDBFA88">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p>
              </w:tc>
              <w:tc>
                <w:tcPr>
                  <w:tcW w:w="505" w:type="pct"/>
                  <w:vAlign w:val="center"/>
                </w:tcPr>
                <w:p w14:paraId="3E2E2D47">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排放</w:t>
                  </w:r>
                </w:p>
                <w:p w14:paraId="632285F3">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浓度mg/m</w:t>
                  </w:r>
                  <w:r>
                    <w:rPr>
                      <w:rFonts w:hint="default" w:ascii="Times New Roman" w:hAnsi="Times New Roman" w:eastAsia="宋体" w:cs="Times New Roman"/>
                      <w:color w:val="auto"/>
                      <w:sz w:val="21"/>
                      <w:szCs w:val="21"/>
                      <w:u w:val="none" w:color="auto"/>
                      <w:vertAlign w:val="superscript"/>
                      <w:lang w:val="zh-CN"/>
                    </w:rPr>
                    <w:t>3</w:t>
                  </w:r>
                </w:p>
              </w:tc>
              <w:tc>
                <w:tcPr>
                  <w:tcW w:w="654" w:type="pct"/>
                  <w:vAlign w:val="center"/>
                </w:tcPr>
                <w:p w14:paraId="325346C8">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排放速率kg/h</w:t>
                  </w:r>
                </w:p>
              </w:tc>
              <w:tc>
                <w:tcPr>
                  <w:tcW w:w="711" w:type="pct"/>
                  <w:vAlign w:val="center"/>
                </w:tcPr>
                <w:p w14:paraId="24ACD220">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频次及持续时间</w:t>
                  </w:r>
                </w:p>
              </w:tc>
              <w:tc>
                <w:tcPr>
                  <w:tcW w:w="503" w:type="pct"/>
                  <w:vAlign w:val="center"/>
                </w:tcPr>
                <w:p w14:paraId="30D9F11C">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排放</w:t>
                  </w:r>
                </w:p>
                <w:p w14:paraId="049A52A4">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浓度mg/m</w:t>
                  </w:r>
                  <w:r>
                    <w:rPr>
                      <w:rFonts w:hint="default" w:ascii="Times New Roman" w:hAnsi="Times New Roman" w:eastAsia="宋体" w:cs="Times New Roman"/>
                      <w:color w:val="auto"/>
                      <w:sz w:val="21"/>
                      <w:szCs w:val="21"/>
                      <w:u w:val="none" w:color="auto"/>
                      <w:vertAlign w:val="superscript"/>
                      <w:lang w:val="zh-CN"/>
                    </w:rPr>
                    <w:t>3</w:t>
                  </w:r>
                </w:p>
              </w:tc>
              <w:tc>
                <w:tcPr>
                  <w:tcW w:w="422" w:type="pct"/>
                  <w:vAlign w:val="center"/>
                </w:tcPr>
                <w:p w14:paraId="2D7AB354">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排放速率kg/h</w:t>
                  </w:r>
                </w:p>
              </w:tc>
              <w:tc>
                <w:tcPr>
                  <w:tcW w:w="469" w:type="pct"/>
                  <w:vMerge w:val="continue"/>
                  <w:vAlign w:val="center"/>
                </w:tcPr>
                <w:p w14:paraId="1E66C0D6">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p>
              </w:tc>
            </w:tr>
            <w:tr w14:paraId="5363166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5" w:type="pct"/>
                  <w:vMerge w:val="restart"/>
                  <w:vAlign w:val="center"/>
                </w:tcPr>
                <w:p w14:paraId="0E2D1D29">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DA001</w:t>
                  </w:r>
                </w:p>
              </w:tc>
              <w:tc>
                <w:tcPr>
                  <w:tcW w:w="503" w:type="pct"/>
                  <w:vAlign w:val="center"/>
                </w:tcPr>
                <w:p w14:paraId="4911D576">
                  <w:pPr>
                    <w:pStyle w:val="171"/>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氯化</w:t>
                  </w:r>
                </w:p>
                <w:p w14:paraId="756CF77B">
                  <w:pPr>
                    <w:pStyle w:val="171"/>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rPr>
                    <w:t>氢</w:t>
                  </w:r>
                </w:p>
              </w:tc>
              <w:tc>
                <w:tcPr>
                  <w:tcW w:w="634" w:type="pct"/>
                  <w:vMerge w:val="restart"/>
                  <w:vAlign w:val="center"/>
                </w:tcPr>
                <w:p w14:paraId="455C13A5">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废气处理设施故障，按最不利情况，考虑，处理效率为0%</w:t>
                  </w:r>
                </w:p>
              </w:tc>
              <w:tc>
                <w:tcPr>
                  <w:tcW w:w="505" w:type="pct"/>
                  <w:vAlign w:val="center"/>
                </w:tcPr>
                <w:p w14:paraId="5D7F725D">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c>
                <w:tcPr>
                  <w:tcW w:w="654" w:type="pct"/>
                  <w:vAlign w:val="center"/>
                </w:tcPr>
                <w:p w14:paraId="639D916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c>
                <w:tcPr>
                  <w:tcW w:w="711" w:type="pct"/>
                  <w:vAlign w:val="center"/>
                </w:tcPr>
                <w:p w14:paraId="1654D2D0">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1-2次/a， 1h/次</w:t>
                  </w:r>
                </w:p>
              </w:tc>
              <w:tc>
                <w:tcPr>
                  <w:tcW w:w="503" w:type="pct"/>
                  <w:vAlign w:val="center"/>
                </w:tcPr>
                <w:p w14:paraId="4F6AD164">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zh-CN"/>
                    </w:rPr>
                    <w:t>10</w:t>
                  </w:r>
                  <w:r>
                    <w:rPr>
                      <w:rFonts w:hint="default" w:ascii="Times New Roman" w:hAnsi="Times New Roman" w:eastAsia="宋体" w:cs="Times New Roman"/>
                      <w:color w:val="auto"/>
                      <w:sz w:val="21"/>
                      <w:szCs w:val="21"/>
                      <w:u w:val="none" w:color="auto"/>
                      <w:lang w:val="en-US" w:eastAsia="zh-CN"/>
                    </w:rPr>
                    <w:t>0</w:t>
                  </w:r>
                </w:p>
              </w:tc>
              <w:tc>
                <w:tcPr>
                  <w:tcW w:w="422" w:type="pct"/>
                  <w:vAlign w:val="center"/>
                </w:tcPr>
                <w:p w14:paraId="15A7E8D7">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0.43</w:t>
                  </w:r>
                </w:p>
              </w:tc>
              <w:tc>
                <w:tcPr>
                  <w:tcW w:w="469" w:type="pct"/>
                  <w:vAlign w:val="center"/>
                </w:tcPr>
                <w:p w14:paraId="73F3CABB">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val="en-US" w:eastAsia="zh-CN"/>
                    </w:rPr>
                    <w:t>/</w:t>
                  </w:r>
                </w:p>
              </w:tc>
            </w:tr>
            <w:tr w14:paraId="4FFE4E1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5" w:type="pct"/>
                  <w:vMerge w:val="continue"/>
                  <w:vAlign w:val="center"/>
                </w:tcPr>
                <w:p w14:paraId="218169CA">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u w:val="none" w:color="auto"/>
                    </w:rPr>
                  </w:pPr>
                </w:p>
              </w:tc>
              <w:tc>
                <w:tcPr>
                  <w:tcW w:w="503" w:type="pct"/>
                  <w:vAlign w:val="center"/>
                </w:tcPr>
                <w:p w14:paraId="0DCC1181">
                  <w:pPr>
                    <w:pStyle w:val="171"/>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硫酸</w:t>
                  </w:r>
                </w:p>
                <w:p w14:paraId="603AFA9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rPr>
                    <w:t>雾</w:t>
                  </w:r>
                </w:p>
              </w:tc>
              <w:tc>
                <w:tcPr>
                  <w:tcW w:w="634" w:type="pct"/>
                  <w:vMerge w:val="continue"/>
                  <w:vAlign w:val="center"/>
                </w:tcPr>
                <w:p w14:paraId="11AB0920">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p>
              </w:tc>
              <w:tc>
                <w:tcPr>
                  <w:tcW w:w="505" w:type="pct"/>
                  <w:vAlign w:val="center"/>
                </w:tcPr>
                <w:p w14:paraId="72275EC3">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c>
                <w:tcPr>
                  <w:tcW w:w="654" w:type="pct"/>
                  <w:vAlign w:val="center"/>
                </w:tcPr>
                <w:p w14:paraId="0B23B5C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c>
                <w:tcPr>
                  <w:tcW w:w="711" w:type="pct"/>
                  <w:vAlign w:val="center"/>
                </w:tcPr>
                <w:p w14:paraId="3CA49187">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1-2次/a， 1h/次</w:t>
                  </w:r>
                </w:p>
              </w:tc>
              <w:tc>
                <w:tcPr>
                  <w:tcW w:w="503" w:type="pct"/>
                  <w:vAlign w:val="center"/>
                </w:tcPr>
                <w:p w14:paraId="303119DF">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45</w:t>
                  </w:r>
                </w:p>
              </w:tc>
              <w:tc>
                <w:tcPr>
                  <w:tcW w:w="422" w:type="pct"/>
                  <w:vAlign w:val="center"/>
                </w:tcPr>
                <w:p w14:paraId="0811CA4B">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2.6</w:t>
                  </w:r>
                </w:p>
              </w:tc>
              <w:tc>
                <w:tcPr>
                  <w:tcW w:w="469" w:type="pct"/>
                  <w:vAlign w:val="center"/>
                </w:tcPr>
                <w:p w14:paraId="25776415">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val="en-US" w:eastAsia="zh-CN"/>
                    </w:rPr>
                    <w:t>/</w:t>
                  </w:r>
                </w:p>
              </w:tc>
            </w:tr>
            <w:tr w14:paraId="595AC77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5" w:type="pct"/>
                  <w:vMerge w:val="restart"/>
                  <w:vAlign w:val="center"/>
                </w:tcPr>
                <w:p w14:paraId="15586EED">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DA002</w:t>
                  </w:r>
                </w:p>
              </w:tc>
              <w:tc>
                <w:tcPr>
                  <w:tcW w:w="503" w:type="pct"/>
                  <w:vAlign w:val="center"/>
                </w:tcPr>
                <w:p w14:paraId="43D5E1FB">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val="en-US" w:eastAsia="zh-CN"/>
                    </w:rPr>
                    <w:t>油烟</w:t>
                  </w:r>
                </w:p>
              </w:tc>
              <w:tc>
                <w:tcPr>
                  <w:tcW w:w="634" w:type="pct"/>
                  <w:vMerge w:val="continue"/>
                  <w:vAlign w:val="center"/>
                </w:tcPr>
                <w:p w14:paraId="5E08AC70">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p>
              </w:tc>
              <w:tc>
                <w:tcPr>
                  <w:tcW w:w="505" w:type="pct"/>
                  <w:vAlign w:val="center"/>
                </w:tcPr>
                <w:p w14:paraId="5AD88B7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val="en-US" w:eastAsia="zh-CN"/>
                    </w:rPr>
                    <w:t>16.9</w:t>
                  </w:r>
                </w:p>
              </w:tc>
              <w:tc>
                <w:tcPr>
                  <w:tcW w:w="654" w:type="pct"/>
                  <w:vAlign w:val="center"/>
                </w:tcPr>
                <w:p w14:paraId="35AB8B7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val="en-US" w:eastAsia="zh-CN"/>
                    </w:rPr>
                    <w:t>0.6</w:t>
                  </w:r>
                </w:p>
              </w:tc>
              <w:tc>
                <w:tcPr>
                  <w:tcW w:w="711" w:type="pct"/>
                  <w:vAlign w:val="center"/>
                </w:tcPr>
                <w:p w14:paraId="5B0CCEDF">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1-2次/a， 1h/次</w:t>
                  </w:r>
                </w:p>
              </w:tc>
              <w:tc>
                <w:tcPr>
                  <w:tcW w:w="503" w:type="pct"/>
                  <w:vAlign w:val="center"/>
                </w:tcPr>
                <w:p w14:paraId="52937D10">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w:t>
                  </w:r>
                </w:p>
              </w:tc>
              <w:tc>
                <w:tcPr>
                  <w:tcW w:w="422" w:type="pct"/>
                  <w:vAlign w:val="center"/>
                </w:tcPr>
                <w:p w14:paraId="1DFA33FD">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469" w:type="pct"/>
                  <w:vAlign w:val="center"/>
                </w:tcPr>
                <w:p w14:paraId="2D6F6A17">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超标</w:t>
                  </w:r>
                </w:p>
              </w:tc>
            </w:tr>
            <w:tr w14:paraId="22A4313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5" w:type="pct"/>
                  <w:vMerge w:val="continue"/>
                  <w:vAlign w:val="center"/>
                </w:tcPr>
                <w:p w14:paraId="1D1F4155">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u w:val="none" w:color="auto"/>
                    </w:rPr>
                  </w:pPr>
                </w:p>
              </w:tc>
              <w:tc>
                <w:tcPr>
                  <w:tcW w:w="503" w:type="pct"/>
                  <w:vAlign w:val="center"/>
                </w:tcPr>
                <w:p w14:paraId="5A0A3B69">
                  <w:pPr>
                    <w:pStyle w:val="149"/>
                    <w:keepNext w:val="0"/>
                    <w:keepLines w:val="0"/>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rPr>
                    <w:t>非甲烷总烃</w:t>
                  </w:r>
                </w:p>
              </w:tc>
              <w:tc>
                <w:tcPr>
                  <w:tcW w:w="634" w:type="pct"/>
                  <w:vMerge w:val="continue"/>
                  <w:vAlign w:val="center"/>
                </w:tcPr>
                <w:p w14:paraId="0621FA49">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p>
              </w:tc>
              <w:tc>
                <w:tcPr>
                  <w:tcW w:w="505" w:type="pct"/>
                  <w:vAlign w:val="center"/>
                </w:tcPr>
                <w:p w14:paraId="1E5143E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val="en-US" w:eastAsia="zh-CN"/>
                    </w:rPr>
                    <w:t>11.8</w:t>
                  </w:r>
                </w:p>
              </w:tc>
              <w:tc>
                <w:tcPr>
                  <w:tcW w:w="654" w:type="pct"/>
                  <w:vAlign w:val="center"/>
                </w:tcPr>
                <w:p w14:paraId="70CA090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val="en-US" w:eastAsia="zh-CN"/>
                    </w:rPr>
                    <w:t>0.42</w:t>
                  </w:r>
                </w:p>
              </w:tc>
              <w:tc>
                <w:tcPr>
                  <w:tcW w:w="711" w:type="pct"/>
                  <w:vAlign w:val="center"/>
                </w:tcPr>
                <w:p w14:paraId="319100EC">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zh-CN"/>
                    </w:rPr>
                  </w:pPr>
                  <w:r>
                    <w:rPr>
                      <w:rFonts w:hint="default" w:ascii="Times New Roman" w:hAnsi="Times New Roman" w:eastAsia="宋体" w:cs="Times New Roman"/>
                      <w:color w:val="auto"/>
                      <w:sz w:val="21"/>
                      <w:szCs w:val="21"/>
                      <w:u w:val="none" w:color="auto"/>
                      <w:lang w:val="zh-CN"/>
                    </w:rPr>
                    <w:t>1-2次/a， 1h/次</w:t>
                  </w:r>
                </w:p>
              </w:tc>
              <w:tc>
                <w:tcPr>
                  <w:tcW w:w="503" w:type="pct"/>
                  <w:vAlign w:val="center"/>
                </w:tcPr>
                <w:p w14:paraId="0AFFA696">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10</w:t>
                  </w:r>
                </w:p>
              </w:tc>
              <w:tc>
                <w:tcPr>
                  <w:tcW w:w="422" w:type="pct"/>
                  <w:vAlign w:val="center"/>
                </w:tcPr>
                <w:p w14:paraId="0D96E9F0">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c>
                <w:tcPr>
                  <w:tcW w:w="469" w:type="pct"/>
                  <w:vAlign w:val="center"/>
                </w:tcPr>
                <w:p w14:paraId="433AF625">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超标</w:t>
                  </w:r>
                </w:p>
              </w:tc>
            </w:tr>
          </w:tbl>
          <w:p w14:paraId="20CFFD5A">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由上表可知，非正常工况下，</w:t>
            </w:r>
            <w:r>
              <w:rPr>
                <w:rFonts w:hint="default" w:ascii="Times New Roman" w:hAnsi="Times New Roman" w:eastAsia="宋体" w:cs="Times New Roman"/>
                <w:color w:val="auto"/>
                <w:sz w:val="24"/>
                <w:u w:val="none" w:color="auto"/>
              </w:rPr>
              <w:t>项目DA002有污染物的排放浓度超标</w:t>
            </w:r>
            <w:r>
              <w:rPr>
                <w:rFonts w:hint="default" w:ascii="Times New Roman" w:hAnsi="Times New Roman" w:eastAsia="宋体" w:cs="Times New Roman"/>
                <w:color w:val="auto"/>
                <w:sz w:val="24"/>
                <w:szCs w:val="24"/>
                <w:u w:val="none" w:color="auto"/>
              </w:rPr>
              <w:t>。为防止生产废气非正常工况排放，企业必须加强废气处理设施的管理，定期检修，确保废气处理设施正常运行，在废气处理设备停止运行或出现故障时，产生废气的各工序也必须相应停止生产。为杜绝废气非正常排放，应采取以下措施确保废气达标排放：</w:t>
            </w:r>
          </w:p>
          <w:p w14:paraId="489CB87A">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①安排专人负责环保设备的日常维护和管理，每隔固定时间检查、汇报情况，及时发现废气处理设备的隐患，确保废气处理系统正常运行；</w:t>
            </w:r>
          </w:p>
          <w:p w14:paraId="13DBDAC2">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②建立健全的环保管理机构，对环保管理人员和技术人员进行岗位培训，委托具有专业资质的环境检测单位对项目排放的各类污染物进行定期检测；</w:t>
            </w:r>
          </w:p>
          <w:p w14:paraId="6AC1D9D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③应定期维护、检修废气净化装置，以保持废气处理装置的净化能力和净化容量。</w:t>
            </w:r>
          </w:p>
          <w:p w14:paraId="5E151CA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bCs/>
                <w:color w:val="auto"/>
                <w:kern w:val="0"/>
                <w:sz w:val="24"/>
                <w:szCs w:val="24"/>
                <w:u w:val="none" w:color="auto"/>
              </w:rPr>
            </w:pPr>
            <w:r>
              <w:rPr>
                <w:rFonts w:hint="eastAsia" w:ascii="Times New Roman" w:hAnsi="Times New Roman" w:cs="Times New Roman"/>
                <w:bCs/>
                <w:color w:val="auto"/>
                <w:kern w:val="0"/>
                <w:sz w:val="24"/>
                <w:szCs w:val="24"/>
                <w:u w:val="none" w:color="auto"/>
                <w:lang w:val="en-US" w:eastAsia="zh-CN"/>
              </w:rPr>
              <w:t>1</w:t>
            </w:r>
            <w:r>
              <w:rPr>
                <w:rFonts w:hint="default" w:ascii="Times New Roman" w:hAnsi="Times New Roman" w:eastAsia="宋体" w:cs="Times New Roman"/>
                <w:bCs/>
                <w:color w:val="auto"/>
                <w:kern w:val="0"/>
                <w:sz w:val="24"/>
                <w:szCs w:val="24"/>
                <w:u w:val="none" w:color="auto"/>
              </w:rPr>
              <w:t>.6废气治理措施可行性分析</w:t>
            </w:r>
          </w:p>
          <w:p w14:paraId="64190153">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bCs/>
                <w:color w:val="auto"/>
                <w:kern w:val="0"/>
                <w:sz w:val="24"/>
                <w:szCs w:val="24"/>
                <w:u w:val="none" w:color="auto"/>
              </w:rPr>
            </w:pPr>
            <w:r>
              <w:rPr>
                <w:rFonts w:hint="default" w:ascii="Times New Roman" w:hAnsi="Times New Roman" w:eastAsia="宋体" w:cs="Times New Roman"/>
                <w:bCs/>
                <w:color w:val="auto"/>
                <w:sz w:val="24"/>
                <w:szCs w:val="24"/>
                <w:u w:val="none" w:color="auto"/>
              </w:rPr>
              <w:t>（1）</w:t>
            </w:r>
            <w:r>
              <w:rPr>
                <w:rFonts w:hint="default" w:ascii="Times New Roman" w:hAnsi="Times New Roman" w:eastAsia="宋体" w:cs="Times New Roman"/>
                <w:color w:val="auto"/>
                <w:sz w:val="24"/>
                <w:highlight w:val="none"/>
                <w:u w:val="none" w:color="auto"/>
                <w:lang w:val="en-US" w:eastAsia="zh-CN"/>
              </w:rPr>
              <w:t>二级活性炭吸附原理：基于活性炭的‌</w:t>
            </w:r>
            <w:r>
              <w:rPr>
                <w:rFonts w:hint="default" w:ascii="Times New Roman" w:hAnsi="Times New Roman" w:eastAsia="宋体" w:cs="Times New Roman"/>
                <w:color w:val="auto"/>
                <w:sz w:val="24"/>
                <w:highlight w:val="none"/>
                <w:u w:val="none" w:color="auto"/>
                <w:lang w:val="en-US" w:eastAsia="zh-CN"/>
              </w:rPr>
              <w:fldChar w:fldCharType="begin"/>
            </w:r>
            <w:r>
              <w:rPr>
                <w:rFonts w:hint="default" w:ascii="Times New Roman" w:hAnsi="Times New Roman" w:eastAsia="宋体" w:cs="Times New Roman"/>
                <w:color w:val="auto"/>
                <w:sz w:val="24"/>
                <w:highlight w:val="none"/>
                <w:u w:val="none" w:color="auto"/>
                <w:lang w:val="en-US" w:eastAsia="zh-CN"/>
              </w:rPr>
              <w:instrText xml:space="preserve"> HYPERLINK "https://www.baidu.com/s?tn=15007414_9_pg&amp;wd=%E7%89%A9%E7%90%86%E5%90%B8%E9%99%84&amp;usm=1&amp;ie=utf-8&amp;rsv_pq=e0f16c5600015e22&amp;oq=%E4%BA%8C%E7%BA%A7%E6%B4%BB%E6%80%A7%E7%82%AD%E5%90%B8%E9%99%84%E5%8E%9F%E7%90%86&amp;rsv_t=31a7todrrFo2OYHtPW/A5z0/B8yvy/1y9qQjfdCbVk+YFRTPZOxwUmIt7LfmdvtgzH2C2Q&amp;sa=re_dqa_generate" \t "https://www.baidu.com/_self" </w:instrText>
            </w:r>
            <w:r>
              <w:rPr>
                <w:rFonts w:hint="default" w:ascii="Times New Roman" w:hAnsi="Times New Roman" w:eastAsia="宋体" w:cs="Times New Roman"/>
                <w:color w:val="auto"/>
                <w:sz w:val="24"/>
                <w:highlight w:val="none"/>
                <w:u w:val="none" w:color="auto"/>
                <w:lang w:val="en-US" w:eastAsia="zh-CN"/>
              </w:rPr>
              <w:fldChar w:fldCharType="separate"/>
            </w:r>
            <w:r>
              <w:rPr>
                <w:rFonts w:hint="default" w:ascii="Times New Roman" w:hAnsi="Times New Roman" w:eastAsia="宋体" w:cs="Times New Roman"/>
                <w:color w:val="auto"/>
                <w:sz w:val="24"/>
                <w:highlight w:val="none"/>
                <w:u w:val="none" w:color="auto"/>
                <w:lang w:val="en-US" w:eastAsia="zh-CN"/>
              </w:rPr>
              <w:t>物理吸附</w:t>
            </w:r>
            <w:r>
              <w:rPr>
                <w:rFonts w:hint="default" w:ascii="Times New Roman" w:hAnsi="Times New Roman" w:eastAsia="宋体" w:cs="Times New Roman"/>
                <w:color w:val="auto"/>
                <w:sz w:val="24"/>
                <w:highlight w:val="none"/>
                <w:u w:val="none" w:color="auto"/>
                <w:lang w:val="en-US" w:eastAsia="zh-CN"/>
              </w:rPr>
              <w:fldChar w:fldCharType="end"/>
            </w:r>
            <w:r>
              <w:rPr>
                <w:rFonts w:hint="default" w:ascii="Times New Roman" w:hAnsi="Times New Roman" w:eastAsia="宋体" w:cs="Times New Roman"/>
                <w:color w:val="auto"/>
                <w:sz w:val="24"/>
                <w:highlight w:val="none"/>
                <w:u w:val="none" w:color="auto"/>
                <w:lang w:val="en-US" w:eastAsia="zh-CN"/>
              </w:rPr>
              <w:t>和‌</w:t>
            </w:r>
            <w:r>
              <w:rPr>
                <w:rFonts w:hint="default" w:ascii="Times New Roman" w:hAnsi="Times New Roman" w:eastAsia="宋体" w:cs="Times New Roman"/>
                <w:color w:val="auto"/>
                <w:sz w:val="24"/>
                <w:highlight w:val="none"/>
                <w:u w:val="none" w:color="auto"/>
                <w:lang w:val="en-US" w:eastAsia="zh-CN"/>
              </w:rPr>
              <w:fldChar w:fldCharType="begin"/>
            </w:r>
            <w:r>
              <w:rPr>
                <w:rFonts w:hint="default" w:ascii="Times New Roman" w:hAnsi="Times New Roman" w:eastAsia="宋体" w:cs="Times New Roman"/>
                <w:color w:val="auto"/>
                <w:sz w:val="24"/>
                <w:highlight w:val="none"/>
                <w:u w:val="none" w:color="auto"/>
                <w:lang w:val="en-US" w:eastAsia="zh-CN"/>
              </w:rPr>
              <w:instrText xml:space="preserve"> HYPERLINK "https://www.baidu.com/s?tn=15007414_9_pg&amp;wd=%E5%8C%96%E5%AD%A6%E5%90%B8%E9%99%84&amp;usm=1&amp;ie=utf-8&amp;rsv_pq=e0f16c5600015e22&amp;oq=%E4%BA%8C%E7%BA%A7%E6%B4%BB%E6%80%A7%E7%82%AD%E5%90%B8%E9%99%84%E5%8E%9F%E7%90%86&amp;rsv_t=1102SntsdTh1i9YXTi3bX/uf1d91qsmlGyXIJ63qR8ttVdwDAgJz3VXMoIEDnNr2MyQN6w&amp;sa=re_dqa_generate" \t "https://www.baidu.com/_self" </w:instrText>
            </w:r>
            <w:r>
              <w:rPr>
                <w:rFonts w:hint="default" w:ascii="Times New Roman" w:hAnsi="Times New Roman" w:eastAsia="宋体" w:cs="Times New Roman"/>
                <w:color w:val="auto"/>
                <w:sz w:val="24"/>
                <w:highlight w:val="none"/>
                <w:u w:val="none" w:color="auto"/>
                <w:lang w:val="en-US" w:eastAsia="zh-CN"/>
              </w:rPr>
              <w:fldChar w:fldCharType="separate"/>
            </w:r>
            <w:r>
              <w:rPr>
                <w:rFonts w:hint="default" w:ascii="Times New Roman" w:hAnsi="Times New Roman" w:eastAsia="宋体" w:cs="Times New Roman"/>
                <w:color w:val="auto"/>
                <w:sz w:val="24"/>
                <w:highlight w:val="none"/>
                <w:u w:val="none" w:color="auto"/>
                <w:lang w:val="en-US" w:eastAsia="zh-CN"/>
              </w:rPr>
              <w:t>化学吸附</w:t>
            </w:r>
            <w:r>
              <w:rPr>
                <w:rFonts w:hint="default" w:ascii="Times New Roman" w:hAnsi="Times New Roman" w:eastAsia="宋体" w:cs="Times New Roman"/>
                <w:color w:val="auto"/>
                <w:sz w:val="24"/>
                <w:highlight w:val="none"/>
                <w:u w:val="none" w:color="auto"/>
                <w:lang w:val="en-US" w:eastAsia="zh-CN"/>
              </w:rPr>
              <w:fldChar w:fldCharType="end"/>
            </w:r>
            <w:r>
              <w:rPr>
                <w:rFonts w:hint="default" w:ascii="Times New Roman" w:hAnsi="Times New Roman" w:eastAsia="宋体" w:cs="Times New Roman"/>
                <w:color w:val="auto"/>
                <w:sz w:val="24"/>
                <w:highlight w:val="none"/>
                <w:u w:val="none" w:color="auto"/>
                <w:lang w:val="en-US" w:eastAsia="zh-CN"/>
              </w:rPr>
              <w:t>特性。当尾气由‌</w:t>
            </w:r>
            <w:r>
              <w:rPr>
                <w:rFonts w:hint="default" w:ascii="Times New Roman" w:hAnsi="Times New Roman" w:eastAsia="宋体" w:cs="Times New Roman"/>
                <w:color w:val="auto"/>
                <w:sz w:val="24"/>
                <w:highlight w:val="none"/>
                <w:u w:val="none" w:color="auto"/>
                <w:lang w:val="en-US" w:eastAsia="zh-CN"/>
              </w:rPr>
              <w:fldChar w:fldCharType="begin"/>
            </w:r>
            <w:r>
              <w:rPr>
                <w:rFonts w:hint="default" w:ascii="Times New Roman" w:hAnsi="Times New Roman" w:eastAsia="宋体" w:cs="Times New Roman"/>
                <w:color w:val="auto"/>
                <w:sz w:val="24"/>
                <w:highlight w:val="none"/>
                <w:u w:val="none" w:color="auto"/>
                <w:lang w:val="en-US" w:eastAsia="zh-CN"/>
              </w:rPr>
              <w:instrText xml:space="preserve"> HYPERLINK "https://www.baidu.com/s?tn=15007414_9_pg&amp;wd=%E9%A3%8E%E6%9C%BA&amp;usm=1&amp;ie=utf-8&amp;rsv_pq=e0f16c5600015e22&amp;oq=%E4%BA%8C%E7%BA%A7%E6%B4%BB%E6%80%A7%E7%82%AD%E5%90%B8%E9%99%84%E5%8E%9F%E7%90%86&amp;rsv_t=ae88Ek2rj7KzmCca6VUCazGTY1U1Ei4FDOl52fFuMSYNA6LqUSBOR/mWrVvQHmqqUITZYg&amp;sa=re_dqa_generate" \t "https://www.baidu.com/_self" </w:instrText>
            </w:r>
            <w:r>
              <w:rPr>
                <w:rFonts w:hint="default" w:ascii="Times New Roman" w:hAnsi="Times New Roman" w:eastAsia="宋体" w:cs="Times New Roman"/>
                <w:color w:val="auto"/>
                <w:sz w:val="24"/>
                <w:highlight w:val="none"/>
                <w:u w:val="none" w:color="auto"/>
                <w:lang w:val="en-US" w:eastAsia="zh-CN"/>
              </w:rPr>
              <w:fldChar w:fldCharType="separate"/>
            </w:r>
            <w:r>
              <w:rPr>
                <w:rFonts w:hint="default" w:ascii="Times New Roman" w:hAnsi="Times New Roman" w:eastAsia="宋体" w:cs="Times New Roman"/>
                <w:color w:val="auto"/>
                <w:sz w:val="24"/>
                <w:highlight w:val="none"/>
                <w:u w:val="none" w:color="auto"/>
                <w:lang w:val="en-US" w:eastAsia="zh-CN"/>
              </w:rPr>
              <w:t>风机</w:t>
            </w:r>
            <w:r>
              <w:rPr>
                <w:rFonts w:hint="default" w:ascii="Times New Roman" w:hAnsi="Times New Roman" w:eastAsia="宋体" w:cs="Times New Roman"/>
                <w:color w:val="auto"/>
                <w:sz w:val="24"/>
                <w:highlight w:val="none"/>
                <w:u w:val="none" w:color="auto"/>
                <w:lang w:val="en-US" w:eastAsia="zh-CN"/>
              </w:rPr>
              <w:fldChar w:fldCharType="end"/>
            </w:r>
            <w:r>
              <w:rPr>
                <w:rFonts w:hint="default" w:ascii="Times New Roman" w:hAnsi="Times New Roman" w:eastAsia="宋体" w:cs="Times New Roman"/>
                <w:color w:val="auto"/>
                <w:sz w:val="24"/>
                <w:highlight w:val="none"/>
                <w:u w:val="none" w:color="auto"/>
                <w:lang w:val="en-US" w:eastAsia="zh-CN"/>
              </w:rPr>
              <w:t>提供动力，正压或负压进入活性炭吸附箱体时，气体分子由于活性炭固体表面的分子引力和化学键力而被吸附在活性炭表面，从而净化废气。活性炭吸附法通过将废气中的有机物溶剂蒸汽吸附到活性炭表面，达到净化废气的目的。</w:t>
            </w:r>
          </w:p>
          <w:p w14:paraId="3069E3E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bCs/>
                <w:color w:val="auto"/>
                <w:kern w:val="0"/>
                <w:sz w:val="24"/>
                <w:u w:val="none" w:color="auto"/>
              </w:rPr>
            </w:pPr>
            <w:r>
              <w:rPr>
                <w:rFonts w:hint="default" w:ascii="Times New Roman" w:hAnsi="Times New Roman" w:eastAsia="宋体" w:cs="Times New Roman"/>
                <w:bCs/>
                <w:color w:val="auto"/>
                <w:kern w:val="0"/>
                <w:sz w:val="24"/>
                <w:u w:val="none" w:color="auto"/>
              </w:rPr>
              <w:t>（2）</w:t>
            </w:r>
            <w:r>
              <w:rPr>
                <w:rFonts w:hint="eastAsia" w:cs="Times New Roman"/>
                <w:bCs/>
                <w:color w:val="auto"/>
                <w:kern w:val="0"/>
                <w:sz w:val="24"/>
                <w:u w:val="none" w:color="auto"/>
                <w:lang w:eastAsia="zh-CN"/>
              </w:rPr>
              <w:t>餐厅</w:t>
            </w:r>
            <w:r>
              <w:rPr>
                <w:rFonts w:hint="default" w:ascii="Times New Roman" w:hAnsi="Times New Roman" w:eastAsia="宋体" w:cs="Times New Roman"/>
                <w:bCs/>
                <w:color w:val="auto"/>
                <w:kern w:val="0"/>
                <w:sz w:val="24"/>
                <w:u w:val="none" w:color="auto"/>
              </w:rPr>
              <w:t>油烟治理措施分析</w:t>
            </w:r>
          </w:p>
          <w:p w14:paraId="1B261B0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bCs/>
                <w:color w:val="auto"/>
                <w:kern w:val="0"/>
                <w:sz w:val="24"/>
                <w:u w:val="none" w:color="auto"/>
              </w:rPr>
            </w:pPr>
            <w:r>
              <w:rPr>
                <w:rFonts w:hint="default" w:ascii="Times New Roman" w:hAnsi="Times New Roman" w:eastAsia="宋体" w:cs="Times New Roman"/>
                <w:bCs/>
                <w:color w:val="auto"/>
                <w:kern w:val="0"/>
                <w:sz w:val="24"/>
                <w:u w:val="none" w:color="auto"/>
              </w:rPr>
              <w:t>①项目</w:t>
            </w:r>
            <w:r>
              <w:rPr>
                <w:rFonts w:hint="eastAsia" w:cs="Times New Roman"/>
                <w:bCs/>
                <w:color w:val="auto"/>
                <w:kern w:val="0"/>
                <w:sz w:val="24"/>
                <w:u w:val="none" w:color="auto"/>
                <w:lang w:eastAsia="zh-CN"/>
              </w:rPr>
              <w:t>餐厅</w:t>
            </w:r>
            <w:r>
              <w:rPr>
                <w:rFonts w:hint="default" w:ascii="Times New Roman" w:hAnsi="Times New Roman" w:eastAsia="宋体" w:cs="Times New Roman"/>
                <w:bCs/>
                <w:color w:val="auto"/>
                <w:kern w:val="0"/>
                <w:sz w:val="24"/>
                <w:u w:val="none" w:color="auto"/>
              </w:rPr>
              <w:t>油烟</w:t>
            </w:r>
            <w:r>
              <w:rPr>
                <w:rFonts w:hint="default" w:ascii="Times New Roman" w:hAnsi="Times New Roman" w:eastAsia="宋体" w:cs="Times New Roman"/>
                <w:bCs/>
                <w:color w:val="auto"/>
                <w:kern w:val="0"/>
                <w:sz w:val="24"/>
                <w:u w:val="none" w:color="auto"/>
                <w:lang w:val="en-US" w:eastAsia="zh-CN"/>
              </w:rPr>
              <w:t>经现有8套</w:t>
            </w:r>
            <w:r>
              <w:rPr>
                <w:rFonts w:hint="default" w:ascii="Times New Roman" w:hAnsi="Times New Roman" w:eastAsia="宋体" w:cs="Times New Roman"/>
                <w:bCs/>
                <w:color w:val="auto"/>
                <w:kern w:val="0"/>
                <w:sz w:val="24"/>
                <w:u w:val="none" w:color="auto"/>
              </w:rPr>
              <w:t>油烟净化器</w:t>
            </w:r>
            <w:r>
              <w:rPr>
                <w:rFonts w:hint="default" w:ascii="Times New Roman" w:hAnsi="Times New Roman" w:eastAsia="宋体" w:cs="Times New Roman"/>
                <w:bCs/>
                <w:color w:val="auto"/>
                <w:kern w:val="0"/>
                <w:sz w:val="24"/>
                <w:u w:val="none" w:color="auto"/>
                <w:lang w:val="en-US" w:eastAsia="zh-CN"/>
              </w:rPr>
              <w:t>处理后通过1根专用烟道（DA002）排放</w:t>
            </w:r>
            <w:r>
              <w:rPr>
                <w:rFonts w:hint="default" w:ascii="Times New Roman" w:hAnsi="Times New Roman" w:eastAsia="宋体" w:cs="Times New Roman"/>
                <w:bCs/>
                <w:color w:val="auto"/>
                <w:kern w:val="0"/>
                <w:sz w:val="24"/>
                <w:u w:val="none" w:color="auto"/>
              </w:rPr>
              <w:t>，油烟处理后排放浓度为0.1</w:t>
            </w:r>
            <w:r>
              <w:rPr>
                <w:rFonts w:hint="default" w:ascii="Times New Roman" w:hAnsi="Times New Roman" w:eastAsia="宋体" w:cs="Times New Roman"/>
                <w:bCs/>
                <w:color w:val="auto"/>
                <w:kern w:val="0"/>
                <w:sz w:val="24"/>
                <w:u w:val="none" w:color="auto"/>
                <w:lang w:val="en-US" w:eastAsia="zh-CN"/>
              </w:rPr>
              <w:t>85</w:t>
            </w:r>
            <w:r>
              <w:rPr>
                <w:rFonts w:hint="default" w:ascii="Times New Roman" w:hAnsi="Times New Roman" w:eastAsia="宋体" w:cs="Times New Roman"/>
                <w:bCs/>
                <w:color w:val="auto"/>
                <w:kern w:val="0"/>
                <w:sz w:val="24"/>
                <w:u w:val="none" w:color="auto"/>
              </w:rPr>
              <w:t>mg/m</w:t>
            </w:r>
            <w:r>
              <w:rPr>
                <w:rFonts w:hint="default" w:ascii="Times New Roman" w:hAnsi="Times New Roman" w:eastAsia="宋体" w:cs="Times New Roman"/>
                <w:bCs/>
                <w:color w:val="auto"/>
                <w:kern w:val="0"/>
                <w:sz w:val="24"/>
                <w:u w:val="none" w:color="auto"/>
                <w:vertAlign w:val="superscript"/>
              </w:rPr>
              <w:t>3</w:t>
            </w:r>
            <w:r>
              <w:rPr>
                <w:rFonts w:hint="default" w:ascii="Times New Roman" w:hAnsi="Times New Roman" w:eastAsia="宋体" w:cs="Times New Roman"/>
                <w:bCs/>
                <w:color w:val="auto"/>
                <w:kern w:val="0"/>
                <w:sz w:val="24"/>
                <w:u w:val="none" w:color="auto"/>
              </w:rPr>
              <w:t>，排放速率为0.0</w:t>
            </w:r>
            <w:r>
              <w:rPr>
                <w:rFonts w:hint="default" w:ascii="Times New Roman" w:hAnsi="Times New Roman" w:eastAsia="宋体" w:cs="Times New Roman"/>
                <w:bCs/>
                <w:color w:val="auto"/>
                <w:kern w:val="0"/>
                <w:sz w:val="24"/>
                <w:u w:val="none" w:color="auto"/>
                <w:lang w:val="en-US" w:eastAsia="zh-CN"/>
              </w:rPr>
              <w:t>27</w:t>
            </w:r>
            <w:r>
              <w:rPr>
                <w:rFonts w:hint="default" w:ascii="Times New Roman" w:hAnsi="Times New Roman" w:eastAsia="宋体" w:cs="Times New Roman"/>
                <w:bCs/>
                <w:color w:val="auto"/>
                <w:kern w:val="0"/>
                <w:sz w:val="24"/>
                <w:u w:val="none" w:color="auto"/>
              </w:rPr>
              <w:t>kg/h，</w:t>
            </w:r>
            <w:r>
              <w:rPr>
                <w:rFonts w:hint="default" w:ascii="Times New Roman" w:hAnsi="Times New Roman" w:eastAsia="宋体" w:cs="Times New Roman"/>
                <w:bCs/>
                <w:color w:val="auto"/>
                <w:kern w:val="0"/>
                <w:sz w:val="24"/>
                <w:u w:val="none" w:color="auto"/>
                <w:lang w:val="en-US" w:eastAsia="zh-CN"/>
              </w:rPr>
              <w:t>非甲烷总烃</w:t>
            </w:r>
            <w:r>
              <w:rPr>
                <w:rFonts w:hint="default" w:ascii="Times New Roman" w:hAnsi="Times New Roman" w:eastAsia="宋体" w:cs="Times New Roman"/>
                <w:bCs/>
                <w:color w:val="auto"/>
                <w:kern w:val="0"/>
                <w:sz w:val="24"/>
                <w:u w:val="none" w:color="auto"/>
              </w:rPr>
              <w:t>处理后排放浓度为</w:t>
            </w:r>
            <w:r>
              <w:rPr>
                <w:rFonts w:hint="default" w:ascii="Times New Roman" w:hAnsi="Times New Roman" w:eastAsia="宋体" w:cs="Times New Roman"/>
                <w:bCs/>
                <w:color w:val="auto"/>
                <w:kern w:val="0"/>
                <w:sz w:val="24"/>
                <w:u w:val="none" w:color="auto"/>
                <w:lang w:val="en-US" w:eastAsia="zh-CN"/>
              </w:rPr>
              <w:t>4.73</w:t>
            </w:r>
            <w:r>
              <w:rPr>
                <w:rFonts w:hint="default" w:ascii="Times New Roman" w:hAnsi="Times New Roman" w:eastAsia="宋体" w:cs="Times New Roman"/>
                <w:bCs/>
                <w:color w:val="auto"/>
                <w:kern w:val="0"/>
                <w:sz w:val="24"/>
                <w:u w:val="none" w:color="auto"/>
              </w:rPr>
              <w:t>mg/m</w:t>
            </w:r>
            <w:r>
              <w:rPr>
                <w:rFonts w:hint="default" w:ascii="Times New Roman" w:hAnsi="Times New Roman" w:eastAsia="宋体" w:cs="Times New Roman"/>
                <w:bCs/>
                <w:color w:val="auto"/>
                <w:kern w:val="0"/>
                <w:sz w:val="24"/>
                <w:u w:val="none" w:color="auto"/>
                <w:vertAlign w:val="superscript"/>
              </w:rPr>
              <w:t>3</w:t>
            </w:r>
            <w:r>
              <w:rPr>
                <w:rFonts w:hint="default" w:ascii="Times New Roman" w:hAnsi="Times New Roman" w:eastAsia="宋体" w:cs="Times New Roman"/>
                <w:bCs/>
                <w:color w:val="auto"/>
                <w:kern w:val="0"/>
                <w:sz w:val="24"/>
                <w:u w:val="none" w:color="auto"/>
              </w:rPr>
              <w:t>，排放速率为</w:t>
            </w:r>
            <w:r>
              <w:rPr>
                <w:rFonts w:hint="default" w:ascii="Times New Roman" w:hAnsi="Times New Roman" w:eastAsia="宋体" w:cs="Times New Roman"/>
                <w:bCs/>
                <w:color w:val="auto"/>
                <w:kern w:val="0"/>
                <w:sz w:val="24"/>
                <w:u w:val="none" w:color="auto"/>
                <w:lang w:val="en-US" w:eastAsia="zh-CN"/>
              </w:rPr>
              <w:t>0.15</w:t>
            </w:r>
            <w:r>
              <w:rPr>
                <w:rFonts w:hint="default" w:ascii="Times New Roman" w:hAnsi="Times New Roman" w:eastAsia="宋体" w:cs="Times New Roman"/>
                <w:bCs/>
                <w:color w:val="auto"/>
                <w:kern w:val="0"/>
                <w:sz w:val="24"/>
                <w:u w:val="none" w:color="auto"/>
              </w:rPr>
              <w:t>kg/h，经处理后的</w:t>
            </w:r>
            <w:r>
              <w:rPr>
                <w:rFonts w:hint="default" w:ascii="Times New Roman" w:hAnsi="Times New Roman" w:eastAsia="宋体" w:cs="Times New Roman"/>
                <w:bCs/>
                <w:color w:val="auto"/>
                <w:kern w:val="0"/>
                <w:sz w:val="24"/>
                <w:u w:val="none" w:color="auto"/>
                <w:lang w:val="en-US" w:eastAsia="zh-CN"/>
              </w:rPr>
              <w:t>废气</w:t>
            </w:r>
            <w:r>
              <w:rPr>
                <w:rFonts w:hint="default" w:ascii="Times New Roman" w:hAnsi="Times New Roman" w:eastAsia="宋体" w:cs="Times New Roman"/>
                <w:bCs/>
                <w:color w:val="auto"/>
                <w:kern w:val="0"/>
                <w:sz w:val="24"/>
                <w:u w:val="none" w:color="auto"/>
              </w:rPr>
              <w:t>排放浓度可以满足《餐饮业油烟污染物排放标准》（DB41/1604-2018）</w:t>
            </w:r>
            <w:r>
              <w:rPr>
                <w:rFonts w:hint="default" w:ascii="Times New Roman" w:hAnsi="Times New Roman" w:eastAsia="宋体" w:cs="Times New Roman"/>
                <w:bCs/>
                <w:color w:val="auto"/>
                <w:kern w:val="0"/>
                <w:sz w:val="24"/>
                <w:u w:val="none" w:color="auto"/>
                <w:lang w:val="en-US" w:eastAsia="zh-CN"/>
              </w:rPr>
              <w:t>表1中</w:t>
            </w:r>
            <w:r>
              <w:rPr>
                <w:rFonts w:hint="default" w:ascii="Times New Roman" w:hAnsi="Times New Roman" w:eastAsia="宋体" w:cs="Times New Roman"/>
                <w:bCs/>
                <w:color w:val="auto"/>
                <w:kern w:val="0"/>
                <w:sz w:val="24"/>
                <w:u w:val="none" w:color="auto"/>
              </w:rPr>
              <w:t>相关排放限值要求，废气处理措施可行。</w:t>
            </w:r>
          </w:p>
          <w:p w14:paraId="2194CD3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bCs/>
                <w:color w:val="auto"/>
                <w:kern w:val="0"/>
                <w:sz w:val="24"/>
                <w:szCs w:val="24"/>
                <w:u w:val="none" w:color="auto"/>
              </w:rPr>
              <w:t xml:space="preserve"> </w:t>
            </w:r>
            <w:r>
              <w:rPr>
                <w:rFonts w:hint="default" w:ascii="Times New Roman" w:hAnsi="Times New Roman" w:eastAsia="宋体" w:cs="Times New Roman"/>
                <w:color w:val="auto"/>
                <w:sz w:val="24"/>
                <w:szCs w:val="24"/>
                <w:u w:val="none" w:color="auto"/>
              </w:rPr>
              <w:t>（3）无组织粉尘治理措施分析</w:t>
            </w:r>
          </w:p>
          <w:p w14:paraId="6FF740D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根据《河南省2019年工业企业无组织排放治理方案》中有关要求，评价要求对项目无组织废气应采取以下措施：</w:t>
            </w:r>
          </w:p>
          <w:p w14:paraId="514A895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①定期对环保设备进行维护，保证废气的收集处理效率；</w:t>
            </w:r>
          </w:p>
          <w:p w14:paraId="1CD0F9C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②项目</w:t>
            </w:r>
            <w:r>
              <w:rPr>
                <w:rFonts w:hint="default" w:ascii="Times New Roman" w:hAnsi="Times New Roman" w:eastAsia="宋体" w:cs="Times New Roman"/>
                <w:color w:val="auto"/>
                <w:sz w:val="24"/>
                <w:highlight w:val="none"/>
                <w:u w:val="none" w:color="auto"/>
                <w:lang w:val="en-US" w:eastAsia="zh-CN"/>
              </w:rPr>
              <w:t>实验楼、餐厅</w:t>
            </w:r>
            <w:r>
              <w:rPr>
                <w:rFonts w:hint="default" w:ascii="Times New Roman" w:hAnsi="Times New Roman" w:eastAsia="宋体" w:cs="Times New Roman"/>
                <w:color w:val="auto"/>
                <w:sz w:val="24"/>
                <w:highlight w:val="none"/>
                <w:u w:val="none" w:color="auto"/>
              </w:rPr>
              <w:t>设全封闭结构，四面密闭，以减少无组织废气的排放；</w:t>
            </w:r>
          </w:p>
          <w:p w14:paraId="53F70B6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highlight w:val="none"/>
                <w:u w:val="none" w:color="auto"/>
              </w:rPr>
            </w:pPr>
            <w:r>
              <w:rPr>
                <w:rFonts w:hint="default" w:ascii="Times New Roman" w:hAnsi="Times New Roman" w:eastAsia="宋体" w:cs="Times New Roman"/>
                <w:color w:val="auto"/>
                <w:sz w:val="24"/>
                <w:highlight w:val="none"/>
                <w:u w:val="none" w:color="auto"/>
              </w:rPr>
              <w:t>③车间内各工序功能分区明确，合理布局，以减少不必要的物料周转；</w:t>
            </w:r>
          </w:p>
          <w:p w14:paraId="2B2FCA1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bCs/>
                <w:color w:val="auto"/>
                <w:kern w:val="0"/>
                <w:sz w:val="24"/>
                <w:u w:val="none" w:color="auto"/>
              </w:rPr>
            </w:pPr>
            <w:r>
              <w:rPr>
                <w:rFonts w:hint="default" w:ascii="Times New Roman" w:hAnsi="Times New Roman" w:eastAsia="宋体" w:cs="Times New Roman"/>
                <w:bCs/>
                <w:color w:val="auto"/>
                <w:kern w:val="0"/>
                <w:sz w:val="24"/>
                <w:u w:val="none" w:color="auto"/>
                <w:lang w:val="en-US" w:eastAsia="zh-CN"/>
              </w:rPr>
              <w:t>④</w:t>
            </w:r>
            <w:r>
              <w:rPr>
                <w:rFonts w:hint="default" w:ascii="Times New Roman" w:hAnsi="Times New Roman" w:eastAsia="宋体" w:cs="Times New Roman"/>
                <w:bCs/>
                <w:color w:val="auto"/>
                <w:kern w:val="0"/>
                <w:sz w:val="24"/>
                <w:u w:val="none" w:color="auto"/>
              </w:rPr>
              <w:t>建立台账，记录含VOCs材料的名称，使用量、回收量、废弃量、去向以及VOCs含量等信息，台账保存期限不小于3年。</w:t>
            </w:r>
          </w:p>
          <w:p w14:paraId="085A9B3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bCs/>
                <w:color w:val="auto"/>
                <w:kern w:val="0"/>
                <w:sz w:val="24"/>
                <w:u w:val="none" w:color="auto"/>
              </w:rPr>
            </w:pPr>
            <w:r>
              <w:rPr>
                <w:rFonts w:hint="default" w:ascii="Times New Roman" w:hAnsi="Times New Roman" w:eastAsia="宋体" w:cs="Times New Roman"/>
                <w:bCs/>
                <w:color w:val="auto"/>
                <w:kern w:val="0"/>
                <w:sz w:val="24"/>
                <w:u w:val="none" w:color="auto"/>
                <w:lang w:val="en-US" w:eastAsia="zh-CN"/>
              </w:rPr>
              <w:t>⑤</w:t>
            </w:r>
            <w:r>
              <w:rPr>
                <w:rFonts w:hint="default" w:ascii="Times New Roman" w:hAnsi="Times New Roman" w:eastAsia="宋体" w:cs="Times New Roman"/>
                <w:bCs/>
                <w:color w:val="auto"/>
                <w:kern w:val="0"/>
                <w:sz w:val="24"/>
                <w:u w:val="none" w:color="auto"/>
              </w:rPr>
              <w:t>载有VOCs物料的</w:t>
            </w:r>
            <w:r>
              <w:rPr>
                <w:rFonts w:hint="default" w:ascii="Times New Roman" w:hAnsi="Times New Roman" w:eastAsia="宋体" w:cs="Times New Roman"/>
                <w:bCs/>
                <w:color w:val="auto"/>
                <w:kern w:val="0"/>
                <w:sz w:val="24"/>
                <w:u w:val="none" w:color="auto"/>
                <w:lang w:val="en-US" w:eastAsia="zh-CN"/>
              </w:rPr>
              <w:t>容器</w:t>
            </w:r>
            <w:r>
              <w:rPr>
                <w:rFonts w:hint="default" w:ascii="Times New Roman" w:hAnsi="Times New Roman" w:eastAsia="宋体" w:cs="Times New Roman"/>
                <w:bCs/>
                <w:color w:val="auto"/>
                <w:kern w:val="0"/>
                <w:sz w:val="24"/>
                <w:u w:val="none" w:color="auto"/>
              </w:rPr>
              <w:t>在清洗时，应在退料阶段将残存物料净，并用密闭容器盛装，退料过程废气应排至VOCs废气收集处理系统；请洗及吹扫过程排气应排至VOCs废气收集处理系统。</w:t>
            </w:r>
          </w:p>
          <w:p w14:paraId="693E5B7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bCs/>
                <w:color w:val="auto"/>
                <w:kern w:val="0"/>
                <w:sz w:val="24"/>
                <w:u w:val="none" w:color="auto"/>
              </w:rPr>
            </w:pPr>
            <w:r>
              <w:rPr>
                <w:rFonts w:hint="default" w:ascii="Times New Roman" w:hAnsi="Times New Roman" w:eastAsia="宋体" w:cs="Times New Roman"/>
                <w:bCs/>
                <w:color w:val="auto"/>
                <w:kern w:val="0"/>
                <w:sz w:val="24"/>
                <w:u w:val="none" w:color="auto"/>
                <w:lang w:val="en-US" w:eastAsia="zh-CN"/>
              </w:rPr>
              <w:t>⑥</w:t>
            </w:r>
            <w:r>
              <w:rPr>
                <w:rFonts w:hint="default" w:ascii="Times New Roman" w:hAnsi="Times New Roman" w:eastAsia="宋体" w:cs="Times New Roman"/>
                <w:bCs/>
                <w:color w:val="auto"/>
                <w:kern w:val="0"/>
                <w:sz w:val="24"/>
                <w:u w:val="none" w:color="auto"/>
              </w:rPr>
              <w:t>生产过程产生的含VOCs废料</w:t>
            </w:r>
            <w:r>
              <w:rPr>
                <w:rFonts w:hint="default" w:ascii="Times New Roman" w:hAnsi="Times New Roman" w:eastAsia="宋体" w:cs="Times New Roman"/>
                <w:bCs/>
                <w:color w:val="auto"/>
                <w:kern w:val="0"/>
                <w:sz w:val="24"/>
                <w:u w:val="none" w:color="auto"/>
                <w:lang w:eastAsia="zh-CN"/>
              </w:rPr>
              <w:t>（</w:t>
            </w:r>
            <w:r>
              <w:rPr>
                <w:rFonts w:hint="default" w:ascii="Times New Roman" w:hAnsi="Times New Roman" w:eastAsia="宋体" w:cs="Times New Roman"/>
                <w:bCs/>
                <w:color w:val="auto"/>
                <w:kern w:val="0"/>
                <w:sz w:val="24"/>
                <w:u w:val="none" w:color="auto"/>
              </w:rPr>
              <w:t>渣、液</w:t>
            </w:r>
            <w:r>
              <w:rPr>
                <w:rFonts w:hint="default" w:ascii="Times New Roman" w:hAnsi="Times New Roman" w:eastAsia="宋体" w:cs="Times New Roman"/>
                <w:bCs/>
                <w:color w:val="auto"/>
                <w:kern w:val="0"/>
                <w:sz w:val="24"/>
                <w:u w:val="none" w:color="auto"/>
                <w:lang w:eastAsia="zh-CN"/>
              </w:rPr>
              <w:t>）</w:t>
            </w:r>
            <w:r>
              <w:rPr>
                <w:rFonts w:hint="default" w:ascii="Times New Roman" w:hAnsi="Times New Roman" w:eastAsia="宋体" w:cs="Times New Roman"/>
                <w:bCs/>
                <w:color w:val="auto"/>
                <w:kern w:val="0"/>
                <w:sz w:val="24"/>
                <w:u w:val="none" w:color="auto"/>
              </w:rPr>
              <w:t>，盛装过VOCs物料（助剂）的废包装容器在贮存、转运过程中应加盖密闭。</w:t>
            </w:r>
          </w:p>
          <w:p w14:paraId="4D7CF6E4">
            <w:pPr>
              <w:keepNext w:val="0"/>
              <w:keepLines w:val="0"/>
              <w:pageBreakBefore w:val="0"/>
              <w:widowControl/>
              <w:wordWrap/>
              <w:overflowPunct/>
              <w:topLinePunct w:val="0"/>
              <w:bidi w:val="0"/>
              <w:adjustRightInd w:val="0"/>
              <w:snapToGrid w:val="0"/>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经采取以上措施后，本项目无组织废气排放量可得到有效控制，预计对周围敏感点及大气环境影响不大。</w:t>
            </w:r>
          </w:p>
          <w:p w14:paraId="5E0469B4">
            <w:pPr>
              <w:keepNext w:val="0"/>
              <w:keepLines w:val="0"/>
              <w:pageBreakBefore w:val="0"/>
              <w:widowControl/>
              <w:wordWrap/>
              <w:overflowPunct/>
              <w:topLinePunct w:val="0"/>
              <w:bidi w:val="0"/>
              <w:adjustRightInd w:val="0"/>
              <w:snapToGrid w:val="0"/>
              <w:spacing w:line="360" w:lineRule="auto"/>
              <w:ind w:firstLine="480" w:firstLineChars="200"/>
              <w:rPr>
                <w:rFonts w:hint="default" w:ascii="Times New Roman" w:hAnsi="Times New Roman" w:cs="Times New Roman"/>
                <w:color w:val="auto"/>
                <w:sz w:val="24"/>
                <w:highlight w:val="none"/>
                <w:u w:val="none" w:color="auto"/>
              </w:rPr>
            </w:pPr>
            <w:r>
              <w:rPr>
                <w:rFonts w:hint="eastAsia" w:ascii="Times New Roman" w:hAnsi="Times New Roman" w:cs="Times New Roman"/>
                <w:color w:val="auto"/>
                <w:sz w:val="24"/>
                <w:highlight w:val="none"/>
                <w:u w:val="none" w:color="auto"/>
                <w:lang w:val="en-US" w:eastAsia="zh-CN"/>
              </w:rPr>
              <w:t>1</w:t>
            </w:r>
            <w:r>
              <w:rPr>
                <w:rFonts w:hint="default" w:ascii="Times New Roman" w:hAnsi="Times New Roman" w:cs="Times New Roman"/>
                <w:color w:val="auto"/>
                <w:sz w:val="24"/>
                <w:highlight w:val="none"/>
                <w:u w:val="none" w:color="auto"/>
              </w:rPr>
              <w:t>.7环境影响分析</w:t>
            </w:r>
          </w:p>
          <w:p w14:paraId="0CA10E09">
            <w:pPr>
              <w:keepNext w:val="0"/>
              <w:keepLines w:val="0"/>
              <w:pageBreakBefore w:val="0"/>
              <w:widowControl/>
              <w:wordWrap/>
              <w:overflowPunct/>
              <w:topLinePunct w:val="0"/>
              <w:bidi w:val="0"/>
              <w:adjustRightInd w:val="0"/>
              <w:snapToGrid w:val="0"/>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综上所述，项目采取本环评提出的大气污染防治措施后，营运期废气均能实现达标排放，对周围大气环境影响较小。但应注意非正常工况情况，采取必要措施，最大程度上减少污染物排放。</w:t>
            </w:r>
          </w:p>
          <w:p w14:paraId="768D128B">
            <w:pPr>
              <w:keepNext w:val="0"/>
              <w:keepLines w:val="0"/>
              <w:pageBreakBefore w:val="0"/>
              <w:widowControl/>
              <w:kinsoku/>
              <w:wordWrap/>
              <w:overflowPunct/>
              <w:topLinePunct w:val="0"/>
              <w:autoSpaceDE w:val="0"/>
              <w:autoSpaceDN/>
              <w:bidi w:val="0"/>
              <w:adjustRightInd w:val="0"/>
              <w:snapToGrid/>
              <w:spacing w:line="360" w:lineRule="auto"/>
              <w:ind w:left="0" w:leftChars="0" w:firstLine="482" w:firstLineChars="200"/>
              <w:jc w:val="both"/>
              <w:textAlignment w:val="baseline"/>
              <w:rPr>
                <w:rFonts w:hint="default" w:ascii="Times New Roman" w:hAnsi="Times New Roman" w:eastAsia="宋体" w:cs="Times New Roman"/>
                <w:b/>
                <w:bCs/>
                <w:color w:val="auto"/>
                <w:kern w:val="0"/>
                <w:sz w:val="24"/>
                <w:szCs w:val="24"/>
                <w:u w:val="none" w:color="auto"/>
              </w:rPr>
            </w:pPr>
            <w:r>
              <w:rPr>
                <w:rFonts w:hint="default" w:ascii="Times New Roman" w:hAnsi="Times New Roman" w:eastAsia="宋体" w:cs="Times New Roman"/>
                <w:b/>
                <w:bCs/>
                <w:color w:val="auto"/>
                <w:kern w:val="0"/>
                <w:sz w:val="24"/>
                <w:szCs w:val="24"/>
                <w:u w:val="none" w:color="auto"/>
                <w:lang w:val="en-US" w:eastAsia="zh-CN"/>
              </w:rPr>
              <w:t>2</w:t>
            </w:r>
            <w:r>
              <w:rPr>
                <w:rFonts w:hint="default" w:ascii="Times New Roman" w:hAnsi="Times New Roman" w:eastAsia="宋体" w:cs="Times New Roman"/>
                <w:b/>
                <w:bCs/>
                <w:color w:val="auto"/>
                <w:kern w:val="0"/>
                <w:sz w:val="24"/>
                <w:szCs w:val="24"/>
                <w:u w:val="none" w:color="auto"/>
              </w:rPr>
              <w:t>、废水环境影响和保护措施分析</w:t>
            </w:r>
          </w:p>
          <w:p w14:paraId="472A5C0C">
            <w:pPr>
              <w:pStyle w:val="34"/>
              <w:keepNext w:val="0"/>
              <w:keepLines w:val="0"/>
              <w:pageBreakBefore w:val="0"/>
              <w:widowControl w:val="0"/>
              <w:kinsoku/>
              <w:wordWrap/>
              <w:overflowPunct/>
              <w:topLinePunct w:val="0"/>
              <w:autoSpaceDE/>
              <w:autoSpaceDN/>
              <w:bidi w:val="0"/>
              <w:adjustRightInd w:val="0"/>
              <w:snapToGrid/>
              <w:spacing w:after="0" w:line="360" w:lineRule="auto"/>
              <w:ind w:left="0" w:leftChars="0" w:firstLine="480" w:firstLineChars="200"/>
              <w:jc w:val="both"/>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kern w:val="0"/>
                <w:sz w:val="24"/>
                <w:szCs w:val="24"/>
                <w:u w:val="none" w:color="auto"/>
                <w:lang w:val="en-US" w:eastAsia="zh-CN"/>
              </w:rPr>
              <w:t>2</w:t>
            </w:r>
            <w:r>
              <w:rPr>
                <w:rFonts w:hint="default" w:ascii="Times New Roman" w:hAnsi="Times New Roman" w:eastAsia="宋体" w:cs="Times New Roman"/>
                <w:color w:val="auto"/>
                <w:kern w:val="0"/>
                <w:sz w:val="24"/>
                <w:szCs w:val="24"/>
                <w:u w:val="none" w:color="auto"/>
              </w:rPr>
              <w:t>.1废水污染物源强分析</w:t>
            </w:r>
          </w:p>
          <w:p w14:paraId="631123FD">
            <w:pPr>
              <w:keepNext w:val="0"/>
              <w:keepLines w:val="0"/>
              <w:pageBreakBefore w:val="0"/>
              <w:wordWrap/>
              <w:overflowPunct/>
              <w:topLinePunct w:val="0"/>
              <w:bidi w:val="0"/>
              <w:adjustRightInd w:val="0"/>
              <w:spacing w:line="360" w:lineRule="auto"/>
              <w:ind w:left="0" w:leftChars="0" w:firstLine="480" w:firstLineChars="200"/>
              <w:jc w:val="both"/>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本项目</w:t>
            </w:r>
            <w:r>
              <w:rPr>
                <w:rFonts w:hint="eastAsia" w:ascii="Times New Roman" w:hAnsi="Times New Roman" w:eastAsia="宋体" w:cs="Times New Roman"/>
                <w:color w:val="auto"/>
                <w:sz w:val="24"/>
                <w:szCs w:val="24"/>
                <w:u w:val="none" w:color="auto"/>
                <w:lang w:val="en-US" w:eastAsia="zh-CN"/>
              </w:rPr>
              <w:t>扩建完后</w:t>
            </w:r>
            <w:r>
              <w:rPr>
                <w:rFonts w:hint="default" w:ascii="Times New Roman" w:hAnsi="Times New Roman" w:eastAsia="宋体" w:cs="Times New Roman"/>
                <w:color w:val="auto"/>
                <w:sz w:val="24"/>
                <w:szCs w:val="24"/>
                <w:u w:val="none" w:color="auto"/>
              </w:rPr>
              <w:t>营运期废水主要为</w:t>
            </w:r>
            <w:r>
              <w:rPr>
                <w:rFonts w:hint="default" w:ascii="Times New Roman" w:hAnsi="Times New Roman" w:eastAsia="宋体" w:cs="Times New Roman"/>
                <w:color w:val="auto"/>
                <w:sz w:val="24"/>
                <w:szCs w:val="24"/>
                <w:u w:val="none" w:color="auto"/>
                <w:lang w:val="en-US" w:eastAsia="zh-CN"/>
              </w:rPr>
              <w:t>师生日常生活污水</w:t>
            </w:r>
            <w:r>
              <w:rPr>
                <w:rFonts w:hint="default"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eastAsia="zh-CN"/>
              </w:rPr>
              <w:t>餐厅</w:t>
            </w:r>
            <w:r>
              <w:rPr>
                <w:rFonts w:hint="default" w:ascii="Times New Roman" w:hAnsi="Times New Roman" w:eastAsia="宋体" w:cs="Times New Roman"/>
                <w:color w:val="auto"/>
                <w:sz w:val="24"/>
                <w:szCs w:val="24"/>
                <w:u w:val="none" w:color="auto"/>
              </w:rPr>
              <w:t>废水、实验室废水。</w:t>
            </w:r>
          </w:p>
          <w:p w14:paraId="004272A1">
            <w:pPr>
              <w:pStyle w:val="34"/>
              <w:keepNext w:val="0"/>
              <w:keepLines w:val="0"/>
              <w:pageBreakBefore w:val="0"/>
              <w:widowControl/>
              <w:numPr>
                <w:ilvl w:val="0"/>
                <w:numId w:val="0"/>
              </w:numPr>
              <w:kinsoku w:val="0"/>
              <w:wordWrap/>
              <w:overflowPunct/>
              <w:topLinePunct w:val="0"/>
              <w:autoSpaceDE w:val="0"/>
              <w:autoSpaceDN w:val="0"/>
              <w:bidi w:val="0"/>
              <w:adjustRightInd/>
              <w:snapToGrid/>
              <w:spacing w:after="0" w:line="360" w:lineRule="auto"/>
              <w:ind w:left="0" w:leftChars="0" w:firstLine="480" w:firstLineChars="200"/>
              <w:jc w:val="both"/>
              <w:textAlignment w:val="baseline"/>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snapToGrid w:val="0"/>
                <w:color w:val="auto"/>
                <w:kern w:val="0"/>
                <w:sz w:val="24"/>
                <w:szCs w:val="24"/>
                <w:u w:val="none" w:color="auto"/>
                <w:lang w:val="en-US" w:eastAsia="zh-CN" w:bidi="ar-SA"/>
              </w:rPr>
              <w:t>（1）</w:t>
            </w:r>
            <w:r>
              <w:rPr>
                <w:rFonts w:hint="default" w:ascii="Times New Roman" w:hAnsi="Times New Roman" w:eastAsia="宋体" w:cs="Times New Roman"/>
                <w:color w:val="auto"/>
                <w:sz w:val="24"/>
                <w:szCs w:val="24"/>
                <w:u w:val="none" w:color="auto"/>
                <w:lang w:val="en-US" w:eastAsia="zh-CN"/>
              </w:rPr>
              <w:t>师生日常生活污水</w:t>
            </w:r>
          </w:p>
          <w:p w14:paraId="7AF1D6FD">
            <w:pPr>
              <w:keepNext w:val="0"/>
              <w:keepLines w:val="0"/>
              <w:pageBreakBefore w:val="0"/>
              <w:widowControl/>
              <w:numPr>
                <w:ilvl w:val="0"/>
                <w:numId w:val="0"/>
              </w:numPr>
              <w:kinsoku w:val="0"/>
              <w:wordWrap/>
              <w:overflowPunct/>
              <w:topLinePunct w:val="0"/>
              <w:autoSpaceDE w:val="0"/>
              <w:autoSpaceDN w:val="0"/>
              <w:bidi w:val="0"/>
              <w:adjustRightInd/>
              <w:snapToGrid/>
              <w:spacing w:line="360" w:lineRule="auto"/>
              <w:ind w:left="0" w:leftChars="0" w:firstLine="480" w:firstLineChars="200"/>
              <w:jc w:val="both"/>
              <w:textAlignment w:val="baseline"/>
              <w:rPr>
                <w:rFonts w:hint="default" w:ascii="Times New Roman" w:hAnsi="Times New Roman" w:eastAsia="宋体" w:cs="Times New Roman"/>
                <w:color w:val="auto"/>
                <w:spacing w:val="-2"/>
                <w:sz w:val="24"/>
                <w:szCs w:val="24"/>
                <w:u w:val="none" w:color="auto"/>
                <w:lang w:eastAsia="zh-CN"/>
              </w:rPr>
            </w:pPr>
            <w:r>
              <w:rPr>
                <w:rFonts w:hint="default" w:ascii="Times New Roman" w:hAnsi="Times New Roman" w:eastAsia="宋体" w:cs="Times New Roman"/>
                <w:color w:val="auto"/>
                <w:sz w:val="24"/>
                <w:szCs w:val="24"/>
                <w:u w:val="none" w:color="auto"/>
                <w:lang w:val="en-US" w:eastAsia="zh-CN"/>
              </w:rPr>
              <w:t>根据上文水平衡可知，本项目现有师生日常生活污水产生量为339.72m</w:t>
            </w:r>
            <w:r>
              <w:rPr>
                <w:rFonts w:hint="default" w:ascii="Times New Roman" w:hAnsi="Times New Roman" w:eastAsia="宋体" w:cs="Times New Roman"/>
                <w:color w:val="auto"/>
                <w:sz w:val="24"/>
                <w:szCs w:val="24"/>
                <w:u w:val="none" w:color="auto"/>
                <w:vertAlign w:val="superscript"/>
                <w:lang w:val="en-US" w:eastAsia="zh-CN"/>
              </w:rPr>
              <w:t>3</w:t>
            </w:r>
            <w:r>
              <w:rPr>
                <w:rFonts w:hint="default" w:ascii="Times New Roman" w:hAnsi="Times New Roman" w:eastAsia="宋体" w:cs="Times New Roman"/>
                <w:color w:val="auto"/>
                <w:sz w:val="24"/>
                <w:szCs w:val="24"/>
                <w:u w:val="none" w:color="auto"/>
                <w:lang w:val="en-US" w:eastAsia="zh-CN"/>
              </w:rPr>
              <w:t>/d，67944m</w:t>
            </w:r>
            <w:r>
              <w:rPr>
                <w:rFonts w:hint="default" w:ascii="Times New Roman" w:hAnsi="Times New Roman" w:eastAsia="宋体" w:cs="Times New Roman"/>
                <w:color w:val="auto"/>
                <w:sz w:val="24"/>
                <w:szCs w:val="24"/>
                <w:u w:val="none" w:color="auto"/>
                <w:vertAlign w:val="superscript"/>
                <w:lang w:val="en-US" w:eastAsia="zh-CN"/>
              </w:rPr>
              <w:t>3</w:t>
            </w:r>
            <w:r>
              <w:rPr>
                <w:rFonts w:hint="default" w:ascii="Times New Roman" w:hAnsi="Times New Roman" w:eastAsia="宋体" w:cs="Times New Roman"/>
                <w:color w:val="auto"/>
                <w:sz w:val="24"/>
                <w:szCs w:val="24"/>
                <w:u w:val="none" w:color="auto"/>
                <w:lang w:val="en-US" w:eastAsia="zh-CN"/>
              </w:rPr>
              <w:t>/a，新增学生日常生活污水产生量为</w:t>
            </w:r>
            <w:r>
              <w:rPr>
                <w:rFonts w:hint="default" w:ascii="Times New Roman" w:hAnsi="Times New Roman" w:eastAsia="宋体" w:cs="Times New Roman"/>
                <w:b w:val="0"/>
                <w:bCs/>
                <w:color w:val="auto"/>
                <w:sz w:val="24"/>
                <w:szCs w:val="24"/>
                <w:highlight w:val="none"/>
                <w:u w:val="none" w:color="auto"/>
                <w:lang w:val="en-US" w:eastAsia="zh-CN"/>
              </w:rPr>
              <w:t>0.64</w:t>
            </w:r>
            <w:r>
              <w:rPr>
                <w:rFonts w:hint="default" w:ascii="Times New Roman" w:hAnsi="Times New Roman" w:eastAsia="宋体" w:cs="Times New Roman"/>
                <w:b w:val="0"/>
                <w:bCs/>
                <w:color w:val="auto"/>
                <w:sz w:val="24"/>
                <w:szCs w:val="24"/>
                <w:highlight w:val="none"/>
                <w:u w:val="none" w:color="auto"/>
              </w:rPr>
              <w:t>m</w:t>
            </w:r>
            <w:r>
              <w:rPr>
                <w:rFonts w:hint="default" w:ascii="Times New Roman" w:hAnsi="Times New Roman" w:eastAsia="宋体" w:cs="Times New Roman"/>
                <w:b w:val="0"/>
                <w:bCs/>
                <w:color w:val="auto"/>
                <w:sz w:val="24"/>
                <w:szCs w:val="24"/>
                <w:highlight w:val="none"/>
                <w:u w:val="none" w:color="auto"/>
                <w:vertAlign w:val="superscript"/>
              </w:rPr>
              <w:t>3</w:t>
            </w:r>
            <w:r>
              <w:rPr>
                <w:rFonts w:hint="default" w:ascii="Times New Roman" w:hAnsi="Times New Roman" w:eastAsia="宋体" w:cs="Times New Roman"/>
                <w:b w:val="0"/>
                <w:bCs/>
                <w:color w:val="auto"/>
                <w:sz w:val="24"/>
                <w:szCs w:val="24"/>
                <w:highlight w:val="none"/>
                <w:u w:val="none" w:color="auto"/>
              </w:rPr>
              <w:t>/d</w:t>
            </w:r>
            <w:r>
              <w:rPr>
                <w:rFonts w:hint="default" w:ascii="Times New Roman" w:hAnsi="Times New Roman" w:eastAsia="宋体" w:cs="Times New Roman"/>
                <w:color w:val="auto"/>
                <w:sz w:val="24"/>
                <w:szCs w:val="24"/>
                <w:u w:val="none" w:color="auto"/>
                <w:lang w:val="en-US" w:eastAsia="zh-CN"/>
              </w:rPr>
              <w:t>，</w:t>
            </w:r>
            <w:r>
              <w:rPr>
                <w:rFonts w:hint="default" w:ascii="Times New Roman" w:hAnsi="Times New Roman" w:eastAsia="宋体" w:cs="Times New Roman"/>
                <w:b w:val="0"/>
                <w:bCs/>
                <w:color w:val="auto"/>
                <w:sz w:val="24"/>
                <w:szCs w:val="24"/>
                <w:highlight w:val="none"/>
                <w:u w:val="none" w:color="auto"/>
                <w:lang w:val="en-US" w:eastAsia="zh-CN"/>
              </w:rPr>
              <w:t>128</w:t>
            </w:r>
            <w:r>
              <w:rPr>
                <w:rFonts w:hint="default" w:ascii="Times New Roman" w:hAnsi="Times New Roman" w:eastAsia="宋体" w:cs="Times New Roman"/>
                <w:b w:val="0"/>
                <w:bCs/>
                <w:color w:val="auto"/>
                <w:sz w:val="24"/>
                <w:szCs w:val="24"/>
                <w:highlight w:val="none"/>
                <w:u w:val="none" w:color="auto"/>
              </w:rPr>
              <w:t>m</w:t>
            </w:r>
            <w:r>
              <w:rPr>
                <w:rFonts w:hint="default" w:ascii="Times New Roman" w:hAnsi="Times New Roman" w:eastAsia="宋体" w:cs="Times New Roman"/>
                <w:b w:val="0"/>
                <w:bCs/>
                <w:color w:val="auto"/>
                <w:sz w:val="24"/>
                <w:szCs w:val="24"/>
                <w:highlight w:val="none"/>
                <w:u w:val="none" w:color="auto"/>
                <w:vertAlign w:val="superscript"/>
              </w:rPr>
              <w:t>3</w:t>
            </w:r>
            <w:r>
              <w:rPr>
                <w:rFonts w:hint="default" w:ascii="Times New Roman" w:hAnsi="Times New Roman" w:eastAsia="宋体" w:cs="Times New Roman"/>
                <w:b w:val="0"/>
                <w:bCs/>
                <w:color w:val="auto"/>
                <w:sz w:val="24"/>
                <w:szCs w:val="24"/>
                <w:highlight w:val="none"/>
                <w:u w:val="none" w:color="auto"/>
              </w:rPr>
              <w:t>/a</w:t>
            </w:r>
            <w:r>
              <w:rPr>
                <w:rFonts w:hint="default" w:ascii="Times New Roman" w:hAnsi="Times New Roman" w:eastAsia="宋体" w:cs="Times New Roman"/>
                <w:b w:val="0"/>
                <w:bCs/>
                <w:color w:val="auto"/>
                <w:sz w:val="24"/>
                <w:szCs w:val="24"/>
                <w:highlight w:val="none"/>
                <w:u w:val="none" w:color="auto"/>
                <w:lang w:eastAsia="zh-CN"/>
              </w:rPr>
              <w:t>，</w:t>
            </w:r>
            <w:r>
              <w:rPr>
                <w:rFonts w:hint="eastAsia" w:ascii="Times New Roman" w:hAnsi="Times New Roman" w:eastAsia="宋体" w:cs="Times New Roman"/>
                <w:color w:val="auto"/>
                <w:sz w:val="24"/>
                <w:szCs w:val="24"/>
                <w:u w:val="none" w:color="auto"/>
                <w:lang w:val="en-US" w:eastAsia="zh-CN"/>
              </w:rPr>
              <w:t>进入现有地埋式化粪池处理，</w:t>
            </w:r>
            <w:r>
              <w:rPr>
                <w:rFonts w:hint="default" w:ascii="Times New Roman" w:hAnsi="Times New Roman" w:eastAsia="宋体" w:cs="Times New Roman"/>
                <w:b w:val="0"/>
                <w:bCs/>
                <w:color w:val="auto"/>
                <w:sz w:val="24"/>
                <w:szCs w:val="24"/>
                <w:highlight w:val="none"/>
                <w:u w:val="none" w:color="auto"/>
                <w:lang w:val="en-US" w:eastAsia="zh-CN"/>
              </w:rPr>
              <w:t>污水中</w:t>
            </w:r>
            <w:r>
              <w:rPr>
                <w:rFonts w:hint="default" w:ascii="Times New Roman" w:hAnsi="Times New Roman" w:eastAsia="宋体" w:cs="Times New Roman"/>
                <w:color w:val="auto"/>
                <w:sz w:val="24"/>
                <w:szCs w:val="24"/>
                <w:u w:val="none" w:color="auto"/>
              </w:rPr>
              <w:t>主要污染物浓度：COD300mg/L、BOD</w:t>
            </w:r>
            <w:r>
              <w:rPr>
                <w:rFonts w:hint="default" w:ascii="Times New Roman" w:hAnsi="Times New Roman" w:eastAsia="宋体" w:cs="Times New Roman"/>
                <w:color w:val="auto"/>
                <w:position w:val="-1"/>
                <w:sz w:val="24"/>
                <w:szCs w:val="24"/>
                <w:u w:val="none" w:color="auto"/>
                <w:vertAlign w:val="subscript"/>
              </w:rPr>
              <w:t>5</w:t>
            </w:r>
            <w:r>
              <w:rPr>
                <w:rFonts w:hint="default" w:ascii="Times New Roman" w:hAnsi="Times New Roman" w:eastAsia="宋体" w:cs="Times New Roman"/>
                <w:color w:val="auto"/>
                <w:sz w:val="24"/>
                <w:szCs w:val="24"/>
                <w:u w:val="none" w:color="auto"/>
              </w:rPr>
              <w:t>180mg/L、SS250mg/L、</w:t>
            </w:r>
            <w:r>
              <w:rPr>
                <w:rFonts w:hint="default" w:ascii="Times New Roman" w:hAnsi="Times New Roman" w:eastAsia="宋体" w:cs="Times New Roman"/>
                <w:color w:val="auto"/>
                <w:spacing w:val="-2"/>
                <w:sz w:val="24"/>
                <w:szCs w:val="24"/>
                <w:u w:val="none" w:color="auto"/>
              </w:rPr>
              <w:t>NH</w:t>
            </w:r>
            <w:r>
              <w:rPr>
                <w:rFonts w:hint="default" w:ascii="Times New Roman" w:hAnsi="Times New Roman" w:eastAsia="宋体" w:cs="Times New Roman"/>
                <w:color w:val="auto"/>
                <w:spacing w:val="-2"/>
                <w:sz w:val="24"/>
                <w:szCs w:val="24"/>
                <w:u w:val="none" w:color="auto"/>
                <w:vertAlign w:val="subscript"/>
              </w:rPr>
              <w:t>3</w:t>
            </w:r>
            <w:r>
              <w:rPr>
                <w:rFonts w:hint="default" w:ascii="Times New Roman" w:hAnsi="Times New Roman" w:eastAsia="宋体" w:cs="Times New Roman"/>
                <w:color w:val="auto"/>
                <w:spacing w:val="-2"/>
                <w:sz w:val="24"/>
                <w:szCs w:val="24"/>
                <w:u w:val="none" w:color="auto"/>
              </w:rPr>
              <w:t>-N25mg/L</w:t>
            </w:r>
            <w:r>
              <w:rPr>
                <w:rFonts w:hint="default" w:ascii="Times New Roman" w:hAnsi="Times New Roman" w:eastAsia="宋体" w:cs="Times New Roman"/>
                <w:color w:val="auto"/>
                <w:spacing w:val="-2"/>
                <w:sz w:val="24"/>
                <w:szCs w:val="24"/>
                <w:u w:val="none" w:color="auto"/>
                <w:lang w:eastAsia="zh-CN"/>
              </w:rPr>
              <w:t>。</w:t>
            </w:r>
          </w:p>
          <w:p w14:paraId="4B4A4C00">
            <w:pPr>
              <w:pStyle w:val="34"/>
              <w:keepNext w:val="0"/>
              <w:keepLines w:val="0"/>
              <w:pageBreakBefore w:val="0"/>
              <w:widowControl/>
              <w:numPr>
                <w:ilvl w:val="0"/>
                <w:numId w:val="0"/>
              </w:numPr>
              <w:kinsoku w:val="0"/>
              <w:wordWrap/>
              <w:overflowPunct/>
              <w:topLinePunct w:val="0"/>
              <w:autoSpaceDE w:val="0"/>
              <w:autoSpaceDN w:val="0"/>
              <w:bidi w:val="0"/>
              <w:adjustRightInd/>
              <w:snapToGrid/>
              <w:spacing w:after="0" w:line="360" w:lineRule="auto"/>
              <w:ind w:left="0" w:leftChars="0" w:firstLine="472" w:firstLineChars="200"/>
              <w:jc w:val="both"/>
              <w:textAlignment w:val="baseline"/>
              <w:rPr>
                <w:rFonts w:hint="default" w:ascii="Times New Roman" w:hAnsi="Times New Roman" w:eastAsia="宋体" w:cs="Times New Roman"/>
                <w:color w:val="auto"/>
                <w:spacing w:val="-2"/>
                <w:sz w:val="24"/>
                <w:szCs w:val="24"/>
                <w:u w:val="none" w:color="auto"/>
                <w:lang w:val="en-US" w:eastAsia="zh-CN"/>
              </w:rPr>
            </w:pPr>
            <w:r>
              <w:rPr>
                <w:rFonts w:hint="default" w:ascii="Times New Roman" w:hAnsi="Times New Roman" w:eastAsia="宋体" w:cs="Times New Roman"/>
                <w:snapToGrid w:val="0"/>
                <w:color w:val="auto"/>
                <w:spacing w:val="-2"/>
                <w:kern w:val="0"/>
                <w:sz w:val="24"/>
                <w:szCs w:val="24"/>
                <w:u w:val="none" w:color="auto"/>
                <w:lang w:val="en-US" w:eastAsia="zh-CN" w:bidi="ar-SA"/>
              </w:rPr>
              <w:t>（2）</w:t>
            </w:r>
            <w:r>
              <w:rPr>
                <w:rFonts w:hint="eastAsia" w:ascii="Times New Roman" w:hAnsi="Times New Roman" w:eastAsia="宋体" w:cs="Times New Roman"/>
                <w:color w:val="auto"/>
                <w:spacing w:val="-2"/>
                <w:sz w:val="24"/>
                <w:szCs w:val="24"/>
                <w:u w:val="none" w:color="auto"/>
                <w:lang w:val="en-US" w:eastAsia="zh-CN"/>
              </w:rPr>
              <w:t>餐厅</w:t>
            </w:r>
            <w:r>
              <w:rPr>
                <w:rFonts w:hint="default" w:ascii="Times New Roman" w:hAnsi="Times New Roman" w:eastAsia="宋体" w:cs="Times New Roman"/>
                <w:color w:val="auto"/>
                <w:spacing w:val="-2"/>
                <w:sz w:val="24"/>
                <w:szCs w:val="24"/>
                <w:u w:val="none" w:color="auto"/>
                <w:lang w:val="en-US" w:eastAsia="zh-CN"/>
              </w:rPr>
              <w:t>废水</w:t>
            </w:r>
          </w:p>
          <w:p w14:paraId="718E5D4A">
            <w:pPr>
              <w:keepNext w:val="0"/>
              <w:keepLines w:val="0"/>
              <w:pageBreakBefore w:val="0"/>
              <w:widowControl/>
              <w:numPr>
                <w:ilvl w:val="0"/>
                <w:numId w:val="0"/>
              </w:numPr>
              <w:kinsoku w:val="0"/>
              <w:wordWrap/>
              <w:overflowPunct/>
              <w:topLinePunct w:val="0"/>
              <w:autoSpaceDE w:val="0"/>
              <w:autoSpaceDN w:val="0"/>
              <w:bidi w:val="0"/>
              <w:adjustRightInd/>
              <w:snapToGrid/>
              <w:spacing w:line="360" w:lineRule="auto"/>
              <w:ind w:left="0" w:leftChars="0" w:firstLine="480" w:firstLineChars="200"/>
              <w:jc w:val="both"/>
              <w:textAlignment w:val="baseline"/>
              <w:rPr>
                <w:rFonts w:hint="default" w:ascii="Times New Roman" w:hAnsi="Times New Roman" w:eastAsia="宋体" w:cs="Times New Roman"/>
                <w:color w:val="auto"/>
                <w:spacing w:val="-2"/>
                <w:sz w:val="24"/>
                <w:szCs w:val="24"/>
                <w:u w:val="none" w:color="auto"/>
                <w:lang w:eastAsia="zh-CN"/>
              </w:rPr>
            </w:pPr>
            <w:r>
              <w:rPr>
                <w:rFonts w:hint="default" w:ascii="Times New Roman" w:hAnsi="Times New Roman" w:eastAsia="宋体" w:cs="Times New Roman"/>
                <w:color w:val="auto"/>
                <w:sz w:val="24"/>
                <w:szCs w:val="24"/>
                <w:u w:val="none" w:color="auto"/>
                <w:lang w:val="en-US" w:eastAsia="zh-CN"/>
              </w:rPr>
              <w:t>根据上文水平衡可知，本项目现有</w:t>
            </w:r>
            <w:r>
              <w:rPr>
                <w:rFonts w:hint="eastAsia" w:ascii="Times New Roman" w:hAnsi="Times New Roman" w:eastAsia="宋体" w:cs="Times New Roman"/>
                <w:color w:val="auto"/>
                <w:sz w:val="24"/>
                <w:szCs w:val="24"/>
                <w:u w:val="none" w:color="auto"/>
                <w:lang w:val="en-US" w:eastAsia="zh-CN"/>
              </w:rPr>
              <w:t>餐厅</w:t>
            </w:r>
            <w:r>
              <w:rPr>
                <w:rFonts w:hint="default" w:ascii="Times New Roman" w:hAnsi="Times New Roman" w:eastAsia="宋体" w:cs="Times New Roman"/>
                <w:color w:val="auto"/>
                <w:sz w:val="24"/>
                <w:szCs w:val="24"/>
                <w:u w:val="none" w:color="auto"/>
                <w:lang w:val="en-US" w:eastAsia="zh-CN"/>
              </w:rPr>
              <w:t>废水产生量为181.376m</w:t>
            </w:r>
            <w:r>
              <w:rPr>
                <w:rFonts w:hint="default" w:ascii="Times New Roman" w:hAnsi="Times New Roman" w:eastAsia="宋体" w:cs="Times New Roman"/>
                <w:color w:val="auto"/>
                <w:sz w:val="24"/>
                <w:szCs w:val="24"/>
                <w:u w:val="none" w:color="auto"/>
                <w:vertAlign w:val="superscript"/>
                <w:lang w:val="en-US" w:eastAsia="zh-CN"/>
              </w:rPr>
              <w:t>3</w:t>
            </w:r>
            <w:r>
              <w:rPr>
                <w:rFonts w:hint="default" w:ascii="Times New Roman" w:hAnsi="Times New Roman" w:eastAsia="宋体" w:cs="Times New Roman"/>
                <w:color w:val="auto"/>
                <w:sz w:val="24"/>
                <w:szCs w:val="24"/>
                <w:u w:val="none" w:color="auto"/>
                <w:lang w:val="en-US" w:eastAsia="zh-CN"/>
              </w:rPr>
              <w:t>/d，36275.2m</w:t>
            </w:r>
            <w:r>
              <w:rPr>
                <w:rFonts w:hint="default" w:ascii="Times New Roman" w:hAnsi="Times New Roman" w:eastAsia="宋体" w:cs="Times New Roman"/>
                <w:color w:val="auto"/>
                <w:sz w:val="24"/>
                <w:szCs w:val="24"/>
                <w:u w:val="none" w:color="auto"/>
                <w:vertAlign w:val="superscript"/>
                <w:lang w:val="en-US" w:eastAsia="zh-CN"/>
              </w:rPr>
              <w:t>3</w:t>
            </w:r>
            <w:r>
              <w:rPr>
                <w:rFonts w:hint="default" w:ascii="Times New Roman" w:hAnsi="Times New Roman" w:eastAsia="宋体" w:cs="Times New Roman"/>
                <w:color w:val="auto"/>
                <w:sz w:val="24"/>
                <w:szCs w:val="24"/>
                <w:u w:val="none" w:color="auto"/>
                <w:lang w:val="en-US" w:eastAsia="zh-CN"/>
              </w:rPr>
              <w:t>/a，</w:t>
            </w:r>
            <w:r>
              <w:rPr>
                <w:rFonts w:hint="eastAsia" w:ascii="Times New Roman" w:hAnsi="Times New Roman" w:eastAsia="宋体" w:cs="Times New Roman"/>
                <w:color w:val="auto"/>
                <w:sz w:val="24"/>
                <w:szCs w:val="24"/>
                <w:u w:val="none" w:color="auto"/>
                <w:lang w:val="en-US" w:eastAsia="zh-CN"/>
              </w:rPr>
              <w:t>经现有地埋式隔油池（1座，地埋式，容积230m</w:t>
            </w:r>
            <w:r>
              <w:rPr>
                <w:rFonts w:hint="eastAsia" w:ascii="Times New Roman" w:hAnsi="Times New Roman" w:eastAsia="宋体" w:cs="Times New Roman"/>
                <w:color w:val="auto"/>
                <w:sz w:val="24"/>
                <w:szCs w:val="24"/>
                <w:u w:val="none" w:color="auto"/>
                <w:vertAlign w:val="superscript"/>
                <w:lang w:val="en-US" w:eastAsia="zh-CN"/>
              </w:rPr>
              <w:t>3</w:t>
            </w:r>
            <w:r>
              <w:rPr>
                <w:rFonts w:hint="eastAsia" w:ascii="Times New Roman" w:hAnsi="Times New Roman" w:eastAsia="宋体" w:cs="Times New Roman"/>
                <w:color w:val="auto"/>
                <w:sz w:val="24"/>
                <w:szCs w:val="24"/>
                <w:u w:val="none" w:color="auto"/>
                <w:lang w:val="en-US" w:eastAsia="zh-CN"/>
              </w:rPr>
              <w:t>）处理后与经中和池处理后的实验室废水以及师生日常生活污水进入现有地埋式化粪池处理，</w:t>
            </w:r>
            <w:r>
              <w:rPr>
                <w:rFonts w:hint="default" w:ascii="Times New Roman" w:hAnsi="Times New Roman" w:eastAsia="宋体" w:cs="Times New Roman"/>
                <w:b w:val="0"/>
                <w:bCs/>
                <w:color w:val="auto"/>
                <w:sz w:val="24"/>
                <w:szCs w:val="24"/>
                <w:highlight w:val="none"/>
                <w:u w:val="none" w:color="auto"/>
                <w:lang w:val="en-US" w:eastAsia="zh-CN"/>
              </w:rPr>
              <w:t>废水中</w:t>
            </w:r>
            <w:r>
              <w:rPr>
                <w:rFonts w:hint="default" w:ascii="Times New Roman" w:hAnsi="Times New Roman" w:eastAsia="宋体" w:cs="Times New Roman"/>
                <w:color w:val="auto"/>
                <w:spacing w:val="-2"/>
                <w:sz w:val="24"/>
                <w:szCs w:val="24"/>
                <w:u w:val="none" w:color="auto"/>
              </w:rPr>
              <w:t>主要污染物浓度：</w:t>
            </w:r>
            <w:r>
              <w:rPr>
                <w:rFonts w:hint="default" w:ascii="Times New Roman" w:hAnsi="Times New Roman" w:eastAsia="宋体" w:cs="Times New Roman"/>
                <w:color w:val="auto"/>
                <w:spacing w:val="-1"/>
                <w:sz w:val="24"/>
                <w:szCs w:val="24"/>
                <w:u w:val="none" w:color="auto"/>
              </w:rPr>
              <w:t>COD350mg/L、BOD</w:t>
            </w:r>
            <w:r>
              <w:rPr>
                <w:rFonts w:hint="default" w:ascii="Times New Roman" w:hAnsi="Times New Roman" w:eastAsia="宋体" w:cs="Times New Roman"/>
                <w:color w:val="auto"/>
                <w:spacing w:val="-1"/>
                <w:position w:val="-1"/>
                <w:sz w:val="24"/>
                <w:szCs w:val="24"/>
                <w:u w:val="none" w:color="auto"/>
                <w:vertAlign w:val="subscript"/>
              </w:rPr>
              <w:t>5</w:t>
            </w:r>
            <w:r>
              <w:rPr>
                <w:rFonts w:hint="default" w:ascii="Times New Roman" w:hAnsi="Times New Roman" w:eastAsia="宋体" w:cs="Times New Roman"/>
                <w:color w:val="auto"/>
                <w:spacing w:val="-1"/>
                <w:sz w:val="24"/>
                <w:szCs w:val="24"/>
                <w:u w:val="none" w:color="auto"/>
              </w:rPr>
              <w:t>150mg/L</w:t>
            </w:r>
            <w:r>
              <w:rPr>
                <w:rFonts w:hint="default" w:ascii="Times New Roman" w:hAnsi="Times New Roman" w:eastAsia="宋体" w:cs="Times New Roman"/>
                <w:color w:val="auto"/>
                <w:spacing w:val="-2"/>
                <w:sz w:val="24"/>
                <w:szCs w:val="24"/>
                <w:u w:val="none" w:color="auto"/>
              </w:rPr>
              <w:t>、SS300mg/L</w:t>
            </w:r>
            <w:r>
              <w:rPr>
                <w:rFonts w:hint="default" w:ascii="Times New Roman" w:hAnsi="Times New Roman" w:eastAsia="宋体" w:cs="Times New Roman"/>
                <w:color w:val="auto"/>
                <w:spacing w:val="-32"/>
                <w:sz w:val="24"/>
                <w:szCs w:val="24"/>
                <w:u w:val="none" w:color="auto"/>
              </w:rPr>
              <w:t xml:space="preserve"> </w:t>
            </w:r>
            <w:r>
              <w:rPr>
                <w:rFonts w:hint="default" w:ascii="Times New Roman" w:hAnsi="Times New Roman" w:eastAsia="宋体" w:cs="Times New Roman"/>
                <w:color w:val="auto"/>
                <w:spacing w:val="-2"/>
                <w:sz w:val="24"/>
                <w:szCs w:val="24"/>
                <w:u w:val="none" w:color="auto"/>
              </w:rPr>
              <w:t>、NH</w:t>
            </w:r>
            <w:r>
              <w:rPr>
                <w:rFonts w:hint="default" w:ascii="Times New Roman" w:hAnsi="Times New Roman" w:eastAsia="宋体" w:cs="Times New Roman"/>
                <w:color w:val="auto"/>
                <w:spacing w:val="-2"/>
                <w:sz w:val="24"/>
                <w:szCs w:val="24"/>
                <w:u w:val="none" w:color="auto"/>
                <w:vertAlign w:val="subscript"/>
              </w:rPr>
              <w:t>3</w:t>
            </w:r>
            <w:r>
              <w:rPr>
                <w:rFonts w:hint="default" w:ascii="Times New Roman" w:hAnsi="Times New Roman" w:eastAsia="宋体" w:cs="Times New Roman"/>
                <w:color w:val="auto"/>
                <w:spacing w:val="-2"/>
                <w:sz w:val="24"/>
                <w:szCs w:val="24"/>
                <w:u w:val="none" w:color="auto"/>
              </w:rPr>
              <w:t>-N35mg/L、动植物油</w:t>
            </w:r>
            <w:r>
              <w:rPr>
                <w:rFonts w:hint="default" w:ascii="Times New Roman" w:hAnsi="Times New Roman" w:eastAsia="宋体" w:cs="Times New Roman"/>
                <w:color w:val="auto"/>
                <w:spacing w:val="-50"/>
                <w:sz w:val="24"/>
                <w:szCs w:val="24"/>
                <w:u w:val="none" w:color="auto"/>
              </w:rPr>
              <w:t xml:space="preserve"> </w:t>
            </w:r>
            <w:r>
              <w:rPr>
                <w:rFonts w:hint="default" w:ascii="Times New Roman" w:hAnsi="Times New Roman" w:eastAsia="宋体" w:cs="Times New Roman"/>
                <w:color w:val="auto"/>
                <w:spacing w:val="-2"/>
                <w:sz w:val="24"/>
                <w:szCs w:val="24"/>
                <w:u w:val="none" w:color="auto"/>
              </w:rPr>
              <w:t>20mg/L</w:t>
            </w:r>
            <w:r>
              <w:rPr>
                <w:rFonts w:hint="default" w:ascii="Times New Roman" w:hAnsi="Times New Roman" w:eastAsia="宋体" w:cs="Times New Roman"/>
                <w:color w:val="auto"/>
                <w:spacing w:val="-2"/>
                <w:sz w:val="24"/>
                <w:szCs w:val="24"/>
                <w:u w:val="none" w:color="auto"/>
                <w:lang w:eastAsia="zh-CN"/>
              </w:rPr>
              <w:t>。</w:t>
            </w:r>
          </w:p>
          <w:p w14:paraId="1556F3DF">
            <w:pPr>
              <w:pStyle w:val="34"/>
              <w:keepNext w:val="0"/>
              <w:keepLines w:val="0"/>
              <w:pageBreakBefore w:val="0"/>
              <w:widowControl/>
              <w:numPr>
                <w:ilvl w:val="0"/>
                <w:numId w:val="0"/>
              </w:numPr>
              <w:kinsoku w:val="0"/>
              <w:wordWrap/>
              <w:overflowPunct/>
              <w:topLinePunct w:val="0"/>
              <w:autoSpaceDE w:val="0"/>
              <w:autoSpaceDN w:val="0"/>
              <w:bidi w:val="0"/>
              <w:adjustRightInd/>
              <w:snapToGrid/>
              <w:spacing w:after="0" w:line="360" w:lineRule="auto"/>
              <w:ind w:left="0" w:leftChars="0" w:firstLine="472" w:firstLineChars="200"/>
              <w:jc w:val="both"/>
              <w:textAlignment w:val="baseline"/>
              <w:rPr>
                <w:rFonts w:hint="default" w:ascii="Times New Roman" w:hAnsi="Times New Roman" w:eastAsia="宋体" w:cs="Times New Roman"/>
                <w:color w:val="auto"/>
                <w:spacing w:val="-2"/>
                <w:sz w:val="24"/>
                <w:szCs w:val="24"/>
                <w:u w:val="none" w:color="auto"/>
                <w:lang w:val="en-US" w:eastAsia="zh-CN"/>
              </w:rPr>
            </w:pPr>
            <w:r>
              <w:rPr>
                <w:rFonts w:hint="default" w:ascii="Times New Roman" w:hAnsi="Times New Roman" w:eastAsia="宋体" w:cs="Times New Roman"/>
                <w:snapToGrid w:val="0"/>
                <w:color w:val="auto"/>
                <w:spacing w:val="-2"/>
                <w:kern w:val="0"/>
                <w:sz w:val="24"/>
                <w:szCs w:val="24"/>
                <w:u w:val="none" w:color="auto"/>
                <w:lang w:val="en-US" w:eastAsia="zh-CN" w:bidi="ar-SA"/>
              </w:rPr>
              <w:t>（3）</w:t>
            </w:r>
            <w:r>
              <w:rPr>
                <w:rFonts w:hint="default" w:ascii="Times New Roman" w:hAnsi="Times New Roman" w:eastAsia="宋体" w:cs="Times New Roman"/>
                <w:color w:val="auto"/>
                <w:spacing w:val="-2"/>
                <w:sz w:val="24"/>
                <w:szCs w:val="24"/>
                <w:u w:val="none" w:color="auto"/>
                <w:lang w:val="en-US" w:eastAsia="zh-CN"/>
              </w:rPr>
              <w:t>实验室废水</w:t>
            </w:r>
          </w:p>
          <w:p w14:paraId="31A61795">
            <w:pPr>
              <w:keepNext w:val="0"/>
              <w:keepLines w:val="0"/>
              <w:pageBreakBefore w:val="0"/>
              <w:widowControl/>
              <w:numPr>
                <w:ilvl w:val="0"/>
                <w:numId w:val="0"/>
              </w:numPr>
              <w:kinsoku w:val="0"/>
              <w:wordWrap/>
              <w:overflowPunct/>
              <w:topLinePunct w:val="0"/>
              <w:autoSpaceDE w:val="0"/>
              <w:autoSpaceDN w:val="0"/>
              <w:bidi w:val="0"/>
              <w:adjustRightInd/>
              <w:snapToGrid/>
              <w:spacing w:line="360" w:lineRule="auto"/>
              <w:ind w:left="0" w:leftChars="0" w:firstLine="480" w:firstLineChars="200"/>
              <w:jc w:val="both"/>
              <w:textAlignment w:val="baseline"/>
              <w:rPr>
                <w:rFonts w:hint="default" w:ascii="Times New Roman" w:hAnsi="Times New Roman" w:eastAsia="宋体" w:cs="Times New Roman"/>
                <w:color w:val="auto"/>
                <w:spacing w:val="-2"/>
                <w:sz w:val="24"/>
                <w:szCs w:val="24"/>
                <w:u w:val="none" w:color="auto"/>
                <w:lang w:eastAsia="zh-CN"/>
              </w:rPr>
            </w:pPr>
            <w:r>
              <w:rPr>
                <w:rFonts w:hint="default" w:ascii="Times New Roman" w:hAnsi="Times New Roman" w:eastAsia="宋体" w:cs="Times New Roman"/>
                <w:color w:val="auto"/>
                <w:sz w:val="24"/>
                <w:szCs w:val="24"/>
                <w:u w:val="none" w:color="auto"/>
                <w:lang w:val="en-US" w:eastAsia="zh-CN"/>
              </w:rPr>
              <w:t>根据上文水平衡可知，本项目新增实验室废水产生量为</w:t>
            </w:r>
            <w:r>
              <w:rPr>
                <w:rFonts w:hint="default" w:ascii="Times New Roman" w:hAnsi="Times New Roman" w:eastAsia="宋体" w:cs="Times New Roman"/>
                <w:b w:val="0"/>
                <w:bCs/>
                <w:color w:val="auto"/>
                <w:sz w:val="24"/>
                <w:szCs w:val="24"/>
                <w:highlight w:val="none"/>
                <w:u w:val="none" w:color="auto"/>
                <w:lang w:val="en-US" w:eastAsia="zh-CN"/>
              </w:rPr>
              <w:t>3.84</w:t>
            </w:r>
            <w:r>
              <w:rPr>
                <w:rFonts w:hint="default" w:ascii="Times New Roman" w:hAnsi="Times New Roman" w:eastAsia="宋体" w:cs="Times New Roman"/>
                <w:b w:val="0"/>
                <w:bCs/>
                <w:color w:val="auto"/>
                <w:sz w:val="24"/>
                <w:szCs w:val="24"/>
                <w:highlight w:val="none"/>
                <w:u w:val="none" w:color="auto"/>
              </w:rPr>
              <w:t>m</w:t>
            </w:r>
            <w:r>
              <w:rPr>
                <w:rFonts w:hint="default" w:ascii="Times New Roman" w:hAnsi="Times New Roman" w:eastAsia="宋体" w:cs="Times New Roman"/>
                <w:b w:val="0"/>
                <w:bCs/>
                <w:color w:val="auto"/>
                <w:sz w:val="24"/>
                <w:szCs w:val="24"/>
                <w:highlight w:val="none"/>
                <w:u w:val="none" w:color="auto"/>
                <w:vertAlign w:val="superscript"/>
              </w:rPr>
              <w:t>3</w:t>
            </w:r>
            <w:r>
              <w:rPr>
                <w:rFonts w:hint="default" w:ascii="Times New Roman" w:hAnsi="Times New Roman" w:eastAsia="宋体" w:cs="Times New Roman"/>
                <w:b w:val="0"/>
                <w:bCs/>
                <w:color w:val="auto"/>
                <w:sz w:val="24"/>
                <w:szCs w:val="24"/>
                <w:highlight w:val="none"/>
                <w:u w:val="none" w:color="auto"/>
              </w:rPr>
              <w:t>/d</w:t>
            </w:r>
            <w:r>
              <w:rPr>
                <w:rFonts w:hint="default" w:ascii="Times New Roman" w:hAnsi="Times New Roman" w:eastAsia="宋体" w:cs="Times New Roman"/>
                <w:color w:val="auto"/>
                <w:sz w:val="24"/>
                <w:szCs w:val="24"/>
                <w:u w:val="none" w:color="auto"/>
                <w:lang w:val="en-US" w:eastAsia="zh-CN"/>
              </w:rPr>
              <w:t>，</w:t>
            </w:r>
            <w:r>
              <w:rPr>
                <w:rFonts w:hint="default" w:ascii="Times New Roman" w:hAnsi="Times New Roman" w:eastAsia="宋体" w:cs="Times New Roman"/>
                <w:b w:val="0"/>
                <w:bCs/>
                <w:color w:val="auto"/>
                <w:sz w:val="24"/>
                <w:szCs w:val="24"/>
                <w:highlight w:val="none"/>
                <w:u w:val="none" w:color="auto"/>
                <w:lang w:val="en-US" w:eastAsia="zh-CN"/>
              </w:rPr>
              <w:t>768</w:t>
            </w:r>
            <w:r>
              <w:rPr>
                <w:rFonts w:hint="default" w:ascii="Times New Roman" w:hAnsi="Times New Roman" w:eastAsia="宋体" w:cs="Times New Roman"/>
                <w:b w:val="0"/>
                <w:bCs/>
                <w:color w:val="auto"/>
                <w:sz w:val="24"/>
                <w:szCs w:val="24"/>
                <w:highlight w:val="none"/>
                <w:u w:val="none" w:color="auto"/>
              </w:rPr>
              <w:t>m</w:t>
            </w:r>
            <w:r>
              <w:rPr>
                <w:rFonts w:hint="default" w:ascii="Times New Roman" w:hAnsi="Times New Roman" w:eastAsia="宋体" w:cs="Times New Roman"/>
                <w:b w:val="0"/>
                <w:bCs/>
                <w:color w:val="auto"/>
                <w:sz w:val="24"/>
                <w:szCs w:val="24"/>
                <w:highlight w:val="none"/>
                <w:u w:val="none" w:color="auto"/>
                <w:vertAlign w:val="superscript"/>
              </w:rPr>
              <w:t>3</w:t>
            </w:r>
            <w:r>
              <w:rPr>
                <w:rFonts w:hint="default" w:ascii="Times New Roman" w:hAnsi="Times New Roman" w:eastAsia="宋体" w:cs="Times New Roman"/>
                <w:b w:val="0"/>
                <w:bCs/>
                <w:color w:val="auto"/>
                <w:sz w:val="24"/>
                <w:szCs w:val="24"/>
                <w:highlight w:val="none"/>
                <w:u w:val="none" w:color="auto"/>
              </w:rPr>
              <w:t>/a</w:t>
            </w:r>
            <w:r>
              <w:rPr>
                <w:rFonts w:hint="default" w:ascii="Times New Roman" w:hAnsi="Times New Roman" w:eastAsia="宋体" w:cs="Times New Roman"/>
                <w:color w:val="auto"/>
                <w:sz w:val="24"/>
                <w:szCs w:val="24"/>
                <w:u w:val="none" w:color="auto"/>
                <w:lang w:val="en-US" w:eastAsia="zh-CN"/>
              </w:rPr>
              <w:t>，</w:t>
            </w:r>
            <w:r>
              <w:rPr>
                <w:rFonts w:hint="eastAsia" w:ascii="Times New Roman" w:hAnsi="Times New Roman" w:eastAsia="宋体" w:cs="Times New Roman"/>
                <w:color w:val="auto"/>
                <w:sz w:val="24"/>
                <w:szCs w:val="24"/>
                <w:u w:val="none" w:color="auto"/>
                <w:lang w:val="en-US" w:eastAsia="zh-CN"/>
              </w:rPr>
              <w:t>经中和池（新建，1座，地埋式，容积5m</w:t>
            </w:r>
            <w:r>
              <w:rPr>
                <w:rFonts w:hint="eastAsia" w:ascii="Times New Roman" w:hAnsi="Times New Roman" w:eastAsia="宋体" w:cs="Times New Roman"/>
                <w:color w:val="auto"/>
                <w:sz w:val="24"/>
                <w:szCs w:val="24"/>
                <w:u w:val="none" w:color="auto"/>
                <w:vertAlign w:val="superscript"/>
                <w:lang w:val="en-US" w:eastAsia="zh-CN"/>
              </w:rPr>
              <w:t>3</w:t>
            </w:r>
            <w:r>
              <w:rPr>
                <w:rFonts w:hint="eastAsia" w:ascii="Times New Roman" w:hAnsi="Times New Roman" w:eastAsia="宋体" w:cs="Times New Roman"/>
                <w:color w:val="auto"/>
                <w:sz w:val="24"/>
                <w:szCs w:val="24"/>
                <w:u w:val="none" w:color="auto"/>
                <w:lang w:val="en-US" w:eastAsia="zh-CN"/>
              </w:rPr>
              <w:t>）处理后的实验室废水与经现有地埋式隔油池处理后以及师生日常生活污水进入现有地埋式化粪池（1座，地埋式，现有容积650m</w:t>
            </w:r>
            <w:r>
              <w:rPr>
                <w:rFonts w:hint="eastAsia" w:ascii="Times New Roman" w:hAnsi="Times New Roman" w:eastAsia="宋体" w:cs="Times New Roman"/>
                <w:color w:val="auto"/>
                <w:sz w:val="24"/>
                <w:szCs w:val="24"/>
                <w:u w:val="none" w:color="auto"/>
                <w:vertAlign w:val="superscript"/>
                <w:lang w:val="en-US" w:eastAsia="zh-CN"/>
              </w:rPr>
              <w:t>3</w:t>
            </w:r>
            <w:r>
              <w:rPr>
                <w:rFonts w:hint="eastAsia" w:ascii="Times New Roman" w:hAnsi="Times New Roman" w:eastAsia="宋体" w:cs="Times New Roman"/>
                <w:color w:val="auto"/>
                <w:sz w:val="24"/>
                <w:szCs w:val="24"/>
                <w:u w:val="none" w:color="auto"/>
                <w:lang w:val="en-US" w:eastAsia="zh-CN"/>
              </w:rPr>
              <w:t>）处理，</w:t>
            </w:r>
            <w:r>
              <w:rPr>
                <w:rFonts w:hint="default" w:ascii="Times New Roman" w:hAnsi="Times New Roman" w:eastAsia="宋体" w:cs="Times New Roman"/>
                <w:b w:val="0"/>
                <w:bCs/>
                <w:color w:val="auto"/>
                <w:sz w:val="24"/>
                <w:szCs w:val="24"/>
                <w:highlight w:val="none"/>
                <w:u w:val="none" w:color="auto"/>
                <w:lang w:val="en-US" w:eastAsia="zh-CN"/>
              </w:rPr>
              <w:t>废水中</w:t>
            </w:r>
            <w:r>
              <w:rPr>
                <w:rFonts w:hint="default" w:ascii="Times New Roman" w:hAnsi="Times New Roman" w:eastAsia="宋体" w:cs="Times New Roman"/>
                <w:color w:val="auto"/>
                <w:sz w:val="24"/>
                <w:szCs w:val="24"/>
                <w:u w:val="none" w:color="auto"/>
              </w:rPr>
              <w:t>主</w:t>
            </w:r>
            <w:r>
              <w:rPr>
                <w:rFonts w:hint="default" w:ascii="Times New Roman" w:hAnsi="Times New Roman" w:eastAsia="宋体" w:cs="Times New Roman"/>
                <w:color w:val="auto"/>
                <w:spacing w:val="-1"/>
                <w:sz w:val="24"/>
                <w:szCs w:val="24"/>
                <w:u w:val="none" w:color="auto"/>
              </w:rPr>
              <w:t>要污染物浓度：COD100mg/L、</w:t>
            </w:r>
            <w:r>
              <w:rPr>
                <w:rFonts w:hint="default" w:ascii="Times New Roman" w:hAnsi="Times New Roman" w:eastAsia="宋体" w:cs="Times New Roman"/>
                <w:color w:val="auto"/>
                <w:spacing w:val="-2"/>
                <w:sz w:val="24"/>
                <w:szCs w:val="24"/>
                <w:u w:val="none" w:color="auto"/>
              </w:rPr>
              <w:t>BOD</w:t>
            </w:r>
            <w:r>
              <w:rPr>
                <w:rFonts w:hint="default" w:ascii="Times New Roman" w:hAnsi="Times New Roman" w:eastAsia="宋体" w:cs="Times New Roman"/>
                <w:color w:val="auto"/>
                <w:spacing w:val="-2"/>
                <w:position w:val="-1"/>
                <w:sz w:val="24"/>
                <w:szCs w:val="24"/>
                <w:u w:val="none" w:color="auto"/>
                <w:vertAlign w:val="subscript"/>
              </w:rPr>
              <w:t>5</w:t>
            </w:r>
            <w:r>
              <w:rPr>
                <w:rFonts w:hint="default" w:ascii="Times New Roman" w:hAnsi="Times New Roman" w:eastAsia="宋体" w:cs="Times New Roman"/>
                <w:color w:val="auto"/>
                <w:spacing w:val="-2"/>
                <w:sz w:val="24"/>
                <w:szCs w:val="24"/>
                <w:u w:val="none" w:color="auto"/>
              </w:rPr>
              <w:t>50mg/L、SS20mg/L、NH</w:t>
            </w:r>
            <w:r>
              <w:rPr>
                <w:rFonts w:hint="default" w:ascii="Times New Roman" w:hAnsi="Times New Roman" w:eastAsia="宋体" w:cs="Times New Roman"/>
                <w:color w:val="auto"/>
                <w:spacing w:val="-2"/>
                <w:sz w:val="24"/>
                <w:szCs w:val="24"/>
                <w:u w:val="none" w:color="auto"/>
                <w:vertAlign w:val="subscript"/>
              </w:rPr>
              <w:t>3</w:t>
            </w:r>
            <w:r>
              <w:rPr>
                <w:rFonts w:hint="default" w:ascii="Times New Roman" w:hAnsi="Times New Roman" w:eastAsia="宋体" w:cs="Times New Roman"/>
                <w:color w:val="auto"/>
                <w:spacing w:val="-2"/>
                <w:sz w:val="24"/>
                <w:szCs w:val="24"/>
                <w:u w:val="none" w:color="auto"/>
              </w:rPr>
              <w:t>-N5mg/L</w:t>
            </w:r>
            <w:r>
              <w:rPr>
                <w:rFonts w:hint="default" w:ascii="Times New Roman" w:hAnsi="Times New Roman" w:eastAsia="宋体" w:cs="Times New Roman"/>
                <w:color w:val="auto"/>
                <w:spacing w:val="-2"/>
                <w:sz w:val="24"/>
                <w:szCs w:val="24"/>
                <w:u w:val="none" w:color="auto"/>
                <w:lang w:eastAsia="zh-CN"/>
              </w:rPr>
              <w:t>。</w:t>
            </w:r>
          </w:p>
          <w:p w14:paraId="44848F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4"/>
                <w:szCs w:val="24"/>
                <w:highlight w:val="none"/>
                <w:u w:val="none" w:color="auto"/>
                <w:lang w:val="en-US" w:eastAsia="zh-CN" w:bidi="ar-SA"/>
              </w:rPr>
            </w:pPr>
            <w:r>
              <w:rPr>
                <w:rFonts w:hint="default" w:ascii="Times New Roman" w:hAnsi="Times New Roman" w:eastAsia="宋体" w:cs="Times New Roman"/>
                <w:b/>
                <w:bCs/>
                <w:color w:val="auto"/>
                <w:kern w:val="2"/>
                <w:sz w:val="24"/>
                <w:szCs w:val="24"/>
                <w:highlight w:val="none"/>
                <w:u w:val="none" w:color="auto"/>
                <w:lang w:val="en-US" w:eastAsia="zh-CN" w:bidi="ar-SA"/>
              </w:rPr>
              <w:t>表4-9       项目营运期废水水质一览表</w:t>
            </w:r>
          </w:p>
          <w:tbl>
            <w:tblPr>
              <w:tblStyle w:val="35"/>
              <w:tblW w:w="4998"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1134"/>
              <w:gridCol w:w="1135"/>
              <w:gridCol w:w="1137"/>
              <w:gridCol w:w="1139"/>
              <w:gridCol w:w="1139"/>
              <w:gridCol w:w="1139"/>
              <w:gridCol w:w="1139"/>
              <w:gridCol w:w="1144"/>
            </w:tblGrid>
            <w:tr w14:paraId="3FEF1F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623" w:type="pct"/>
                  <w:vMerge w:val="restart"/>
                  <w:tcBorders>
                    <w:right w:val="single" w:color="auto" w:sz="4" w:space="0"/>
                  </w:tcBorders>
                  <w:noWrap w:val="0"/>
                  <w:vAlign w:val="center"/>
                </w:tcPr>
                <w:p w14:paraId="33A1ADE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序号</w:t>
                  </w:r>
                </w:p>
              </w:tc>
              <w:tc>
                <w:tcPr>
                  <w:tcW w:w="623" w:type="pct"/>
                  <w:vMerge w:val="restart"/>
                  <w:tcBorders>
                    <w:left w:val="single" w:color="auto" w:sz="4" w:space="0"/>
                  </w:tcBorders>
                  <w:noWrap w:val="0"/>
                  <w:vAlign w:val="center"/>
                </w:tcPr>
                <w:p w14:paraId="173AEC5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废水类别</w:t>
                  </w:r>
                </w:p>
              </w:tc>
              <w:tc>
                <w:tcPr>
                  <w:tcW w:w="624" w:type="pct"/>
                  <w:vMerge w:val="restart"/>
                  <w:noWrap w:val="0"/>
                  <w:vAlign w:val="center"/>
                </w:tcPr>
                <w:p w14:paraId="281FF74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废水量</w:t>
                  </w:r>
                </w:p>
                <w:p w14:paraId="22BEDBC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color w:val="auto"/>
                      <w:sz w:val="21"/>
                      <w:szCs w:val="21"/>
                      <w:u w:val="none" w:color="auto"/>
                    </w:rPr>
                    <w:t>m</w:t>
                  </w:r>
                  <w:r>
                    <w:rPr>
                      <w:rFonts w:hint="default" w:ascii="Times New Roman" w:hAnsi="Times New Roman" w:eastAsia="宋体" w:cs="Times New Roman"/>
                      <w:color w:val="auto"/>
                      <w:sz w:val="21"/>
                      <w:szCs w:val="21"/>
                      <w:u w:val="none" w:color="auto"/>
                      <w:vertAlign w:val="superscript"/>
                    </w:rPr>
                    <w:t>3</w:t>
                  </w:r>
                  <w:r>
                    <w:rPr>
                      <w:rFonts w:hint="default" w:ascii="Times New Roman" w:hAnsi="Times New Roman" w:eastAsia="宋体" w:cs="Times New Roman"/>
                      <w:color w:val="auto"/>
                      <w:sz w:val="21"/>
                      <w:szCs w:val="21"/>
                      <w:u w:val="none" w:color="auto"/>
                    </w:rPr>
                    <w:t>/a</w:t>
                  </w:r>
                </w:p>
              </w:tc>
              <w:tc>
                <w:tcPr>
                  <w:tcW w:w="3128" w:type="pct"/>
                  <w:gridSpan w:val="5"/>
                  <w:tcBorders>
                    <w:right w:val="single" w:color="auto" w:sz="4" w:space="0"/>
                  </w:tcBorders>
                  <w:noWrap w:val="0"/>
                  <w:vAlign w:val="center"/>
                </w:tcPr>
                <w:p w14:paraId="2F78433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产生浓度（mg/L）</w:t>
                  </w:r>
                </w:p>
              </w:tc>
            </w:tr>
            <w:tr w14:paraId="570B6E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623" w:type="pct"/>
                  <w:vMerge w:val="continue"/>
                  <w:tcBorders>
                    <w:right w:val="single" w:color="auto" w:sz="4" w:space="0"/>
                  </w:tcBorders>
                  <w:noWrap w:val="0"/>
                  <w:vAlign w:val="center"/>
                </w:tcPr>
                <w:p w14:paraId="76F3230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21"/>
                      <w:szCs w:val="21"/>
                      <w:u w:val="none" w:color="auto"/>
                    </w:rPr>
                  </w:pPr>
                </w:p>
              </w:tc>
              <w:tc>
                <w:tcPr>
                  <w:tcW w:w="623" w:type="pct"/>
                  <w:vMerge w:val="continue"/>
                  <w:tcBorders>
                    <w:left w:val="single" w:color="auto" w:sz="4" w:space="0"/>
                  </w:tcBorders>
                  <w:noWrap w:val="0"/>
                  <w:vAlign w:val="center"/>
                </w:tcPr>
                <w:p w14:paraId="6D4D53D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21"/>
                      <w:szCs w:val="21"/>
                      <w:u w:val="none" w:color="auto"/>
                    </w:rPr>
                  </w:pPr>
                </w:p>
              </w:tc>
              <w:tc>
                <w:tcPr>
                  <w:tcW w:w="624" w:type="pct"/>
                  <w:vMerge w:val="continue"/>
                  <w:noWrap w:val="0"/>
                  <w:vAlign w:val="center"/>
                </w:tcPr>
                <w:p w14:paraId="4730E86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
                      <w:bCs/>
                      <w:color w:val="auto"/>
                      <w:sz w:val="21"/>
                      <w:szCs w:val="21"/>
                      <w:u w:val="none" w:color="auto"/>
                    </w:rPr>
                  </w:pPr>
                </w:p>
              </w:tc>
              <w:tc>
                <w:tcPr>
                  <w:tcW w:w="625" w:type="pct"/>
                  <w:noWrap w:val="0"/>
                  <w:vAlign w:val="center"/>
                </w:tcPr>
                <w:p w14:paraId="15D157F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COD</w:t>
                  </w:r>
                </w:p>
              </w:tc>
              <w:tc>
                <w:tcPr>
                  <w:tcW w:w="625" w:type="pct"/>
                  <w:noWrap w:val="0"/>
                  <w:vAlign w:val="center"/>
                </w:tcPr>
                <w:p w14:paraId="4A8B014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BOD</w:t>
                  </w:r>
                  <w:r>
                    <w:rPr>
                      <w:rFonts w:hint="default" w:ascii="Times New Roman" w:hAnsi="Times New Roman" w:eastAsia="宋体" w:cs="Times New Roman"/>
                      <w:bCs/>
                      <w:color w:val="auto"/>
                      <w:sz w:val="21"/>
                      <w:szCs w:val="21"/>
                      <w:u w:val="none" w:color="auto"/>
                      <w:vertAlign w:val="subscript"/>
                    </w:rPr>
                    <w:t>5</w:t>
                  </w:r>
                </w:p>
              </w:tc>
              <w:tc>
                <w:tcPr>
                  <w:tcW w:w="625" w:type="pct"/>
                  <w:noWrap w:val="0"/>
                  <w:vAlign w:val="center"/>
                </w:tcPr>
                <w:p w14:paraId="05B12BB3">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SS</w:t>
                  </w:r>
                </w:p>
              </w:tc>
              <w:tc>
                <w:tcPr>
                  <w:tcW w:w="625" w:type="pct"/>
                  <w:tcBorders>
                    <w:right w:val="single" w:color="auto" w:sz="4" w:space="0"/>
                  </w:tcBorders>
                  <w:noWrap w:val="0"/>
                  <w:vAlign w:val="center"/>
                </w:tcPr>
                <w:p w14:paraId="2F56F89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NH</w:t>
                  </w:r>
                  <w:r>
                    <w:rPr>
                      <w:rFonts w:hint="default" w:ascii="Times New Roman" w:hAnsi="Times New Roman" w:eastAsia="宋体" w:cs="Times New Roman"/>
                      <w:bCs/>
                      <w:color w:val="auto"/>
                      <w:sz w:val="21"/>
                      <w:szCs w:val="21"/>
                      <w:u w:val="none" w:color="auto"/>
                      <w:vertAlign w:val="subscript"/>
                    </w:rPr>
                    <w:t>3</w:t>
                  </w:r>
                  <w:r>
                    <w:rPr>
                      <w:rFonts w:hint="default" w:ascii="Times New Roman" w:hAnsi="Times New Roman" w:eastAsia="宋体" w:cs="Times New Roman"/>
                      <w:bCs/>
                      <w:color w:val="auto"/>
                      <w:sz w:val="21"/>
                      <w:szCs w:val="21"/>
                      <w:u w:val="none" w:color="auto"/>
                    </w:rPr>
                    <w:t>-N</w:t>
                  </w:r>
                </w:p>
              </w:tc>
              <w:tc>
                <w:tcPr>
                  <w:tcW w:w="627" w:type="pct"/>
                  <w:tcBorders>
                    <w:right w:val="single" w:color="auto" w:sz="4" w:space="0"/>
                  </w:tcBorders>
                  <w:noWrap w:val="0"/>
                  <w:vAlign w:val="center"/>
                </w:tcPr>
                <w:p w14:paraId="3CD68F31">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动植物油</w:t>
                  </w:r>
                </w:p>
              </w:tc>
            </w:tr>
            <w:tr w14:paraId="45BF50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623" w:type="pct"/>
                  <w:tcBorders>
                    <w:top w:val="single" w:color="auto" w:sz="4" w:space="0"/>
                  </w:tcBorders>
                  <w:noWrap w:val="0"/>
                  <w:vAlign w:val="center"/>
                </w:tcPr>
                <w:p w14:paraId="3812C79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1</w:t>
                  </w:r>
                </w:p>
              </w:tc>
              <w:tc>
                <w:tcPr>
                  <w:tcW w:w="623" w:type="pct"/>
                  <w:noWrap w:val="0"/>
                  <w:vAlign w:val="center"/>
                </w:tcPr>
                <w:p w14:paraId="049449FC">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lang w:val="en-US" w:eastAsia="zh-CN"/>
                    </w:rPr>
                    <w:t>师生日常生活污水</w:t>
                  </w:r>
                </w:p>
              </w:tc>
              <w:tc>
                <w:tcPr>
                  <w:tcW w:w="624" w:type="pct"/>
                  <w:noWrap w:val="0"/>
                  <w:vAlign w:val="center"/>
                </w:tcPr>
                <w:p w14:paraId="51CF787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68072</w:t>
                  </w:r>
                </w:p>
              </w:tc>
              <w:tc>
                <w:tcPr>
                  <w:tcW w:w="625" w:type="pct"/>
                  <w:noWrap w:val="0"/>
                  <w:vAlign w:val="center"/>
                </w:tcPr>
                <w:p w14:paraId="4C4466A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300</w:t>
                  </w:r>
                </w:p>
              </w:tc>
              <w:tc>
                <w:tcPr>
                  <w:tcW w:w="625" w:type="pct"/>
                  <w:noWrap w:val="0"/>
                  <w:vAlign w:val="center"/>
                </w:tcPr>
                <w:p w14:paraId="1F249A6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180</w:t>
                  </w:r>
                </w:p>
              </w:tc>
              <w:tc>
                <w:tcPr>
                  <w:tcW w:w="625" w:type="pct"/>
                  <w:noWrap w:val="0"/>
                  <w:vAlign w:val="center"/>
                </w:tcPr>
                <w:p w14:paraId="595E7B7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250</w:t>
                  </w:r>
                </w:p>
              </w:tc>
              <w:tc>
                <w:tcPr>
                  <w:tcW w:w="625" w:type="pct"/>
                  <w:noWrap w:val="0"/>
                  <w:vAlign w:val="center"/>
                </w:tcPr>
                <w:p w14:paraId="585AD3EF">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25</w:t>
                  </w:r>
                </w:p>
              </w:tc>
              <w:tc>
                <w:tcPr>
                  <w:tcW w:w="627" w:type="pct"/>
                  <w:noWrap w:val="0"/>
                  <w:vAlign w:val="center"/>
                </w:tcPr>
                <w:p w14:paraId="1FA133C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w:t>
                  </w:r>
                </w:p>
              </w:tc>
            </w:tr>
            <w:tr w14:paraId="561B1E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623" w:type="pct"/>
                  <w:tcBorders>
                    <w:top w:val="single" w:color="auto" w:sz="4" w:space="0"/>
                  </w:tcBorders>
                  <w:noWrap w:val="0"/>
                  <w:vAlign w:val="center"/>
                </w:tcPr>
                <w:p w14:paraId="263F6B0E">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2</w:t>
                  </w:r>
                </w:p>
              </w:tc>
              <w:tc>
                <w:tcPr>
                  <w:tcW w:w="623" w:type="pct"/>
                  <w:noWrap w:val="0"/>
                  <w:vAlign w:val="center"/>
                </w:tcPr>
                <w:p w14:paraId="60DE7890">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lang w:val="en-US" w:eastAsia="zh-CN"/>
                    </w:rPr>
                    <w:t>经现有隔油池处理后的餐厅废水</w:t>
                  </w:r>
                </w:p>
              </w:tc>
              <w:tc>
                <w:tcPr>
                  <w:tcW w:w="624" w:type="pct"/>
                  <w:noWrap w:val="0"/>
                  <w:vAlign w:val="center"/>
                </w:tcPr>
                <w:p w14:paraId="22F5DC6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36275.2</w:t>
                  </w:r>
                </w:p>
              </w:tc>
              <w:tc>
                <w:tcPr>
                  <w:tcW w:w="625" w:type="pct"/>
                  <w:noWrap w:val="0"/>
                  <w:vAlign w:val="center"/>
                </w:tcPr>
                <w:p w14:paraId="34DF2F29">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315</w:t>
                  </w:r>
                </w:p>
              </w:tc>
              <w:tc>
                <w:tcPr>
                  <w:tcW w:w="625" w:type="pct"/>
                  <w:noWrap w:val="0"/>
                  <w:vAlign w:val="center"/>
                </w:tcPr>
                <w:p w14:paraId="1C38F94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142.5</w:t>
                  </w:r>
                </w:p>
              </w:tc>
              <w:tc>
                <w:tcPr>
                  <w:tcW w:w="625" w:type="pct"/>
                  <w:noWrap w:val="0"/>
                  <w:vAlign w:val="center"/>
                </w:tcPr>
                <w:p w14:paraId="6EBB0CE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240</w:t>
                  </w:r>
                </w:p>
              </w:tc>
              <w:tc>
                <w:tcPr>
                  <w:tcW w:w="625" w:type="pct"/>
                  <w:noWrap w:val="0"/>
                  <w:vAlign w:val="center"/>
                </w:tcPr>
                <w:p w14:paraId="4CBCBBA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35</w:t>
                  </w:r>
                </w:p>
              </w:tc>
              <w:tc>
                <w:tcPr>
                  <w:tcW w:w="627" w:type="pct"/>
                  <w:noWrap w:val="0"/>
                  <w:vAlign w:val="center"/>
                </w:tcPr>
                <w:p w14:paraId="64BA54CA">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8</w:t>
                  </w:r>
                </w:p>
              </w:tc>
            </w:tr>
            <w:tr w14:paraId="4BD4F0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623" w:type="pct"/>
                  <w:tcBorders>
                    <w:top w:val="single" w:color="auto" w:sz="4" w:space="0"/>
                    <w:bottom w:val="single" w:color="auto" w:sz="4" w:space="0"/>
                  </w:tcBorders>
                  <w:noWrap w:val="0"/>
                  <w:vAlign w:val="center"/>
                </w:tcPr>
                <w:p w14:paraId="7A4077F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w:t>
                  </w:r>
                </w:p>
              </w:tc>
              <w:tc>
                <w:tcPr>
                  <w:tcW w:w="623" w:type="pct"/>
                  <w:noWrap w:val="0"/>
                  <w:vAlign w:val="center"/>
                </w:tcPr>
                <w:p w14:paraId="68897ED8">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经中和池处理后的实验室废水</w:t>
                  </w:r>
                </w:p>
              </w:tc>
              <w:tc>
                <w:tcPr>
                  <w:tcW w:w="624" w:type="pct"/>
                  <w:noWrap w:val="0"/>
                  <w:vAlign w:val="center"/>
                </w:tcPr>
                <w:p w14:paraId="2831EDA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768</w:t>
                  </w:r>
                </w:p>
              </w:tc>
              <w:tc>
                <w:tcPr>
                  <w:tcW w:w="625" w:type="pct"/>
                  <w:noWrap w:val="0"/>
                  <w:vAlign w:val="center"/>
                </w:tcPr>
                <w:p w14:paraId="3FEDD04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100</w:t>
                  </w:r>
                </w:p>
              </w:tc>
              <w:tc>
                <w:tcPr>
                  <w:tcW w:w="625" w:type="pct"/>
                  <w:noWrap w:val="0"/>
                  <w:vAlign w:val="center"/>
                </w:tcPr>
                <w:p w14:paraId="1108F4F6">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50</w:t>
                  </w:r>
                </w:p>
              </w:tc>
              <w:tc>
                <w:tcPr>
                  <w:tcW w:w="625" w:type="pct"/>
                  <w:noWrap w:val="0"/>
                  <w:vAlign w:val="center"/>
                </w:tcPr>
                <w:p w14:paraId="0B874D1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20</w:t>
                  </w:r>
                </w:p>
              </w:tc>
              <w:tc>
                <w:tcPr>
                  <w:tcW w:w="625" w:type="pct"/>
                  <w:noWrap w:val="0"/>
                  <w:vAlign w:val="center"/>
                </w:tcPr>
                <w:p w14:paraId="5990A94D">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5</w:t>
                  </w:r>
                </w:p>
              </w:tc>
              <w:tc>
                <w:tcPr>
                  <w:tcW w:w="627" w:type="pct"/>
                  <w:noWrap w:val="0"/>
                  <w:vAlign w:val="center"/>
                </w:tcPr>
                <w:p w14:paraId="7ED1EAB5">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14:paraId="6BD737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6" w:type="pct"/>
                  <w:gridSpan w:val="2"/>
                  <w:tcBorders>
                    <w:top w:val="single" w:color="auto" w:sz="4" w:space="0"/>
                  </w:tcBorders>
                  <w:noWrap w:val="0"/>
                  <w:vAlign w:val="center"/>
                </w:tcPr>
                <w:p w14:paraId="383568FB">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进入</w:t>
                  </w:r>
                  <w:r>
                    <w:rPr>
                      <w:rFonts w:hint="default" w:ascii="Times New Roman" w:hAnsi="Times New Roman" w:eastAsia="宋体" w:cs="Times New Roman"/>
                      <w:bCs/>
                      <w:color w:val="auto"/>
                      <w:sz w:val="21"/>
                      <w:szCs w:val="21"/>
                      <w:u w:val="none" w:color="auto"/>
                      <w:lang w:val="en-US" w:eastAsia="zh-CN"/>
                    </w:rPr>
                    <w:t>现有地埋式化粪池的</w:t>
                  </w:r>
                  <w:r>
                    <w:rPr>
                      <w:rFonts w:hint="default" w:ascii="Times New Roman" w:hAnsi="Times New Roman" w:eastAsia="宋体" w:cs="Times New Roman"/>
                      <w:bCs/>
                      <w:color w:val="auto"/>
                      <w:sz w:val="21"/>
                      <w:szCs w:val="21"/>
                      <w:u w:val="none" w:color="auto"/>
                    </w:rPr>
                    <w:t>混合废水</w:t>
                  </w:r>
                </w:p>
              </w:tc>
              <w:tc>
                <w:tcPr>
                  <w:tcW w:w="624" w:type="pct"/>
                  <w:noWrap w:val="0"/>
                  <w:vAlign w:val="center"/>
                </w:tcPr>
                <w:p w14:paraId="22A20DDE">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105115.2</w:t>
                  </w:r>
                </w:p>
              </w:tc>
              <w:tc>
                <w:tcPr>
                  <w:tcW w:w="625" w:type="pct"/>
                  <w:noWrap w:val="0"/>
                  <w:vAlign w:val="center"/>
                </w:tcPr>
                <w:p w14:paraId="182CD2AE">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303.72 </w:t>
                  </w:r>
                </w:p>
              </w:tc>
              <w:tc>
                <w:tcPr>
                  <w:tcW w:w="625" w:type="pct"/>
                  <w:noWrap w:val="0"/>
                  <w:vAlign w:val="center"/>
                </w:tcPr>
                <w:p w14:paraId="54AC07DB">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166.11 </w:t>
                  </w:r>
                </w:p>
              </w:tc>
              <w:tc>
                <w:tcPr>
                  <w:tcW w:w="625" w:type="pct"/>
                  <w:noWrap w:val="0"/>
                  <w:vAlign w:val="center"/>
                </w:tcPr>
                <w:p w14:paraId="3F1A0607">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244.87 </w:t>
                  </w:r>
                </w:p>
              </w:tc>
              <w:tc>
                <w:tcPr>
                  <w:tcW w:w="625" w:type="pct"/>
                  <w:noWrap w:val="0"/>
                  <w:vAlign w:val="center"/>
                </w:tcPr>
                <w:p w14:paraId="5F035ABC">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28.30 </w:t>
                  </w:r>
                </w:p>
              </w:tc>
              <w:tc>
                <w:tcPr>
                  <w:tcW w:w="627" w:type="pct"/>
                  <w:noWrap w:val="0"/>
                  <w:vAlign w:val="center"/>
                </w:tcPr>
                <w:p w14:paraId="1C8EB95B">
                  <w:pPr>
                    <w:keepNext w:val="0"/>
                    <w:keepLines w:val="0"/>
                    <w:pageBreakBefore w:val="0"/>
                    <w:widowControl/>
                    <w:suppressLineNumbers w:val="0"/>
                    <w:wordWrap/>
                    <w:overflowPunct/>
                    <w:topLinePunct w:val="0"/>
                    <w:bidi w:val="0"/>
                    <w:jc w:val="center"/>
                    <w:textAlignment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2.76 </w:t>
                  </w:r>
                </w:p>
              </w:tc>
            </w:tr>
          </w:tbl>
          <w:p w14:paraId="6D584A1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项目经</w:t>
            </w:r>
            <w:r>
              <w:rPr>
                <w:rFonts w:hint="eastAsia" w:ascii="Times New Roman" w:hAnsi="Times New Roman" w:eastAsia="宋体" w:cs="Times New Roman"/>
                <w:color w:val="auto"/>
                <w:sz w:val="24"/>
                <w:szCs w:val="24"/>
                <w:u w:val="none" w:color="auto"/>
                <w:lang w:val="en-US" w:eastAsia="zh-CN"/>
              </w:rPr>
              <w:t>现有地埋式化粪池（1座，地埋式，现有容积650m</w:t>
            </w:r>
            <w:r>
              <w:rPr>
                <w:rFonts w:hint="eastAsia" w:ascii="Times New Roman" w:hAnsi="Times New Roman" w:eastAsia="宋体" w:cs="Times New Roman"/>
                <w:color w:val="auto"/>
                <w:sz w:val="24"/>
                <w:szCs w:val="24"/>
                <w:u w:val="none" w:color="auto"/>
                <w:vertAlign w:val="superscript"/>
                <w:lang w:val="en-US" w:eastAsia="zh-CN"/>
              </w:rPr>
              <w:t>3</w:t>
            </w:r>
            <w:r>
              <w:rPr>
                <w:rFonts w:hint="eastAsia" w:ascii="Times New Roman" w:hAnsi="Times New Roman" w:eastAsia="宋体" w:cs="Times New Roman"/>
                <w:color w:val="auto"/>
                <w:sz w:val="24"/>
                <w:szCs w:val="24"/>
                <w:u w:val="none" w:color="auto"/>
                <w:lang w:val="en-US" w:eastAsia="zh-CN"/>
              </w:rPr>
              <w:t>）</w:t>
            </w:r>
            <w:r>
              <w:rPr>
                <w:rFonts w:hint="default" w:ascii="Times New Roman" w:hAnsi="Times New Roman" w:cs="Times New Roman"/>
                <w:color w:val="auto"/>
                <w:sz w:val="24"/>
                <w:u w:val="none" w:color="auto"/>
              </w:rPr>
              <w:t>处理的</w:t>
            </w:r>
            <w:r>
              <w:rPr>
                <w:rFonts w:hint="eastAsia" w:ascii="Times New Roman" w:hAnsi="Times New Roman" w:eastAsia="宋体" w:cs="Times New Roman"/>
                <w:color w:val="auto"/>
                <w:sz w:val="24"/>
                <w:u w:val="none" w:color="auto"/>
                <w:lang w:val="en-US" w:eastAsia="zh-CN"/>
              </w:rPr>
              <w:t>师生日常废水、实验室废水以及餐厅废水</w:t>
            </w:r>
            <w:r>
              <w:rPr>
                <w:rFonts w:hint="default" w:ascii="Times New Roman" w:hAnsi="Times New Roman" w:cs="Times New Roman"/>
                <w:color w:val="auto"/>
                <w:sz w:val="24"/>
                <w:u w:val="none" w:color="auto"/>
              </w:rPr>
              <w:t>经市政污水管网进入镇平县污水处理中心处理。</w:t>
            </w:r>
          </w:p>
          <w:p w14:paraId="688CF3C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1"/>
                <w:u w:val="none" w:color="auto"/>
              </w:rPr>
            </w:pPr>
            <w:r>
              <w:rPr>
                <w:rFonts w:hint="default" w:ascii="Times New Roman" w:hAnsi="Times New Roman" w:cs="Times New Roman"/>
                <w:color w:val="auto"/>
                <w:kern w:val="0"/>
                <w:sz w:val="24"/>
                <w:szCs w:val="21"/>
                <w:u w:val="none" w:color="auto"/>
              </w:rPr>
              <w:t>2.2废水处理措施可行性及达标性分析</w:t>
            </w:r>
          </w:p>
          <w:p w14:paraId="2E2A1CB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①项目</w:t>
            </w:r>
            <w:r>
              <w:rPr>
                <w:rFonts w:hint="default" w:ascii="Times New Roman" w:hAnsi="Times New Roman" w:cs="Times New Roman"/>
                <w:color w:val="auto"/>
                <w:kern w:val="0"/>
                <w:sz w:val="24"/>
                <w:szCs w:val="21"/>
                <w:u w:val="none" w:color="auto"/>
              </w:rPr>
              <w:t>废水处理措施可行性及达标性分析</w:t>
            </w:r>
          </w:p>
          <w:p w14:paraId="5BAF15D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项目</w:t>
            </w:r>
            <w:r>
              <w:rPr>
                <w:rFonts w:hint="eastAsia" w:ascii="Times New Roman" w:hAnsi="Times New Roman" w:eastAsia="宋体" w:cs="Times New Roman"/>
                <w:color w:val="auto"/>
                <w:kern w:val="0"/>
                <w:sz w:val="24"/>
                <w:szCs w:val="21"/>
                <w:u w:val="none" w:color="auto"/>
                <w:lang w:val="en-US" w:eastAsia="zh-CN"/>
              </w:rPr>
              <w:t>师生日常生活废水、餐厅废水</w:t>
            </w:r>
            <w:r>
              <w:rPr>
                <w:rFonts w:hint="default" w:ascii="Times New Roman" w:hAnsi="Times New Roman" w:cs="Times New Roman"/>
                <w:color w:val="auto"/>
                <w:kern w:val="0"/>
                <w:sz w:val="24"/>
                <w:szCs w:val="21"/>
                <w:u w:val="none" w:color="auto"/>
              </w:rPr>
              <w:t>和</w:t>
            </w:r>
            <w:r>
              <w:rPr>
                <w:rFonts w:hint="eastAsia" w:ascii="Times New Roman" w:hAnsi="Times New Roman" w:eastAsia="宋体" w:cs="Times New Roman"/>
                <w:color w:val="auto"/>
                <w:kern w:val="0"/>
                <w:sz w:val="24"/>
                <w:szCs w:val="21"/>
                <w:u w:val="none" w:color="auto"/>
                <w:lang w:val="en-US" w:eastAsia="zh-CN"/>
              </w:rPr>
              <w:t>实验室废水</w:t>
            </w:r>
            <w:r>
              <w:rPr>
                <w:rFonts w:hint="default" w:ascii="Times New Roman" w:hAnsi="Times New Roman" w:cs="Times New Roman"/>
                <w:color w:val="auto"/>
                <w:sz w:val="24"/>
                <w:u w:val="none" w:color="auto"/>
              </w:rPr>
              <w:t>的产生总量为</w:t>
            </w:r>
            <w:r>
              <w:rPr>
                <w:rFonts w:hint="default" w:ascii="Times New Roman" w:hAnsi="Times New Roman" w:cs="Times New Roman"/>
                <w:color w:val="auto"/>
                <w:sz w:val="24"/>
                <w:u w:val="none" w:color="auto"/>
                <w:lang w:val="en-US" w:eastAsia="zh-CN"/>
              </w:rPr>
              <w:t>37510.92</w:t>
            </w:r>
            <w:r>
              <w:rPr>
                <w:rFonts w:hint="default" w:ascii="Times New Roman" w:hAnsi="Times New Roman" w:cs="Times New Roman"/>
                <w:color w:val="auto"/>
                <w:sz w:val="24"/>
                <w:u w:val="none" w:color="auto"/>
              </w:rPr>
              <w:t>m</w:t>
            </w:r>
            <w:r>
              <w:rPr>
                <w:rFonts w:hint="default" w:ascii="Times New Roman" w:hAnsi="Times New Roman" w:cs="Times New Roman"/>
                <w:color w:val="auto"/>
                <w:sz w:val="24"/>
                <w:u w:val="none" w:color="auto"/>
                <w:vertAlign w:val="superscript"/>
              </w:rPr>
              <w:t>3</w:t>
            </w:r>
            <w:r>
              <w:rPr>
                <w:rFonts w:hint="default" w:ascii="Times New Roman" w:hAnsi="Times New Roman" w:cs="Times New Roman"/>
                <w:color w:val="auto"/>
                <w:sz w:val="24"/>
                <w:u w:val="none" w:color="auto"/>
              </w:rPr>
              <w:t>/a，</w:t>
            </w:r>
            <w:r>
              <w:rPr>
                <w:rFonts w:hint="eastAsia" w:ascii="Times New Roman" w:hAnsi="Times New Roman" w:eastAsia="宋体" w:cs="Times New Roman"/>
                <w:color w:val="auto"/>
                <w:sz w:val="24"/>
                <w:u w:val="none" w:color="auto"/>
                <w:lang w:val="en-US" w:eastAsia="zh-CN"/>
              </w:rPr>
              <w:t>本项目营运期废水</w:t>
            </w:r>
            <w:r>
              <w:rPr>
                <w:rFonts w:hint="default" w:ascii="Times New Roman" w:hAnsi="Times New Roman" w:cs="Times New Roman"/>
                <w:color w:val="auto"/>
                <w:sz w:val="24"/>
                <w:u w:val="none" w:color="auto"/>
              </w:rPr>
              <w:t>经</w:t>
            </w:r>
            <w:r>
              <w:rPr>
                <w:rFonts w:hint="eastAsia" w:ascii="Times New Roman" w:hAnsi="Times New Roman" w:eastAsia="宋体" w:cs="Times New Roman"/>
                <w:color w:val="auto"/>
                <w:sz w:val="24"/>
                <w:szCs w:val="24"/>
                <w:u w:val="none" w:color="auto"/>
                <w:lang w:val="en-US" w:eastAsia="zh-CN"/>
              </w:rPr>
              <w:t>现有地埋式化粪池（1座，地埋式，现有容积650m</w:t>
            </w:r>
            <w:r>
              <w:rPr>
                <w:rFonts w:hint="eastAsia" w:ascii="Times New Roman" w:hAnsi="Times New Roman" w:eastAsia="宋体" w:cs="Times New Roman"/>
                <w:color w:val="auto"/>
                <w:sz w:val="24"/>
                <w:szCs w:val="24"/>
                <w:u w:val="none" w:color="auto"/>
                <w:vertAlign w:val="superscript"/>
                <w:lang w:val="en-US" w:eastAsia="zh-CN"/>
              </w:rPr>
              <w:t>3</w:t>
            </w:r>
            <w:r>
              <w:rPr>
                <w:rFonts w:hint="eastAsia" w:ascii="Times New Roman" w:hAnsi="Times New Roman" w:eastAsia="宋体" w:cs="Times New Roman"/>
                <w:color w:val="auto"/>
                <w:sz w:val="24"/>
                <w:szCs w:val="24"/>
                <w:u w:val="none" w:color="auto"/>
                <w:lang w:val="en-US" w:eastAsia="zh-CN"/>
              </w:rPr>
              <w:t>）</w:t>
            </w:r>
            <w:r>
              <w:rPr>
                <w:rFonts w:hint="default" w:ascii="Times New Roman" w:hAnsi="Times New Roman" w:cs="Times New Roman"/>
                <w:color w:val="auto"/>
                <w:sz w:val="24"/>
                <w:u w:val="none" w:color="auto"/>
              </w:rPr>
              <w:t>处理。</w:t>
            </w:r>
            <w:r>
              <w:rPr>
                <w:rFonts w:hint="eastAsia" w:ascii="Times New Roman" w:hAnsi="Times New Roman" w:eastAsia="宋体" w:cs="Times New Roman"/>
                <w:color w:val="auto"/>
                <w:sz w:val="24"/>
                <w:u w:val="none" w:color="auto"/>
                <w:lang w:val="en-US" w:eastAsia="zh-CN"/>
              </w:rPr>
              <w:t>本项目废水</w:t>
            </w:r>
            <w:r>
              <w:rPr>
                <w:rFonts w:hint="default" w:ascii="Times New Roman" w:hAnsi="Times New Roman" w:cs="Times New Roman"/>
                <w:color w:val="auto"/>
                <w:sz w:val="24"/>
                <w:u w:val="none" w:color="auto"/>
              </w:rPr>
              <w:t>处理工艺流程见下图。</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15"/>
            </w:tblGrid>
            <w:tr w14:paraId="6D0DC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noWrap w:val="0"/>
                  <w:vAlign w:val="top"/>
                </w:tcPr>
                <w:p w14:paraId="15E6C55D">
                  <w:pPr>
                    <w:adjustRightInd w:val="0"/>
                    <w:snapToGrid w:val="0"/>
                    <w:spacing w:line="360" w:lineRule="auto"/>
                    <w:rPr>
                      <w:rFonts w:hint="eastAsia" w:ascii="Times New Roman" w:hAnsi="Times New Roman" w:eastAsia="宋体" w:cs="Times New Roman"/>
                      <w:color w:val="auto"/>
                      <w:sz w:val="24"/>
                      <w:u w:val="none" w:color="auto"/>
                      <w:lang w:eastAsia="zh-CN"/>
                    </w:rPr>
                  </w:pPr>
                  <w:r>
                    <w:rPr>
                      <w:rFonts w:hint="eastAsia" w:ascii="Times New Roman" w:hAnsi="Times New Roman" w:eastAsia="宋体" w:cs="Times New Roman"/>
                      <w:color w:val="auto"/>
                      <w:sz w:val="24"/>
                      <w:u w:val="none" w:color="auto"/>
                      <w:lang w:eastAsia="zh-CN"/>
                    </w:rPr>
                    <w:drawing>
                      <wp:inline distT="0" distB="0" distL="114300" distR="114300">
                        <wp:extent cx="5245735" cy="3381375"/>
                        <wp:effectExtent l="0" t="0" r="12065" b="9525"/>
                        <wp:docPr id="2" name="图片 2" descr="3a0430049d18eea5787f6e62736b2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3a0430049d18eea5787f6e62736b2c2"/>
                                <pic:cNvPicPr>
                                  <a:picLocks noChangeAspect="1"/>
                                </pic:cNvPicPr>
                              </pic:nvPicPr>
                              <pic:blipFill>
                                <a:blip r:embed="rId15"/>
                                <a:stretch>
                                  <a:fillRect/>
                                </a:stretch>
                              </pic:blipFill>
                              <pic:spPr>
                                <a:xfrm>
                                  <a:off x="0" y="0"/>
                                  <a:ext cx="5245735" cy="3381375"/>
                                </a:xfrm>
                                <a:prstGeom prst="rect">
                                  <a:avLst/>
                                </a:prstGeom>
                              </pic:spPr>
                            </pic:pic>
                          </a:graphicData>
                        </a:graphic>
                      </wp:inline>
                    </w:drawing>
                  </w:r>
                </w:p>
              </w:tc>
            </w:tr>
            <w:tr w14:paraId="69F90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noWrap w:val="0"/>
                  <w:vAlign w:val="top"/>
                </w:tcPr>
                <w:p w14:paraId="58DB18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4"/>
                      <w:u w:val="none" w:color="auto"/>
                    </w:rPr>
                  </w:pPr>
                  <w:r>
                    <w:rPr>
                      <w:rFonts w:hint="default" w:ascii="Times New Roman" w:hAnsi="Times New Roman" w:eastAsia="宋体" w:cs="Times New Roman"/>
                      <w:b/>
                      <w:bCs/>
                      <w:color w:val="auto"/>
                      <w:kern w:val="2"/>
                      <w:sz w:val="24"/>
                      <w:szCs w:val="24"/>
                      <w:highlight w:val="none"/>
                      <w:u w:val="none" w:color="auto"/>
                      <w:lang w:val="en-US" w:eastAsia="zh-CN" w:bidi="ar-SA"/>
                    </w:rPr>
                    <w:t xml:space="preserve">图4-1       </w:t>
                  </w:r>
                  <w:r>
                    <w:rPr>
                      <w:rFonts w:hint="eastAsia" w:ascii="Times New Roman" w:hAnsi="Times New Roman" w:eastAsia="宋体" w:cs="Times New Roman"/>
                      <w:b/>
                      <w:bCs/>
                      <w:color w:val="auto"/>
                      <w:kern w:val="2"/>
                      <w:sz w:val="24"/>
                      <w:szCs w:val="24"/>
                      <w:highlight w:val="none"/>
                      <w:u w:val="none" w:color="auto"/>
                      <w:lang w:val="en-US" w:eastAsia="zh-CN" w:bidi="ar-SA"/>
                    </w:rPr>
                    <w:t>废水</w:t>
                  </w:r>
                  <w:r>
                    <w:rPr>
                      <w:rFonts w:hint="default" w:ascii="Times New Roman" w:hAnsi="Times New Roman" w:eastAsia="宋体" w:cs="Times New Roman"/>
                      <w:b/>
                      <w:bCs/>
                      <w:color w:val="auto"/>
                      <w:kern w:val="2"/>
                      <w:sz w:val="24"/>
                      <w:szCs w:val="24"/>
                      <w:highlight w:val="none"/>
                      <w:u w:val="none" w:color="auto"/>
                      <w:lang w:val="en-US" w:eastAsia="zh-CN" w:bidi="ar-SA"/>
                    </w:rPr>
                    <w:t>处理工艺流程图</w:t>
                  </w:r>
                </w:p>
              </w:tc>
            </w:tr>
          </w:tbl>
          <w:p w14:paraId="5FF1D310">
            <w:pPr>
              <w:keepNext w:val="0"/>
              <w:keepLines w:val="0"/>
              <w:pageBreakBefore w:val="0"/>
              <w:widowControl/>
              <w:kinsoku/>
              <w:wordWrap/>
              <w:overflowPunct/>
              <w:topLinePunct w:val="0"/>
              <w:autoSpaceDE/>
              <w:autoSpaceDN/>
              <w:bidi w:val="0"/>
              <w:snapToGrid w:val="0"/>
              <w:spacing w:line="360" w:lineRule="auto"/>
              <w:ind w:firstLine="482" w:firstLineChars="200"/>
              <w:textAlignment w:val="auto"/>
              <w:rPr>
                <w:rFonts w:hint="default" w:ascii="Times New Roman" w:hAnsi="Times New Roman" w:cs="Times New Roman"/>
                <w:b/>
                <w:bCs/>
                <w:color w:val="auto"/>
                <w:sz w:val="24"/>
                <w:u w:val="none" w:color="auto"/>
              </w:rPr>
            </w:pPr>
            <w:r>
              <w:rPr>
                <w:rFonts w:hint="default" w:ascii="Times New Roman" w:hAnsi="Times New Roman" w:cs="Times New Roman"/>
                <w:b/>
                <w:bCs/>
                <w:color w:val="auto"/>
                <w:sz w:val="24"/>
                <w:u w:val="none" w:color="auto"/>
              </w:rPr>
              <w:t>工艺流程简述：</w:t>
            </w:r>
          </w:p>
          <w:p w14:paraId="7D584C67">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u w:val="none" w:color="auto"/>
              </w:rPr>
            </w:pPr>
            <w:r>
              <w:rPr>
                <w:rFonts w:hint="eastAsia" w:ascii="Times New Roman" w:hAnsi="Times New Roman" w:eastAsia="宋体" w:cs="Times New Roman"/>
                <w:color w:val="auto"/>
                <w:sz w:val="24"/>
                <w:u w:val="none" w:color="auto"/>
                <w:lang w:val="en-US" w:eastAsia="zh-CN"/>
              </w:rPr>
              <w:t>中和池</w:t>
            </w:r>
            <w:r>
              <w:rPr>
                <w:rFonts w:hint="default" w:ascii="Times New Roman" w:hAnsi="Times New Roman" w:cs="Times New Roman"/>
                <w:color w:val="auto"/>
                <w:sz w:val="24"/>
                <w:u w:val="none" w:color="auto"/>
              </w:rPr>
              <w:t>：通过向废水中投加酸碱药剂，使废水中的酸碱物质发生中和反应，从而降低废水的酸碱度。中和反应产生的盐类和其他杂质可以通过沉淀、过滤等方式去除。</w:t>
            </w:r>
          </w:p>
          <w:p w14:paraId="1F1DB993">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u w:val="none" w:color="auto"/>
              </w:rPr>
            </w:pPr>
            <w:r>
              <w:rPr>
                <w:rFonts w:hint="eastAsia" w:ascii="Times New Roman" w:hAnsi="Times New Roman" w:eastAsia="宋体" w:cs="Times New Roman"/>
                <w:color w:val="auto"/>
                <w:sz w:val="24"/>
                <w:u w:val="none" w:color="auto"/>
                <w:lang w:val="en-US" w:eastAsia="zh-CN"/>
              </w:rPr>
              <w:t>隔油池</w:t>
            </w:r>
            <w:r>
              <w:rPr>
                <w:rFonts w:hint="default" w:ascii="Times New Roman" w:hAnsi="Times New Roman" w:cs="Times New Roman"/>
                <w:color w:val="auto"/>
                <w:sz w:val="24"/>
                <w:u w:val="none" w:color="auto"/>
              </w:rPr>
              <w:t>：通过利用油和水的比重差异，油脂可以浮在水的上方，从而实现初步的分离。隔油池内部的隔板和屏蔽板可以增加油水分离的效果，使油脂和固体颗粒沉降到底部，而清水从上方流出。</w:t>
            </w:r>
          </w:p>
          <w:p w14:paraId="0E698B88">
            <w:pPr>
              <w:keepNext w:val="0"/>
              <w:keepLines w:val="0"/>
              <w:pageBreakBefore w:val="0"/>
              <w:widowControl/>
              <w:kinsoku/>
              <w:wordWrap/>
              <w:overflowPunct/>
              <w:topLinePunct w:val="0"/>
              <w:autoSpaceDE/>
              <w:autoSpaceDN/>
              <w:bidi w:val="0"/>
              <w:snapToGrid w:val="0"/>
              <w:spacing w:line="360" w:lineRule="auto"/>
              <w:ind w:firstLine="480" w:firstLineChars="200"/>
              <w:textAlignment w:val="auto"/>
              <w:rPr>
                <w:rFonts w:hint="default" w:ascii="Times New Roman" w:hAnsi="Times New Roman" w:cs="Times New Roman"/>
                <w:color w:val="auto"/>
                <w:sz w:val="24"/>
                <w:u w:val="none" w:color="auto"/>
              </w:rPr>
            </w:pPr>
            <w:r>
              <w:rPr>
                <w:rFonts w:hint="eastAsia" w:ascii="Times New Roman" w:hAnsi="Times New Roman" w:eastAsia="宋体" w:cs="Times New Roman"/>
                <w:color w:val="auto"/>
                <w:sz w:val="24"/>
                <w:u w:val="none" w:color="auto"/>
                <w:lang w:val="en-US" w:eastAsia="zh-CN"/>
              </w:rPr>
              <w:t>化粪池</w:t>
            </w:r>
            <w:r>
              <w:rPr>
                <w:rFonts w:hint="default" w:ascii="Times New Roman" w:hAnsi="Times New Roman" w:cs="Times New Roman"/>
                <w:color w:val="auto"/>
                <w:sz w:val="24"/>
                <w:u w:val="none" w:color="auto"/>
              </w:rPr>
              <w:t>：是一种利用沉淀和厌氧 发酵的原理，去除生活污水中悬浮性有机物的处理设施，属于初级的过渡性生活处理构筑物。污水进入化粪池经过12~24h的沉淀，可去除50%~60%的悬浮物。沉淀下来的污泥经厌氧消化</w:t>
            </w:r>
            <w:r>
              <w:rPr>
                <w:rFonts w:hint="eastAsia" w:cs="Times New Roman"/>
                <w:color w:val="auto"/>
                <w:sz w:val="24"/>
                <w:u w:val="none" w:color="auto"/>
                <w:lang w:val="en-US" w:eastAsia="zh-CN"/>
              </w:rPr>
              <w:t>后</w:t>
            </w:r>
            <w:r>
              <w:rPr>
                <w:rFonts w:hint="default" w:ascii="Times New Roman" w:hAnsi="Times New Roman" w:cs="Times New Roman"/>
                <w:color w:val="auto"/>
                <w:sz w:val="24"/>
                <w:u w:val="none" w:color="auto"/>
              </w:rPr>
              <w:t>，使污泥中的有机物分解成稳定的无机物，易腐败的生污泥转化为稳定的熟污泥，改变了污泥的结构，降低了污泥的含水率。定期将污泥清掏外运，填埋或用作肥料。</w:t>
            </w:r>
          </w:p>
          <w:p w14:paraId="598C9BFD">
            <w:pPr>
              <w:keepNext w:val="0"/>
              <w:keepLines w:val="0"/>
              <w:pageBreakBefore w:val="0"/>
              <w:tabs>
                <w:tab w:val="left" w:pos="0"/>
                <w:tab w:val="left" w:pos="6305"/>
              </w:tabs>
              <w:kinsoku/>
              <w:wordWrap/>
              <w:overflowPunct/>
              <w:topLinePunct w:val="0"/>
              <w:autoSpaceDE/>
              <w:autoSpaceDN/>
              <w:bidi w:val="0"/>
              <w:snapToGrid w:val="0"/>
              <w:spacing w:line="360" w:lineRule="auto"/>
              <w:ind w:firstLine="480" w:firstLineChars="200"/>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项目废水处理设施处理效率见下表。</w:t>
            </w:r>
          </w:p>
          <w:p w14:paraId="2FAAC0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4"/>
                <w:szCs w:val="24"/>
                <w:highlight w:val="none"/>
                <w:u w:val="none" w:color="auto"/>
                <w:lang w:val="en-US" w:eastAsia="zh-CN" w:bidi="ar-SA"/>
              </w:rPr>
            </w:pPr>
            <w:r>
              <w:rPr>
                <w:rFonts w:hint="default" w:ascii="Times New Roman" w:hAnsi="Times New Roman" w:eastAsia="宋体" w:cs="Times New Roman"/>
                <w:b/>
                <w:bCs/>
                <w:color w:val="auto"/>
                <w:kern w:val="2"/>
                <w:sz w:val="24"/>
                <w:szCs w:val="24"/>
                <w:highlight w:val="none"/>
                <w:u w:val="none" w:color="auto"/>
                <w:lang w:val="en-US" w:eastAsia="zh-CN" w:bidi="ar-SA"/>
              </w:rPr>
              <w:t>表4-10     污水处理设施各工序处理效率一览表</w:t>
            </w:r>
          </w:p>
          <w:tbl>
            <w:tblPr>
              <w:tblStyle w:val="3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9"/>
              <w:gridCol w:w="761"/>
              <w:gridCol w:w="939"/>
              <w:gridCol w:w="1206"/>
              <w:gridCol w:w="897"/>
              <w:gridCol w:w="851"/>
              <w:gridCol w:w="851"/>
              <w:gridCol w:w="1112"/>
              <w:gridCol w:w="1112"/>
            </w:tblGrid>
            <w:tr w14:paraId="2A38F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352" w:type="pct"/>
                  <w:gridSpan w:val="4"/>
                  <w:tcBorders>
                    <w:left w:val="single" w:color="auto" w:sz="4" w:space="0"/>
                    <w:tl2br w:val="single" w:color="auto" w:sz="4" w:space="0"/>
                  </w:tcBorders>
                  <w:noWrap w:val="0"/>
                  <w:vAlign w:val="top"/>
                </w:tcPr>
                <w:p w14:paraId="14AA83CD">
                  <w:pPr>
                    <w:spacing w:line="320" w:lineRule="exact"/>
                    <w:ind w:right="412"/>
                    <w:jc w:val="righ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项目</w:t>
                  </w:r>
                </w:p>
                <w:p w14:paraId="122C5F5F">
                  <w:pPr>
                    <w:spacing w:line="320" w:lineRule="exact"/>
                    <w:ind w:firstLine="522" w:firstLineChars="249"/>
                    <w:jc w:val="lef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工段</w:t>
                  </w:r>
                </w:p>
              </w:tc>
              <w:tc>
                <w:tcPr>
                  <w:tcW w:w="492" w:type="pct"/>
                  <w:noWrap w:val="0"/>
                  <w:vAlign w:val="center"/>
                </w:tcPr>
                <w:p w14:paraId="367B69C4">
                  <w:pPr>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COD</w:t>
                  </w:r>
                </w:p>
              </w:tc>
              <w:tc>
                <w:tcPr>
                  <w:tcW w:w="467" w:type="pct"/>
                  <w:noWrap w:val="0"/>
                  <w:vAlign w:val="center"/>
                </w:tcPr>
                <w:p w14:paraId="7D4DE84B">
                  <w:pPr>
                    <w:widowControl/>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BOD</w:t>
                  </w:r>
                  <w:r>
                    <w:rPr>
                      <w:rFonts w:hint="default" w:ascii="Times New Roman" w:hAnsi="Times New Roman" w:eastAsia="宋体" w:cs="Times New Roman"/>
                      <w:color w:val="auto"/>
                      <w:sz w:val="21"/>
                      <w:szCs w:val="21"/>
                      <w:u w:val="none" w:color="auto"/>
                      <w:vertAlign w:val="subscript"/>
                    </w:rPr>
                    <w:t>5</w:t>
                  </w:r>
                </w:p>
              </w:tc>
              <w:tc>
                <w:tcPr>
                  <w:tcW w:w="467" w:type="pct"/>
                  <w:noWrap w:val="0"/>
                  <w:vAlign w:val="center"/>
                </w:tcPr>
                <w:p w14:paraId="3DA23F09">
                  <w:pPr>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SS</w:t>
                  </w:r>
                </w:p>
              </w:tc>
              <w:tc>
                <w:tcPr>
                  <w:tcW w:w="610" w:type="pct"/>
                  <w:noWrap w:val="0"/>
                  <w:vAlign w:val="center"/>
                </w:tcPr>
                <w:p w14:paraId="689DBB3E">
                  <w:pPr>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NH</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rPr>
                    <w:t>-N</w:t>
                  </w:r>
                </w:p>
              </w:tc>
              <w:tc>
                <w:tcPr>
                  <w:tcW w:w="610" w:type="pct"/>
                  <w:noWrap w:val="0"/>
                  <w:vAlign w:val="center"/>
                </w:tcPr>
                <w:p w14:paraId="2558EE39">
                  <w:pPr>
                    <w:spacing w:line="320" w:lineRule="exact"/>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val="en-US" w:eastAsia="zh-CN"/>
                    </w:rPr>
                    <w:t>动植物油</w:t>
                  </w:r>
                </w:p>
              </w:tc>
            </w:tr>
            <w:tr w14:paraId="72E09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756" w:type="pct"/>
                  <w:vMerge w:val="restart"/>
                  <w:tcBorders>
                    <w:left w:val="single" w:color="auto" w:sz="4" w:space="0"/>
                  </w:tcBorders>
                  <w:noWrap w:val="0"/>
                  <w:vAlign w:val="center"/>
                </w:tcPr>
                <w:p w14:paraId="5F6DDFC2">
                  <w:pPr>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师生日常生活污水+餐厅废水+实验室废水105115.2</w:t>
                  </w:r>
                  <w:r>
                    <w:rPr>
                      <w:rFonts w:hint="default" w:ascii="Times New Roman" w:hAnsi="Times New Roman" w:eastAsia="宋体" w:cs="Times New Roman"/>
                      <w:color w:val="auto"/>
                      <w:sz w:val="21"/>
                      <w:szCs w:val="21"/>
                      <w:u w:val="none" w:color="auto"/>
                    </w:rPr>
                    <w:t>m</w:t>
                  </w:r>
                  <w:r>
                    <w:rPr>
                      <w:rFonts w:hint="default" w:ascii="Times New Roman" w:hAnsi="Times New Roman" w:eastAsia="宋体" w:cs="Times New Roman"/>
                      <w:color w:val="auto"/>
                      <w:sz w:val="21"/>
                      <w:szCs w:val="21"/>
                      <w:u w:val="none" w:color="auto"/>
                      <w:vertAlign w:val="superscript"/>
                    </w:rPr>
                    <w:t>3</w:t>
                  </w:r>
                  <w:r>
                    <w:rPr>
                      <w:rFonts w:hint="default" w:ascii="Times New Roman" w:hAnsi="Times New Roman" w:eastAsia="宋体" w:cs="Times New Roman"/>
                      <w:color w:val="auto"/>
                      <w:sz w:val="21"/>
                      <w:szCs w:val="21"/>
                      <w:u w:val="none" w:color="auto"/>
                    </w:rPr>
                    <w:t>/a</w:t>
                  </w:r>
                </w:p>
              </w:tc>
              <w:tc>
                <w:tcPr>
                  <w:tcW w:w="934" w:type="pct"/>
                  <w:gridSpan w:val="2"/>
                  <w:vMerge w:val="restart"/>
                  <w:tcBorders>
                    <w:left w:val="single" w:color="auto" w:sz="4" w:space="0"/>
                  </w:tcBorders>
                  <w:noWrap w:val="0"/>
                  <w:vAlign w:val="center"/>
                </w:tcPr>
                <w:p w14:paraId="0843A968">
                  <w:pPr>
                    <w:spacing w:line="320" w:lineRule="exact"/>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val="en-US" w:eastAsia="zh-CN"/>
                    </w:rPr>
                    <w:t>化粪池（1座，地埋式，现有容积650m</w:t>
                  </w:r>
                  <w:r>
                    <w:rPr>
                      <w:rFonts w:hint="default" w:ascii="Times New Roman" w:hAnsi="Times New Roman" w:eastAsia="宋体" w:cs="Times New Roman"/>
                      <w:color w:val="auto"/>
                      <w:sz w:val="21"/>
                      <w:szCs w:val="21"/>
                      <w:u w:val="none" w:color="auto"/>
                      <w:vertAlign w:val="superscript"/>
                      <w:lang w:val="en-US" w:eastAsia="zh-CN"/>
                    </w:rPr>
                    <w:t>3</w:t>
                  </w:r>
                  <w:r>
                    <w:rPr>
                      <w:rFonts w:hint="default" w:ascii="Times New Roman" w:hAnsi="Times New Roman" w:eastAsia="宋体" w:cs="Times New Roman"/>
                      <w:color w:val="auto"/>
                      <w:sz w:val="21"/>
                      <w:szCs w:val="21"/>
                      <w:u w:val="none" w:color="auto"/>
                      <w:lang w:val="en-US" w:eastAsia="zh-CN"/>
                    </w:rPr>
                    <w:t>）</w:t>
                  </w:r>
                </w:p>
              </w:tc>
              <w:tc>
                <w:tcPr>
                  <w:tcW w:w="661" w:type="pct"/>
                  <w:noWrap w:val="0"/>
                  <w:vAlign w:val="center"/>
                </w:tcPr>
                <w:p w14:paraId="22E73FE4">
                  <w:pPr>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进水水质（mg/L）</w:t>
                  </w:r>
                </w:p>
              </w:tc>
              <w:tc>
                <w:tcPr>
                  <w:tcW w:w="838" w:type="dxa"/>
                  <w:noWrap w:val="0"/>
                  <w:vAlign w:val="center"/>
                </w:tcPr>
                <w:p w14:paraId="69D34429">
                  <w:pPr>
                    <w:keepNext w:val="0"/>
                    <w:keepLines w:val="0"/>
                    <w:widowControl/>
                    <w:suppressLineNumbers w:val="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303.72 </w:t>
                  </w:r>
                </w:p>
              </w:tc>
              <w:tc>
                <w:tcPr>
                  <w:tcW w:w="796" w:type="dxa"/>
                  <w:noWrap w:val="0"/>
                  <w:vAlign w:val="center"/>
                </w:tcPr>
                <w:p w14:paraId="3123F92B">
                  <w:pPr>
                    <w:keepNext w:val="0"/>
                    <w:keepLines w:val="0"/>
                    <w:widowControl/>
                    <w:suppressLineNumbers w:val="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166.11 </w:t>
                  </w:r>
                </w:p>
              </w:tc>
              <w:tc>
                <w:tcPr>
                  <w:tcW w:w="796" w:type="dxa"/>
                  <w:noWrap w:val="0"/>
                  <w:vAlign w:val="center"/>
                </w:tcPr>
                <w:p w14:paraId="39C6C83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cyan"/>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244.87 </w:t>
                  </w:r>
                </w:p>
              </w:tc>
              <w:tc>
                <w:tcPr>
                  <w:tcW w:w="1040" w:type="dxa"/>
                  <w:noWrap w:val="0"/>
                  <w:vAlign w:val="center"/>
                </w:tcPr>
                <w:p w14:paraId="4E5CC77D">
                  <w:pPr>
                    <w:keepNext w:val="0"/>
                    <w:keepLines w:val="0"/>
                    <w:widowControl/>
                    <w:suppressLineNumbers w:val="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28.30 </w:t>
                  </w:r>
                </w:p>
              </w:tc>
              <w:tc>
                <w:tcPr>
                  <w:tcW w:w="1040" w:type="dxa"/>
                  <w:noWrap w:val="0"/>
                  <w:vAlign w:val="center"/>
                </w:tcPr>
                <w:p w14:paraId="52B9E58E">
                  <w:pPr>
                    <w:keepNext w:val="0"/>
                    <w:keepLines w:val="0"/>
                    <w:widowControl/>
                    <w:suppressLineNumbers w:val="0"/>
                    <w:jc w:val="center"/>
                    <w:textAlignment w:val="center"/>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2.76 </w:t>
                  </w:r>
                </w:p>
              </w:tc>
            </w:tr>
            <w:tr w14:paraId="475F2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6" w:type="pct"/>
                  <w:vMerge w:val="continue"/>
                  <w:tcBorders>
                    <w:left w:val="single" w:color="auto" w:sz="4" w:space="0"/>
                  </w:tcBorders>
                  <w:noWrap w:val="0"/>
                  <w:vAlign w:val="top"/>
                </w:tcPr>
                <w:p w14:paraId="2680A913">
                  <w:pPr>
                    <w:spacing w:line="320" w:lineRule="exact"/>
                    <w:jc w:val="center"/>
                    <w:rPr>
                      <w:rFonts w:hint="default" w:ascii="Times New Roman" w:hAnsi="Times New Roman" w:eastAsia="宋体" w:cs="Times New Roman"/>
                      <w:color w:val="auto"/>
                      <w:sz w:val="21"/>
                      <w:szCs w:val="21"/>
                      <w:u w:val="none" w:color="auto"/>
                    </w:rPr>
                  </w:pPr>
                </w:p>
              </w:tc>
              <w:tc>
                <w:tcPr>
                  <w:tcW w:w="934" w:type="pct"/>
                  <w:gridSpan w:val="2"/>
                  <w:vMerge w:val="continue"/>
                  <w:tcBorders>
                    <w:left w:val="single" w:color="auto" w:sz="4" w:space="0"/>
                  </w:tcBorders>
                  <w:noWrap w:val="0"/>
                  <w:vAlign w:val="center"/>
                </w:tcPr>
                <w:p w14:paraId="2E302BCE">
                  <w:pPr>
                    <w:spacing w:line="320" w:lineRule="exact"/>
                    <w:jc w:val="center"/>
                    <w:rPr>
                      <w:rFonts w:hint="default" w:ascii="Times New Roman" w:hAnsi="Times New Roman" w:eastAsia="宋体" w:cs="Times New Roman"/>
                      <w:color w:val="auto"/>
                      <w:sz w:val="21"/>
                      <w:szCs w:val="21"/>
                      <w:u w:val="none" w:color="auto"/>
                    </w:rPr>
                  </w:pPr>
                </w:p>
              </w:tc>
              <w:tc>
                <w:tcPr>
                  <w:tcW w:w="661" w:type="pct"/>
                  <w:noWrap w:val="0"/>
                  <w:vAlign w:val="center"/>
                </w:tcPr>
                <w:p w14:paraId="483976A7">
                  <w:pPr>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出水水质（mg/L）</w:t>
                  </w:r>
                </w:p>
              </w:tc>
              <w:tc>
                <w:tcPr>
                  <w:tcW w:w="838" w:type="dxa"/>
                  <w:noWrap w:val="0"/>
                  <w:vAlign w:val="center"/>
                </w:tcPr>
                <w:p w14:paraId="3A46241D">
                  <w:pPr>
                    <w:keepNext w:val="0"/>
                    <w:keepLines w:val="0"/>
                    <w:widowControl/>
                    <w:suppressLineNumbers w:val="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242.97 </w:t>
                  </w:r>
                </w:p>
              </w:tc>
              <w:tc>
                <w:tcPr>
                  <w:tcW w:w="796" w:type="dxa"/>
                  <w:noWrap w:val="0"/>
                  <w:vAlign w:val="center"/>
                </w:tcPr>
                <w:p w14:paraId="2E08716E">
                  <w:pPr>
                    <w:keepNext w:val="0"/>
                    <w:keepLines w:val="0"/>
                    <w:widowControl/>
                    <w:suppressLineNumbers w:val="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99.67 </w:t>
                  </w:r>
                </w:p>
              </w:tc>
              <w:tc>
                <w:tcPr>
                  <w:tcW w:w="796" w:type="dxa"/>
                  <w:noWrap w:val="0"/>
                  <w:vAlign w:val="center"/>
                </w:tcPr>
                <w:p w14:paraId="7EBC052B">
                  <w:pPr>
                    <w:keepNext w:val="0"/>
                    <w:keepLines w:val="0"/>
                    <w:widowControl/>
                    <w:suppressLineNumbers w:val="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122.43 </w:t>
                  </w:r>
                </w:p>
              </w:tc>
              <w:tc>
                <w:tcPr>
                  <w:tcW w:w="1040" w:type="dxa"/>
                  <w:noWrap w:val="0"/>
                  <w:vAlign w:val="center"/>
                </w:tcPr>
                <w:p w14:paraId="30A01B0E">
                  <w:pPr>
                    <w:keepNext w:val="0"/>
                    <w:keepLines w:val="0"/>
                    <w:widowControl/>
                    <w:suppressLineNumbers w:val="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26.89 </w:t>
                  </w:r>
                </w:p>
              </w:tc>
              <w:tc>
                <w:tcPr>
                  <w:tcW w:w="1040" w:type="dxa"/>
                  <w:noWrap w:val="0"/>
                  <w:vAlign w:val="center"/>
                </w:tcPr>
                <w:p w14:paraId="41A0463F">
                  <w:pPr>
                    <w:keepNext w:val="0"/>
                    <w:keepLines w:val="0"/>
                    <w:widowControl/>
                    <w:suppressLineNumbers w:val="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1.10 </w:t>
                  </w:r>
                </w:p>
              </w:tc>
            </w:tr>
            <w:tr w14:paraId="6A7B8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756" w:type="pct"/>
                  <w:vMerge w:val="continue"/>
                  <w:tcBorders>
                    <w:left w:val="single" w:color="auto" w:sz="4" w:space="0"/>
                  </w:tcBorders>
                  <w:noWrap w:val="0"/>
                  <w:vAlign w:val="top"/>
                </w:tcPr>
                <w:p w14:paraId="1DC9922C">
                  <w:pPr>
                    <w:spacing w:line="320" w:lineRule="exact"/>
                    <w:jc w:val="center"/>
                    <w:rPr>
                      <w:rFonts w:hint="default" w:ascii="Times New Roman" w:hAnsi="Times New Roman" w:eastAsia="宋体" w:cs="Times New Roman"/>
                      <w:color w:val="auto"/>
                      <w:sz w:val="21"/>
                      <w:szCs w:val="21"/>
                      <w:u w:val="none" w:color="auto"/>
                    </w:rPr>
                  </w:pPr>
                </w:p>
              </w:tc>
              <w:tc>
                <w:tcPr>
                  <w:tcW w:w="1595" w:type="pct"/>
                  <w:gridSpan w:val="3"/>
                  <w:tcBorders>
                    <w:left w:val="single" w:color="auto" w:sz="4" w:space="0"/>
                  </w:tcBorders>
                  <w:noWrap w:val="0"/>
                  <w:vAlign w:val="center"/>
                </w:tcPr>
                <w:p w14:paraId="388A3401">
                  <w:pPr>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去除率（%）</w:t>
                  </w:r>
                </w:p>
              </w:tc>
              <w:tc>
                <w:tcPr>
                  <w:tcW w:w="492" w:type="pct"/>
                  <w:noWrap w:val="0"/>
                  <w:vAlign w:val="center"/>
                </w:tcPr>
                <w:p w14:paraId="38E9E037">
                  <w:pPr>
                    <w:spacing w:line="320" w:lineRule="exact"/>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20</w:t>
                  </w:r>
                </w:p>
              </w:tc>
              <w:tc>
                <w:tcPr>
                  <w:tcW w:w="467" w:type="pct"/>
                  <w:noWrap w:val="0"/>
                  <w:vAlign w:val="center"/>
                </w:tcPr>
                <w:p w14:paraId="3DA510AA">
                  <w:pPr>
                    <w:spacing w:line="320" w:lineRule="exact"/>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40</w:t>
                  </w:r>
                </w:p>
              </w:tc>
              <w:tc>
                <w:tcPr>
                  <w:tcW w:w="467" w:type="pct"/>
                  <w:noWrap w:val="0"/>
                  <w:vAlign w:val="center"/>
                </w:tcPr>
                <w:p w14:paraId="1F01A8F2">
                  <w:pPr>
                    <w:spacing w:line="320" w:lineRule="exact"/>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50</w:t>
                  </w:r>
                </w:p>
              </w:tc>
              <w:tc>
                <w:tcPr>
                  <w:tcW w:w="610" w:type="pct"/>
                  <w:noWrap w:val="0"/>
                  <w:vAlign w:val="center"/>
                </w:tcPr>
                <w:p w14:paraId="0E983C78">
                  <w:pPr>
                    <w:spacing w:line="320" w:lineRule="exact"/>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val="en-US" w:eastAsia="zh-CN"/>
                    </w:rPr>
                    <w:t>5</w:t>
                  </w:r>
                </w:p>
              </w:tc>
              <w:tc>
                <w:tcPr>
                  <w:tcW w:w="610" w:type="pct"/>
                  <w:noWrap w:val="0"/>
                  <w:vAlign w:val="center"/>
                </w:tcPr>
                <w:p w14:paraId="41919FB3">
                  <w:pPr>
                    <w:spacing w:line="320" w:lineRule="exact"/>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60</w:t>
                  </w:r>
                </w:p>
              </w:tc>
            </w:tr>
            <w:tr w14:paraId="251FC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2352" w:type="pct"/>
                  <w:gridSpan w:val="4"/>
                  <w:tcBorders>
                    <w:left w:val="single" w:color="auto" w:sz="4" w:space="0"/>
                  </w:tcBorders>
                  <w:noWrap w:val="0"/>
                  <w:vAlign w:val="top"/>
                </w:tcPr>
                <w:p w14:paraId="0924D151">
                  <w:pPr>
                    <w:spacing w:line="32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总排放口出水水质</w:t>
                  </w:r>
                </w:p>
              </w:tc>
              <w:tc>
                <w:tcPr>
                  <w:tcW w:w="838" w:type="dxa"/>
                  <w:noWrap w:val="0"/>
                  <w:vAlign w:val="center"/>
                </w:tcPr>
                <w:p w14:paraId="3EAF4B61">
                  <w:pPr>
                    <w:keepNext w:val="0"/>
                    <w:keepLines w:val="0"/>
                    <w:widowControl/>
                    <w:suppressLineNumbers w:val="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242.97 </w:t>
                  </w:r>
                </w:p>
              </w:tc>
              <w:tc>
                <w:tcPr>
                  <w:tcW w:w="796" w:type="dxa"/>
                  <w:noWrap w:val="0"/>
                  <w:vAlign w:val="center"/>
                </w:tcPr>
                <w:p w14:paraId="2D4EB013">
                  <w:pPr>
                    <w:keepNext w:val="0"/>
                    <w:keepLines w:val="0"/>
                    <w:widowControl/>
                    <w:suppressLineNumbers w:val="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99.67 </w:t>
                  </w:r>
                </w:p>
              </w:tc>
              <w:tc>
                <w:tcPr>
                  <w:tcW w:w="796" w:type="dxa"/>
                  <w:noWrap w:val="0"/>
                  <w:vAlign w:val="center"/>
                </w:tcPr>
                <w:p w14:paraId="6A5D8C9F">
                  <w:pPr>
                    <w:keepNext w:val="0"/>
                    <w:keepLines w:val="0"/>
                    <w:widowControl/>
                    <w:suppressLineNumbers w:val="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122.43 </w:t>
                  </w:r>
                </w:p>
              </w:tc>
              <w:tc>
                <w:tcPr>
                  <w:tcW w:w="1040" w:type="dxa"/>
                  <w:noWrap w:val="0"/>
                  <w:vAlign w:val="center"/>
                </w:tcPr>
                <w:p w14:paraId="5478462A">
                  <w:pPr>
                    <w:keepNext w:val="0"/>
                    <w:keepLines w:val="0"/>
                    <w:widowControl/>
                    <w:suppressLineNumbers w:val="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26.89 </w:t>
                  </w:r>
                </w:p>
              </w:tc>
              <w:tc>
                <w:tcPr>
                  <w:tcW w:w="1040" w:type="dxa"/>
                  <w:noWrap w:val="0"/>
                  <w:vAlign w:val="center"/>
                </w:tcPr>
                <w:p w14:paraId="294770E7">
                  <w:pPr>
                    <w:keepNext w:val="0"/>
                    <w:keepLines w:val="0"/>
                    <w:widowControl/>
                    <w:suppressLineNumbers w:val="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1.10 </w:t>
                  </w:r>
                </w:p>
              </w:tc>
            </w:tr>
            <w:tr w14:paraId="26660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174" w:type="pct"/>
                  <w:gridSpan w:val="2"/>
                  <w:vMerge w:val="restart"/>
                  <w:tcBorders>
                    <w:left w:val="single" w:color="auto" w:sz="4" w:space="0"/>
                  </w:tcBorders>
                  <w:noWrap w:val="0"/>
                  <w:vAlign w:val="center"/>
                </w:tcPr>
                <w:p w14:paraId="0215042F">
                  <w:pPr>
                    <w:adjustRightInd w:val="0"/>
                    <w:spacing w:line="320" w:lineRule="exact"/>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执行标准</w:t>
                  </w:r>
                </w:p>
              </w:tc>
              <w:tc>
                <w:tcPr>
                  <w:tcW w:w="1177" w:type="pct"/>
                  <w:gridSpan w:val="2"/>
                  <w:tcBorders>
                    <w:left w:val="single" w:color="auto" w:sz="4" w:space="0"/>
                  </w:tcBorders>
                  <w:noWrap w:val="0"/>
                  <w:vAlign w:val="center"/>
                </w:tcPr>
                <w:p w14:paraId="60512841">
                  <w:pPr>
                    <w:pStyle w:val="13"/>
                    <w:ind w:firstLine="0" w:firstLineChars="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snapToGrid w:val="0"/>
                      <w:color w:val="auto"/>
                      <w:kern w:val="0"/>
                      <w:sz w:val="21"/>
                      <w:szCs w:val="21"/>
                      <w:u w:val="none" w:color="auto"/>
                      <w:lang w:eastAsia="zh-CN"/>
                    </w:rPr>
                    <w:t>镇平县污水处理中心</w:t>
                  </w:r>
                  <w:r>
                    <w:rPr>
                      <w:rFonts w:hint="default" w:ascii="Times New Roman" w:hAnsi="Times New Roman" w:eastAsia="宋体" w:cs="Times New Roman"/>
                      <w:color w:val="auto"/>
                      <w:sz w:val="21"/>
                      <w:szCs w:val="21"/>
                      <w:u w:val="none" w:color="auto"/>
                    </w:rPr>
                    <w:t>进水水质要求</w:t>
                  </w:r>
                </w:p>
              </w:tc>
              <w:tc>
                <w:tcPr>
                  <w:tcW w:w="492" w:type="pct"/>
                  <w:noWrap w:val="0"/>
                  <w:vAlign w:val="center"/>
                </w:tcPr>
                <w:p w14:paraId="4C4DA974">
                  <w:pPr>
                    <w:adjustRightInd w:val="0"/>
                    <w:spacing w:line="320" w:lineRule="exact"/>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370</w:t>
                  </w:r>
                </w:p>
              </w:tc>
              <w:tc>
                <w:tcPr>
                  <w:tcW w:w="467" w:type="pct"/>
                  <w:noWrap w:val="0"/>
                  <w:vAlign w:val="center"/>
                </w:tcPr>
                <w:p w14:paraId="700EE5A3">
                  <w:pPr>
                    <w:adjustRightInd w:val="0"/>
                    <w:spacing w:line="320" w:lineRule="exact"/>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160</w:t>
                  </w:r>
                </w:p>
              </w:tc>
              <w:tc>
                <w:tcPr>
                  <w:tcW w:w="467" w:type="pct"/>
                  <w:noWrap w:val="0"/>
                  <w:vAlign w:val="center"/>
                </w:tcPr>
                <w:p w14:paraId="52C92514">
                  <w:pPr>
                    <w:adjustRightInd w:val="0"/>
                    <w:spacing w:line="320" w:lineRule="exact"/>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230</w:t>
                  </w:r>
                </w:p>
              </w:tc>
              <w:tc>
                <w:tcPr>
                  <w:tcW w:w="610" w:type="pct"/>
                  <w:noWrap w:val="0"/>
                  <w:vAlign w:val="center"/>
                </w:tcPr>
                <w:p w14:paraId="5B12D00E">
                  <w:pPr>
                    <w:adjustRightInd w:val="0"/>
                    <w:spacing w:line="320" w:lineRule="exact"/>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30</w:t>
                  </w:r>
                </w:p>
              </w:tc>
              <w:tc>
                <w:tcPr>
                  <w:tcW w:w="610" w:type="pct"/>
                  <w:noWrap w:val="0"/>
                  <w:vAlign w:val="center"/>
                </w:tcPr>
                <w:p w14:paraId="28C149CA">
                  <w:pPr>
                    <w:adjustRightInd w:val="0"/>
                    <w:spacing w:line="320" w:lineRule="exact"/>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w:t>
                  </w:r>
                </w:p>
              </w:tc>
            </w:tr>
            <w:tr w14:paraId="10530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174" w:type="pct"/>
                  <w:gridSpan w:val="2"/>
                  <w:vMerge w:val="continue"/>
                  <w:tcBorders>
                    <w:left w:val="single" w:color="auto" w:sz="4" w:space="0"/>
                  </w:tcBorders>
                  <w:noWrap w:val="0"/>
                  <w:vAlign w:val="center"/>
                </w:tcPr>
                <w:p w14:paraId="29CDCB22">
                  <w:pPr>
                    <w:spacing w:line="360" w:lineRule="exact"/>
                    <w:jc w:val="center"/>
                    <w:rPr>
                      <w:rFonts w:hint="default" w:ascii="Times New Roman" w:hAnsi="Times New Roman" w:eastAsia="宋体" w:cs="Times New Roman"/>
                      <w:color w:val="auto"/>
                      <w:sz w:val="21"/>
                      <w:szCs w:val="21"/>
                      <w:u w:val="none" w:color="auto"/>
                    </w:rPr>
                  </w:pPr>
                </w:p>
              </w:tc>
              <w:tc>
                <w:tcPr>
                  <w:tcW w:w="1177" w:type="pct"/>
                  <w:gridSpan w:val="2"/>
                  <w:tcBorders>
                    <w:left w:val="single" w:color="auto" w:sz="4" w:space="0"/>
                  </w:tcBorders>
                  <w:noWrap w:val="0"/>
                  <w:vAlign w:val="center"/>
                </w:tcPr>
                <w:p w14:paraId="644F23FB">
                  <w:pPr>
                    <w:pStyle w:val="13"/>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《污水综合排放标准》</w:t>
                  </w:r>
                </w:p>
                <w:p w14:paraId="34256A86">
                  <w:pPr>
                    <w:pStyle w:val="13"/>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（GB8978-1996）表4三级标准</w:t>
                  </w:r>
                </w:p>
              </w:tc>
              <w:tc>
                <w:tcPr>
                  <w:tcW w:w="492" w:type="pct"/>
                  <w:noWrap w:val="0"/>
                  <w:vAlign w:val="center"/>
                </w:tcPr>
                <w:p w14:paraId="4617955E">
                  <w:pPr>
                    <w:spacing w:line="36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500</w:t>
                  </w:r>
                </w:p>
              </w:tc>
              <w:tc>
                <w:tcPr>
                  <w:tcW w:w="467" w:type="pct"/>
                  <w:noWrap w:val="0"/>
                  <w:vAlign w:val="center"/>
                </w:tcPr>
                <w:p w14:paraId="0333D785">
                  <w:pPr>
                    <w:spacing w:line="36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300</w:t>
                  </w:r>
                </w:p>
              </w:tc>
              <w:tc>
                <w:tcPr>
                  <w:tcW w:w="467" w:type="pct"/>
                  <w:noWrap w:val="0"/>
                  <w:vAlign w:val="center"/>
                </w:tcPr>
                <w:p w14:paraId="5680E26E">
                  <w:pPr>
                    <w:spacing w:line="36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400</w:t>
                  </w:r>
                </w:p>
              </w:tc>
              <w:tc>
                <w:tcPr>
                  <w:tcW w:w="610" w:type="pct"/>
                  <w:noWrap w:val="0"/>
                  <w:vAlign w:val="center"/>
                </w:tcPr>
                <w:p w14:paraId="22A6C944">
                  <w:pPr>
                    <w:spacing w:line="36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610" w:type="pct"/>
                  <w:noWrap w:val="0"/>
                  <w:vAlign w:val="center"/>
                </w:tcPr>
                <w:p w14:paraId="711699BF">
                  <w:pPr>
                    <w:spacing w:line="36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bl>
          <w:p w14:paraId="38557F76">
            <w:pPr>
              <w:pStyle w:val="64"/>
              <w:keepNext w:val="0"/>
              <w:keepLines w:val="0"/>
              <w:pageBreakBefore w:val="0"/>
              <w:widowControl w:val="0"/>
              <w:kinsoku/>
              <w:wordWrap/>
              <w:overflowPunct/>
              <w:topLinePunct w:val="0"/>
              <w:bidi w:val="0"/>
              <w:adjustRightInd w:val="0"/>
              <w:spacing w:line="360" w:lineRule="auto"/>
              <w:ind w:firstLine="480" w:firstLineChars="200"/>
              <w:textAlignment w:val="auto"/>
              <w:rPr>
                <w:rFonts w:hint="default" w:ascii="Times New Roman" w:hAnsi="Times New Roman" w:eastAsia="宋体" w:cs="Times New Roman"/>
                <w:b w:val="0"/>
                <w:bCs w:val="0"/>
                <w:color w:val="auto"/>
                <w:u w:val="none" w:color="auto"/>
              </w:rPr>
            </w:pPr>
            <w:r>
              <w:rPr>
                <w:rFonts w:hint="default" w:ascii="Times New Roman" w:hAnsi="Times New Roman" w:eastAsia="宋体" w:cs="Times New Roman"/>
                <w:b w:val="0"/>
                <w:bCs w:val="0"/>
                <w:color w:val="auto"/>
                <w:sz w:val="24"/>
                <w:u w:val="none" w:color="auto"/>
              </w:rPr>
              <w:t>由上表可知，项目营运期</w:t>
            </w:r>
            <w:r>
              <w:rPr>
                <w:rFonts w:hint="eastAsia" w:ascii="Times New Roman" w:hAnsi="Times New Roman" w:eastAsia="宋体" w:cs="Times New Roman"/>
                <w:b w:val="0"/>
                <w:bCs w:val="0"/>
                <w:color w:val="auto"/>
                <w:sz w:val="24"/>
                <w:u w:val="none" w:color="auto"/>
                <w:lang w:val="en-US" w:eastAsia="zh-CN"/>
              </w:rPr>
              <w:t>废水</w:t>
            </w:r>
            <w:r>
              <w:rPr>
                <w:rFonts w:hint="default" w:ascii="Times New Roman" w:hAnsi="Times New Roman" w:eastAsia="宋体" w:cs="Times New Roman"/>
                <w:b w:val="0"/>
                <w:bCs w:val="0"/>
                <w:color w:val="auto"/>
                <w:kern w:val="0"/>
                <w:sz w:val="24"/>
                <w:u w:val="none" w:color="auto"/>
              </w:rPr>
              <w:t>经污水处理站处理后</w:t>
            </w:r>
            <w:r>
              <w:rPr>
                <w:rFonts w:hint="default" w:ascii="Times New Roman" w:hAnsi="Times New Roman" w:eastAsia="宋体" w:cs="Times New Roman"/>
                <w:b w:val="0"/>
                <w:bCs w:val="0"/>
                <w:color w:val="auto"/>
                <w:kern w:val="0"/>
                <w:sz w:val="24"/>
                <w:u w:val="none" w:color="auto"/>
                <w:lang w:val="en-US" w:eastAsia="zh-CN"/>
              </w:rPr>
              <w:t>各污染物浓度</w:t>
            </w:r>
            <w:r>
              <w:rPr>
                <w:rFonts w:hint="default" w:ascii="Times New Roman" w:hAnsi="Times New Roman" w:eastAsia="宋体" w:cs="Times New Roman"/>
                <w:b w:val="0"/>
                <w:bCs w:val="0"/>
                <w:color w:val="auto"/>
                <w:u w:val="none" w:color="auto"/>
              </w:rPr>
              <w:t>可满足《污水综合排放标准》（GB8978-1996）表4三级标准以及镇平县污水处理中心进水水质要求，因此，</w:t>
            </w:r>
            <w:r>
              <w:rPr>
                <w:rFonts w:hint="eastAsia" w:ascii="Times New Roman" w:hAnsi="Times New Roman" w:eastAsia="宋体" w:cs="Times New Roman"/>
                <w:b w:val="0"/>
                <w:bCs w:val="0"/>
                <w:color w:val="auto"/>
                <w:u w:val="none" w:color="auto"/>
                <w:lang w:val="en-US" w:eastAsia="zh-CN"/>
              </w:rPr>
              <w:t>项目</w:t>
            </w:r>
            <w:r>
              <w:rPr>
                <w:rFonts w:hint="default" w:ascii="Times New Roman" w:hAnsi="Times New Roman" w:eastAsia="宋体" w:cs="Times New Roman"/>
                <w:b w:val="0"/>
                <w:bCs w:val="0"/>
                <w:color w:val="auto"/>
                <w:u w:val="none" w:color="auto"/>
              </w:rPr>
              <w:t>废水处理措施可行。</w:t>
            </w:r>
          </w:p>
          <w:p w14:paraId="6E4F9E4E">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1.4远期废水依托镇平县污水处理中心的可行性</w:t>
            </w:r>
          </w:p>
          <w:p w14:paraId="0103551E">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bCs/>
                <w:color w:val="auto"/>
                <w:kern w:val="0"/>
                <w:sz w:val="24"/>
                <w:u w:val="none" w:color="auto"/>
              </w:rPr>
            </w:pPr>
            <w:r>
              <w:rPr>
                <w:rFonts w:hint="default" w:ascii="Times New Roman" w:hAnsi="Times New Roman" w:cs="Times New Roman"/>
                <w:bCs/>
                <w:color w:val="auto"/>
                <w:kern w:val="0"/>
                <w:sz w:val="24"/>
                <w:u w:val="none" w:color="auto"/>
              </w:rPr>
              <w:t>镇平县污水处理中心位于镇平县镇侯公路黄庄段东侧，近期设计规模为1.5万m</w:t>
            </w:r>
            <w:r>
              <w:rPr>
                <w:rFonts w:hint="default" w:ascii="Times New Roman" w:hAnsi="Times New Roman" w:cs="Times New Roman"/>
                <w:bCs/>
                <w:color w:val="auto"/>
                <w:kern w:val="0"/>
                <w:sz w:val="24"/>
                <w:u w:val="none" w:color="auto"/>
                <w:vertAlign w:val="superscript"/>
              </w:rPr>
              <w:t>3</w:t>
            </w:r>
            <w:r>
              <w:rPr>
                <w:rFonts w:hint="default" w:ascii="Times New Roman" w:hAnsi="Times New Roman" w:cs="Times New Roman"/>
                <w:bCs/>
                <w:color w:val="auto"/>
                <w:kern w:val="0"/>
                <w:sz w:val="24"/>
                <w:u w:val="none" w:color="auto"/>
              </w:rPr>
              <w:t>/d，远期设计规模为3.0万m</w:t>
            </w:r>
            <w:r>
              <w:rPr>
                <w:rFonts w:hint="default" w:ascii="Times New Roman" w:hAnsi="Times New Roman" w:cs="Times New Roman"/>
                <w:bCs/>
                <w:color w:val="auto"/>
                <w:kern w:val="0"/>
                <w:sz w:val="24"/>
                <w:u w:val="none" w:color="auto"/>
                <w:vertAlign w:val="superscript"/>
              </w:rPr>
              <w:t>3</w:t>
            </w:r>
            <w:r>
              <w:rPr>
                <w:rFonts w:hint="default" w:ascii="Times New Roman" w:hAnsi="Times New Roman" w:cs="Times New Roman"/>
                <w:bCs/>
                <w:color w:val="auto"/>
                <w:kern w:val="0"/>
                <w:sz w:val="24"/>
                <w:u w:val="none" w:color="auto"/>
              </w:rPr>
              <w:t>/d，设计年限近期为2020年，远期为2030年，收水范围为处理县城规划区内玉神路东侧的生活污水和部分工业废水，污水处理站采用悬挂链倒置A</w:t>
            </w:r>
            <w:r>
              <w:rPr>
                <w:rFonts w:hint="default" w:ascii="Times New Roman" w:hAnsi="Times New Roman" w:cs="Times New Roman"/>
                <w:bCs/>
                <w:color w:val="auto"/>
                <w:kern w:val="0"/>
                <w:sz w:val="24"/>
                <w:u w:val="none" w:color="auto"/>
                <w:vertAlign w:val="superscript"/>
              </w:rPr>
              <w:t>2</w:t>
            </w:r>
            <w:r>
              <w:rPr>
                <w:rFonts w:hint="default" w:ascii="Times New Roman" w:hAnsi="Times New Roman" w:cs="Times New Roman"/>
                <w:bCs/>
                <w:color w:val="auto"/>
                <w:kern w:val="0"/>
                <w:sz w:val="24"/>
                <w:u w:val="none" w:color="auto"/>
              </w:rPr>
              <w:t>/O处理工艺，设计出水水质达到《城镇污水处理厂污染物排放标准》（GB18918-2002）一级A标准，镇平县污水处理中心近期设计规模已经投产运营。</w:t>
            </w:r>
          </w:p>
          <w:p w14:paraId="12237271">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本项目位于</w:t>
            </w:r>
            <w:r>
              <w:rPr>
                <w:rFonts w:hint="default" w:ascii="Times New Roman" w:hAnsi="Times New Roman" w:cs="Times New Roman"/>
                <w:color w:val="auto"/>
                <w:sz w:val="24"/>
                <w:u w:val="none" w:color="auto"/>
                <w:lang w:val="en-US" w:eastAsia="zh-CN"/>
              </w:rPr>
              <w:t>镇平县涅阳街道中山街东段北侧，镇平县雪枫中学西侧</w:t>
            </w:r>
            <w:r>
              <w:rPr>
                <w:rFonts w:hint="default" w:ascii="Times New Roman" w:hAnsi="Times New Roman" w:cs="Times New Roman"/>
                <w:color w:val="auto"/>
                <w:sz w:val="24"/>
                <w:u w:val="none" w:color="auto"/>
              </w:rPr>
              <w:t>，项目选址位于</w:t>
            </w:r>
            <w:r>
              <w:rPr>
                <w:rFonts w:hint="default" w:ascii="Times New Roman" w:hAnsi="Times New Roman" w:cs="Times New Roman"/>
                <w:bCs/>
                <w:color w:val="auto"/>
                <w:kern w:val="0"/>
                <w:sz w:val="24"/>
                <w:u w:val="none" w:color="auto"/>
              </w:rPr>
              <w:t>镇平县污水处理中心</w:t>
            </w:r>
            <w:r>
              <w:rPr>
                <w:rFonts w:hint="default" w:ascii="Times New Roman" w:hAnsi="Times New Roman" w:cs="Times New Roman"/>
                <w:color w:val="auto"/>
                <w:sz w:val="24"/>
                <w:u w:val="none" w:color="auto"/>
              </w:rPr>
              <w:t>收水范围内，且</w:t>
            </w:r>
            <w:r>
              <w:rPr>
                <w:rFonts w:hint="default" w:ascii="Times New Roman" w:hAnsi="Times New Roman" w:cs="Times New Roman"/>
                <w:bCs/>
                <w:color w:val="auto"/>
                <w:kern w:val="0"/>
                <w:sz w:val="24"/>
                <w:u w:val="none" w:color="auto"/>
              </w:rPr>
              <w:t>镇平县污水处理中心近期设计规模为1.5万m</w:t>
            </w:r>
            <w:r>
              <w:rPr>
                <w:rFonts w:hint="default" w:ascii="Times New Roman" w:hAnsi="Times New Roman" w:cs="Times New Roman"/>
                <w:bCs/>
                <w:color w:val="auto"/>
                <w:kern w:val="0"/>
                <w:sz w:val="24"/>
                <w:u w:val="none" w:color="auto"/>
                <w:vertAlign w:val="superscript"/>
              </w:rPr>
              <w:t>3</w:t>
            </w:r>
            <w:r>
              <w:rPr>
                <w:rFonts w:hint="default" w:ascii="Times New Roman" w:hAnsi="Times New Roman" w:cs="Times New Roman"/>
                <w:bCs/>
                <w:color w:val="auto"/>
                <w:kern w:val="0"/>
                <w:sz w:val="24"/>
                <w:u w:val="none" w:color="auto"/>
              </w:rPr>
              <w:t>/d</w:t>
            </w:r>
            <w:r>
              <w:rPr>
                <w:rFonts w:hint="default" w:ascii="Times New Roman" w:hAnsi="Times New Roman" w:cs="Times New Roman"/>
                <w:color w:val="auto"/>
                <w:sz w:val="24"/>
                <w:u w:val="none" w:color="auto"/>
              </w:rPr>
              <w:t>，项目外排废水量为6.4m</w:t>
            </w:r>
            <w:r>
              <w:rPr>
                <w:rFonts w:hint="default" w:ascii="Times New Roman" w:hAnsi="Times New Roman" w:cs="Times New Roman"/>
                <w:color w:val="auto"/>
                <w:sz w:val="24"/>
                <w:u w:val="none" w:color="auto"/>
                <w:vertAlign w:val="superscript"/>
              </w:rPr>
              <w:t>3</w:t>
            </w:r>
            <w:r>
              <w:rPr>
                <w:rFonts w:hint="default" w:ascii="Times New Roman" w:hAnsi="Times New Roman" w:cs="Times New Roman"/>
                <w:color w:val="auto"/>
                <w:sz w:val="24"/>
                <w:u w:val="none" w:color="auto"/>
              </w:rPr>
              <w:t xml:space="preserve">/d，余量可满足处理需求，项目废水可进入镇平县污水处理中心进一步处理。  </w:t>
            </w:r>
          </w:p>
          <w:p w14:paraId="2C43EA70">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镇平县污水处理中心设计进水水质：COD370mg/L，BOD</w:t>
            </w:r>
            <w:r>
              <w:rPr>
                <w:rFonts w:hint="default" w:ascii="Times New Roman" w:hAnsi="Times New Roman" w:cs="Times New Roman"/>
                <w:color w:val="auto"/>
                <w:sz w:val="24"/>
                <w:u w:val="none" w:color="auto"/>
                <w:vertAlign w:val="subscript"/>
              </w:rPr>
              <w:t>5</w:t>
            </w:r>
            <w:r>
              <w:rPr>
                <w:rFonts w:hint="default" w:ascii="Times New Roman" w:hAnsi="Times New Roman" w:cs="Times New Roman"/>
                <w:color w:val="auto"/>
                <w:sz w:val="24"/>
                <w:u w:val="none" w:color="auto"/>
              </w:rPr>
              <w:t>160mg/L，SS230mg/L，NH</w:t>
            </w:r>
            <w:r>
              <w:rPr>
                <w:rFonts w:hint="default" w:ascii="Times New Roman" w:hAnsi="Times New Roman" w:cs="Times New Roman"/>
                <w:color w:val="auto"/>
                <w:sz w:val="24"/>
                <w:u w:val="none" w:color="auto"/>
                <w:vertAlign w:val="subscript"/>
              </w:rPr>
              <w:t>3</w:t>
            </w:r>
            <w:r>
              <w:rPr>
                <w:rFonts w:hint="default" w:ascii="Times New Roman" w:hAnsi="Times New Roman" w:cs="Times New Roman"/>
                <w:color w:val="auto"/>
                <w:sz w:val="24"/>
                <w:u w:val="none" w:color="auto"/>
              </w:rPr>
              <w:t>-N30mg/L；废水水质：COD</w:t>
            </w:r>
            <w:r>
              <w:rPr>
                <w:rFonts w:hint="default" w:ascii="Times New Roman" w:hAnsi="Times New Roman" w:cs="Times New Roman"/>
                <w:color w:val="auto"/>
                <w:sz w:val="24"/>
                <w:u w:val="none" w:color="auto"/>
                <w:lang w:val="en-US" w:eastAsia="zh-CN"/>
              </w:rPr>
              <w:t>242.97</w:t>
            </w:r>
            <w:r>
              <w:rPr>
                <w:rFonts w:hint="default" w:ascii="Times New Roman" w:hAnsi="Times New Roman" w:cs="Times New Roman"/>
                <w:color w:val="auto"/>
                <w:sz w:val="24"/>
                <w:u w:val="none" w:color="auto"/>
              </w:rPr>
              <w:t>mg/L，BOD</w:t>
            </w:r>
            <w:r>
              <w:rPr>
                <w:rFonts w:hint="default" w:ascii="Times New Roman" w:hAnsi="Times New Roman" w:cs="Times New Roman"/>
                <w:color w:val="auto"/>
                <w:sz w:val="24"/>
                <w:u w:val="none" w:color="auto"/>
                <w:vertAlign w:val="subscript"/>
              </w:rPr>
              <w:t>5</w:t>
            </w:r>
            <w:r>
              <w:rPr>
                <w:rFonts w:hint="default" w:ascii="Times New Roman" w:hAnsi="Times New Roman" w:eastAsia="宋体" w:cs="Times New Roman"/>
                <w:i w:val="0"/>
                <w:iCs w:val="0"/>
                <w:snapToGrid w:val="0"/>
                <w:color w:val="auto"/>
                <w:kern w:val="0"/>
                <w:sz w:val="24"/>
                <w:szCs w:val="24"/>
                <w:u w:val="none" w:color="auto"/>
                <w:lang w:val="en-US" w:eastAsia="zh-CN" w:bidi="ar"/>
              </w:rPr>
              <w:t>99.67</w:t>
            </w:r>
            <w:r>
              <w:rPr>
                <w:rFonts w:hint="default" w:ascii="Times New Roman" w:hAnsi="Times New Roman" w:cs="Times New Roman"/>
                <w:color w:val="auto"/>
                <w:sz w:val="24"/>
                <w:u w:val="none" w:color="auto"/>
              </w:rPr>
              <w:t>mg/L，SS</w:t>
            </w:r>
            <w:r>
              <w:rPr>
                <w:rFonts w:hint="default" w:ascii="Times New Roman" w:hAnsi="Times New Roman" w:eastAsia="宋体" w:cs="Times New Roman"/>
                <w:i w:val="0"/>
                <w:iCs w:val="0"/>
                <w:snapToGrid w:val="0"/>
                <w:color w:val="auto"/>
                <w:kern w:val="0"/>
                <w:sz w:val="22"/>
                <w:szCs w:val="22"/>
                <w:u w:val="none" w:color="auto"/>
                <w:lang w:val="en-US" w:eastAsia="zh-CN" w:bidi="ar"/>
              </w:rPr>
              <w:t>122.43</w:t>
            </w:r>
            <w:r>
              <w:rPr>
                <w:rFonts w:hint="default" w:ascii="Times New Roman" w:hAnsi="Times New Roman" w:cs="Times New Roman"/>
                <w:color w:val="auto"/>
                <w:sz w:val="24"/>
                <w:u w:val="none" w:color="auto"/>
              </w:rPr>
              <w:t>mg/L，NH</w:t>
            </w:r>
            <w:r>
              <w:rPr>
                <w:rFonts w:hint="default" w:ascii="Times New Roman" w:hAnsi="Times New Roman" w:cs="Times New Roman"/>
                <w:color w:val="auto"/>
                <w:sz w:val="24"/>
                <w:u w:val="none" w:color="auto"/>
                <w:vertAlign w:val="subscript"/>
              </w:rPr>
              <w:t>3</w:t>
            </w:r>
            <w:r>
              <w:rPr>
                <w:rFonts w:hint="default" w:ascii="Times New Roman" w:hAnsi="Times New Roman" w:cs="Times New Roman"/>
                <w:color w:val="auto"/>
                <w:sz w:val="24"/>
                <w:u w:val="none" w:color="auto"/>
              </w:rPr>
              <w:t>-N</w:t>
            </w:r>
            <w:r>
              <w:rPr>
                <w:rFonts w:hint="default" w:ascii="Times New Roman" w:hAnsi="Times New Roman" w:cs="Times New Roman"/>
                <w:color w:val="auto"/>
                <w:sz w:val="24"/>
                <w:u w:val="none" w:color="auto"/>
                <w:lang w:val="en-US" w:eastAsia="zh-CN"/>
              </w:rPr>
              <w:t>3</w:t>
            </w:r>
            <w:r>
              <w:rPr>
                <w:rFonts w:hint="default" w:ascii="Times New Roman" w:hAnsi="Times New Roman" w:eastAsia="宋体" w:cs="Times New Roman"/>
                <w:i w:val="0"/>
                <w:iCs w:val="0"/>
                <w:snapToGrid w:val="0"/>
                <w:color w:val="auto"/>
                <w:kern w:val="0"/>
                <w:sz w:val="22"/>
                <w:szCs w:val="22"/>
                <w:u w:val="none" w:color="auto"/>
                <w:lang w:val="en-US" w:eastAsia="zh-CN" w:bidi="ar"/>
              </w:rPr>
              <w:t xml:space="preserve">26.89 </w:t>
            </w:r>
            <w:r>
              <w:rPr>
                <w:rFonts w:hint="default" w:ascii="Times New Roman" w:hAnsi="Times New Roman" w:cs="Times New Roman"/>
                <w:color w:val="auto"/>
                <w:sz w:val="24"/>
                <w:u w:val="none" w:color="auto"/>
              </w:rPr>
              <w:t>mg/L、</w:t>
            </w:r>
            <w:r>
              <w:rPr>
                <w:rFonts w:hint="eastAsia" w:ascii="Times New Roman" w:hAnsi="Times New Roman" w:eastAsia="宋体" w:cs="Times New Roman"/>
                <w:color w:val="auto"/>
                <w:sz w:val="24"/>
                <w:u w:val="none" w:color="auto"/>
                <w:lang w:val="en-US" w:eastAsia="zh-CN"/>
              </w:rPr>
              <w:t>动植物油</w:t>
            </w:r>
            <w:r>
              <w:rPr>
                <w:rFonts w:hint="default" w:ascii="Times New Roman" w:hAnsi="Times New Roman" w:eastAsia="宋体" w:cs="Times New Roman"/>
                <w:i w:val="0"/>
                <w:iCs w:val="0"/>
                <w:snapToGrid w:val="0"/>
                <w:color w:val="auto"/>
                <w:kern w:val="0"/>
                <w:sz w:val="22"/>
                <w:szCs w:val="22"/>
                <w:u w:val="none" w:color="auto"/>
                <w:lang w:val="en-US" w:eastAsia="zh-CN" w:bidi="ar"/>
              </w:rPr>
              <w:t xml:space="preserve">1.10 </w:t>
            </w:r>
            <w:r>
              <w:rPr>
                <w:rFonts w:hint="default" w:ascii="Times New Roman" w:hAnsi="Times New Roman" w:cs="Times New Roman"/>
                <w:color w:val="auto"/>
                <w:sz w:val="24"/>
                <w:u w:val="none" w:color="auto"/>
              </w:rPr>
              <w:t>mg/L，本项目废水水质可以满足镇平县污水处理中心进水水质指标要求。</w:t>
            </w:r>
          </w:p>
          <w:p w14:paraId="0E6F2ECD">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因此，本项目营运期废水依托镇平县污水处理中心处理是可行的。</w:t>
            </w:r>
          </w:p>
          <w:p w14:paraId="13FFA6E6">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color w:val="auto"/>
                <w:sz w:val="24"/>
                <w:u w:val="none" w:color="auto"/>
              </w:rPr>
            </w:pPr>
            <w:r>
              <w:rPr>
                <w:rFonts w:hint="eastAsia"/>
                <w:color w:val="auto"/>
                <w:sz w:val="24"/>
                <w:u w:val="none" w:color="auto"/>
              </w:rPr>
              <w:t>2.4</w:t>
            </w:r>
            <w:r>
              <w:rPr>
                <w:color w:val="auto"/>
                <w:sz w:val="24"/>
                <w:u w:val="none" w:color="auto"/>
              </w:rPr>
              <w:t>废水类别、污染物及污染治理设施信息表</w:t>
            </w:r>
          </w:p>
          <w:p w14:paraId="72D4500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4"/>
                <w:szCs w:val="24"/>
                <w:highlight w:val="none"/>
                <w:u w:val="none" w:color="auto"/>
                <w:lang w:val="en-US" w:eastAsia="zh-CN" w:bidi="ar-SA"/>
              </w:rPr>
            </w:pPr>
            <w:bookmarkStart w:id="29" w:name="_Toc5136"/>
            <w:bookmarkStart w:id="30" w:name="_Toc20070"/>
            <w:bookmarkStart w:id="31" w:name="_Toc10798"/>
            <w:bookmarkStart w:id="32" w:name="_Toc9334"/>
            <w:r>
              <w:rPr>
                <w:rFonts w:hint="default" w:ascii="Times New Roman" w:hAnsi="Times New Roman" w:eastAsia="宋体" w:cs="Times New Roman"/>
                <w:b/>
                <w:bCs/>
                <w:color w:val="auto"/>
                <w:kern w:val="2"/>
                <w:sz w:val="24"/>
                <w:szCs w:val="24"/>
                <w:highlight w:val="none"/>
                <w:u w:val="none" w:color="auto"/>
                <w:lang w:val="en-US" w:eastAsia="zh-CN" w:bidi="ar-SA"/>
              </w:rPr>
              <w:t>表4-</w:t>
            </w:r>
            <w:r>
              <w:rPr>
                <w:rFonts w:hint="eastAsia" w:ascii="Times New Roman" w:hAnsi="Times New Roman" w:eastAsia="宋体" w:cs="Times New Roman"/>
                <w:b/>
                <w:bCs/>
                <w:color w:val="auto"/>
                <w:kern w:val="2"/>
                <w:sz w:val="24"/>
                <w:szCs w:val="24"/>
                <w:highlight w:val="none"/>
                <w:u w:val="none" w:color="auto"/>
                <w:lang w:val="en-US" w:eastAsia="zh-CN" w:bidi="ar-SA"/>
              </w:rPr>
              <w:t>11</w:t>
            </w:r>
            <w:r>
              <w:rPr>
                <w:rFonts w:hint="default" w:ascii="Times New Roman" w:hAnsi="Times New Roman" w:eastAsia="宋体" w:cs="Times New Roman"/>
                <w:b/>
                <w:bCs/>
                <w:color w:val="auto"/>
                <w:kern w:val="2"/>
                <w:sz w:val="24"/>
                <w:szCs w:val="24"/>
                <w:highlight w:val="none"/>
                <w:u w:val="none" w:color="auto"/>
                <w:lang w:val="en-US" w:eastAsia="zh-CN" w:bidi="ar-SA"/>
              </w:rPr>
              <w:t xml:space="preserve">       废水类别、污染物及污染治理设施信息表</w:t>
            </w:r>
            <w:bookmarkEnd w:id="29"/>
            <w:bookmarkEnd w:id="30"/>
            <w:bookmarkEnd w:id="31"/>
            <w:bookmarkEnd w:id="32"/>
          </w:p>
          <w:tbl>
            <w:tblPr>
              <w:tblStyle w:val="3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
              <w:gridCol w:w="1138"/>
              <w:gridCol w:w="943"/>
              <w:gridCol w:w="631"/>
              <w:gridCol w:w="1107"/>
              <w:gridCol w:w="945"/>
              <w:gridCol w:w="952"/>
              <w:gridCol w:w="986"/>
              <w:gridCol w:w="946"/>
              <w:gridCol w:w="713"/>
            </w:tblGrid>
            <w:tr w14:paraId="10130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1" w:type="pct"/>
                  <w:vMerge w:val="restart"/>
                  <w:tcBorders>
                    <w:tl2br w:val="nil"/>
                    <w:tr2bl w:val="nil"/>
                  </w:tcBorders>
                  <w:vAlign w:val="center"/>
                </w:tcPr>
                <w:p w14:paraId="4B72E97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vertAlign w:val="superscript"/>
                    </w:rPr>
                  </w:pPr>
                  <w:r>
                    <w:rPr>
                      <w:rFonts w:hint="default" w:ascii="Times New Roman" w:hAnsi="Times New Roman" w:eastAsia="宋体" w:cs="Times New Roman"/>
                      <w:color w:val="auto"/>
                      <w:sz w:val="21"/>
                      <w:szCs w:val="21"/>
                      <w:u w:val="none" w:color="auto"/>
                    </w:rPr>
                    <w:t>废水类别</w:t>
                  </w:r>
                </w:p>
              </w:tc>
              <w:tc>
                <w:tcPr>
                  <w:tcW w:w="624" w:type="pct"/>
                  <w:vMerge w:val="restart"/>
                  <w:tcBorders>
                    <w:tl2br w:val="nil"/>
                    <w:tr2bl w:val="nil"/>
                  </w:tcBorders>
                  <w:vAlign w:val="center"/>
                </w:tcPr>
                <w:p w14:paraId="0667DCE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vertAlign w:val="superscript"/>
                    </w:rPr>
                  </w:pPr>
                  <w:r>
                    <w:rPr>
                      <w:rFonts w:hint="default" w:ascii="Times New Roman" w:hAnsi="Times New Roman" w:eastAsia="宋体" w:cs="Times New Roman"/>
                      <w:color w:val="auto"/>
                      <w:sz w:val="21"/>
                      <w:szCs w:val="21"/>
                      <w:u w:val="none" w:color="auto"/>
                    </w:rPr>
                    <w:t>污染物种类</w:t>
                  </w:r>
                </w:p>
              </w:tc>
              <w:tc>
                <w:tcPr>
                  <w:tcW w:w="517" w:type="pct"/>
                  <w:vMerge w:val="restart"/>
                  <w:tcBorders>
                    <w:tl2br w:val="nil"/>
                    <w:tr2bl w:val="nil"/>
                  </w:tcBorders>
                  <w:vAlign w:val="center"/>
                </w:tcPr>
                <w:p w14:paraId="47C7BD4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vertAlign w:val="superscript"/>
                    </w:rPr>
                  </w:pPr>
                  <w:r>
                    <w:rPr>
                      <w:rFonts w:hint="default" w:ascii="Times New Roman" w:hAnsi="Times New Roman" w:eastAsia="宋体" w:cs="Times New Roman"/>
                      <w:color w:val="auto"/>
                      <w:sz w:val="21"/>
                      <w:szCs w:val="21"/>
                      <w:u w:val="none" w:color="auto"/>
                    </w:rPr>
                    <w:t>排放去向</w:t>
                  </w:r>
                </w:p>
              </w:tc>
              <w:tc>
                <w:tcPr>
                  <w:tcW w:w="346" w:type="pct"/>
                  <w:vMerge w:val="restart"/>
                  <w:tcBorders>
                    <w:tl2br w:val="nil"/>
                    <w:tr2bl w:val="nil"/>
                  </w:tcBorders>
                  <w:vAlign w:val="center"/>
                </w:tcPr>
                <w:p w14:paraId="7C7DB0E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vertAlign w:val="superscript"/>
                    </w:rPr>
                  </w:pPr>
                  <w:r>
                    <w:rPr>
                      <w:rFonts w:hint="default" w:ascii="Times New Roman" w:hAnsi="Times New Roman" w:eastAsia="宋体" w:cs="Times New Roman"/>
                      <w:color w:val="auto"/>
                      <w:sz w:val="21"/>
                      <w:szCs w:val="21"/>
                      <w:u w:val="none" w:color="auto"/>
                    </w:rPr>
                    <w:t>排放规律</w:t>
                  </w:r>
                </w:p>
              </w:tc>
              <w:tc>
                <w:tcPr>
                  <w:tcW w:w="1647" w:type="pct"/>
                  <w:gridSpan w:val="3"/>
                  <w:tcBorders>
                    <w:tl2br w:val="nil"/>
                    <w:tr2bl w:val="nil"/>
                  </w:tcBorders>
                  <w:vAlign w:val="center"/>
                </w:tcPr>
                <w:p w14:paraId="1D157FA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污染治理设施</w:t>
                  </w:r>
                </w:p>
              </w:tc>
              <w:tc>
                <w:tcPr>
                  <w:tcW w:w="541" w:type="pct"/>
                  <w:vMerge w:val="restart"/>
                  <w:tcBorders>
                    <w:tl2br w:val="nil"/>
                    <w:tr2bl w:val="nil"/>
                  </w:tcBorders>
                  <w:vAlign w:val="center"/>
                </w:tcPr>
                <w:p w14:paraId="6BBAEF7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排放口编号</w:t>
                  </w:r>
                </w:p>
              </w:tc>
              <w:tc>
                <w:tcPr>
                  <w:tcW w:w="519" w:type="pct"/>
                  <w:vMerge w:val="restart"/>
                  <w:tcBorders>
                    <w:tl2br w:val="nil"/>
                    <w:tr2bl w:val="nil"/>
                  </w:tcBorders>
                  <w:vAlign w:val="center"/>
                </w:tcPr>
                <w:p w14:paraId="40C428F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vertAlign w:val="superscript"/>
                    </w:rPr>
                  </w:pPr>
                  <w:r>
                    <w:rPr>
                      <w:rFonts w:hint="default" w:ascii="Times New Roman" w:hAnsi="Times New Roman" w:eastAsia="宋体" w:cs="Times New Roman"/>
                      <w:color w:val="auto"/>
                      <w:sz w:val="21"/>
                      <w:szCs w:val="21"/>
                      <w:u w:val="none" w:color="auto"/>
                    </w:rPr>
                    <w:t>排放口设置是否符合要求</w:t>
                  </w:r>
                </w:p>
              </w:tc>
              <w:tc>
                <w:tcPr>
                  <w:tcW w:w="391" w:type="pct"/>
                  <w:vMerge w:val="restart"/>
                  <w:tcBorders>
                    <w:tl2br w:val="nil"/>
                    <w:tr2bl w:val="nil"/>
                  </w:tcBorders>
                  <w:vAlign w:val="center"/>
                </w:tcPr>
                <w:p w14:paraId="6E9132B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排放口类型</w:t>
                  </w:r>
                </w:p>
              </w:tc>
            </w:tr>
            <w:tr w14:paraId="38F6F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1" w:type="pct"/>
                  <w:vMerge w:val="continue"/>
                  <w:tcBorders>
                    <w:tl2br w:val="nil"/>
                    <w:tr2bl w:val="nil"/>
                  </w:tcBorders>
                  <w:vAlign w:val="center"/>
                </w:tcPr>
                <w:p w14:paraId="020C587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p>
              </w:tc>
              <w:tc>
                <w:tcPr>
                  <w:tcW w:w="624" w:type="pct"/>
                  <w:vMerge w:val="continue"/>
                  <w:tcBorders>
                    <w:tl2br w:val="nil"/>
                    <w:tr2bl w:val="nil"/>
                  </w:tcBorders>
                  <w:vAlign w:val="center"/>
                </w:tcPr>
                <w:p w14:paraId="6458FEE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p>
              </w:tc>
              <w:tc>
                <w:tcPr>
                  <w:tcW w:w="517" w:type="pct"/>
                  <w:vMerge w:val="continue"/>
                  <w:tcBorders>
                    <w:tl2br w:val="nil"/>
                    <w:tr2bl w:val="nil"/>
                  </w:tcBorders>
                  <w:vAlign w:val="center"/>
                </w:tcPr>
                <w:p w14:paraId="63F1AE8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p>
              </w:tc>
              <w:tc>
                <w:tcPr>
                  <w:tcW w:w="346" w:type="pct"/>
                  <w:vMerge w:val="continue"/>
                  <w:tcBorders>
                    <w:tl2br w:val="nil"/>
                    <w:tr2bl w:val="nil"/>
                  </w:tcBorders>
                  <w:vAlign w:val="center"/>
                </w:tcPr>
                <w:p w14:paraId="09124B1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p>
              </w:tc>
              <w:tc>
                <w:tcPr>
                  <w:tcW w:w="607" w:type="pct"/>
                  <w:tcBorders>
                    <w:tl2br w:val="nil"/>
                    <w:tr2bl w:val="nil"/>
                  </w:tcBorders>
                  <w:vAlign w:val="center"/>
                </w:tcPr>
                <w:p w14:paraId="75C5A15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污染治理设施编号</w:t>
                  </w:r>
                </w:p>
              </w:tc>
              <w:tc>
                <w:tcPr>
                  <w:tcW w:w="518" w:type="pct"/>
                  <w:tcBorders>
                    <w:tl2br w:val="nil"/>
                    <w:tr2bl w:val="nil"/>
                  </w:tcBorders>
                  <w:vAlign w:val="center"/>
                </w:tcPr>
                <w:p w14:paraId="6FFFFD6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vertAlign w:val="superscript"/>
                    </w:rPr>
                  </w:pPr>
                  <w:r>
                    <w:rPr>
                      <w:rFonts w:hint="default" w:ascii="Times New Roman" w:hAnsi="Times New Roman" w:eastAsia="宋体" w:cs="Times New Roman"/>
                      <w:color w:val="auto"/>
                      <w:sz w:val="21"/>
                      <w:szCs w:val="21"/>
                      <w:u w:val="none" w:color="auto"/>
                    </w:rPr>
                    <w:t>污染治理设施名称</w:t>
                  </w:r>
                </w:p>
              </w:tc>
              <w:tc>
                <w:tcPr>
                  <w:tcW w:w="522" w:type="pct"/>
                  <w:tcBorders>
                    <w:tl2br w:val="nil"/>
                    <w:tr2bl w:val="nil"/>
                  </w:tcBorders>
                  <w:vAlign w:val="center"/>
                </w:tcPr>
                <w:p w14:paraId="492EB5E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污染治理设施工艺</w:t>
                  </w:r>
                </w:p>
              </w:tc>
              <w:tc>
                <w:tcPr>
                  <w:tcW w:w="541" w:type="pct"/>
                  <w:vMerge w:val="continue"/>
                  <w:tcBorders>
                    <w:tl2br w:val="nil"/>
                    <w:tr2bl w:val="nil"/>
                  </w:tcBorders>
                  <w:vAlign w:val="center"/>
                </w:tcPr>
                <w:p w14:paraId="6BAD30D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p>
              </w:tc>
              <w:tc>
                <w:tcPr>
                  <w:tcW w:w="519" w:type="pct"/>
                  <w:vMerge w:val="continue"/>
                  <w:tcBorders>
                    <w:tl2br w:val="nil"/>
                    <w:tr2bl w:val="nil"/>
                  </w:tcBorders>
                  <w:vAlign w:val="center"/>
                </w:tcPr>
                <w:p w14:paraId="16C8BFE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p>
              </w:tc>
              <w:tc>
                <w:tcPr>
                  <w:tcW w:w="391" w:type="pct"/>
                  <w:vMerge w:val="continue"/>
                  <w:tcBorders>
                    <w:tl2br w:val="nil"/>
                    <w:tr2bl w:val="nil"/>
                  </w:tcBorders>
                  <w:vAlign w:val="center"/>
                </w:tcPr>
                <w:p w14:paraId="5BFE888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p>
              </w:tc>
            </w:tr>
            <w:tr w14:paraId="6F180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411" w:type="pct"/>
                  <w:tcBorders>
                    <w:tl2br w:val="nil"/>
                    <w:tr2bl w:val="nil"/>
                  </w:tcBorders>
                  <w:vAlign w:val="center"/>
                </w:tcPr>
                <w:p w14:paraId="2A6FAA0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师生日常生活污水</w:t>
                  </w:r>
                </w:p>
              </w:tc>
              <w:tc>
                <w:tcPr>
                  <w:tcW w:w="624" w:type="pct"/>
                  <w:tcBorders>
                    <w:tl2br w:val="nil"/>
                    <w:tr2bl w:val="nil"/>
                  </w:tcBorders>
                  <w:vAlign w:val="center"/>
                </w:tcPr>
                <w:p w14:paraId="211474A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COD、BOD</w:t>
                  </w:r>
                  <w:r>
                    <w:rPr>
                      <w:rFonts w:hint="default" w:ascii="Times New Roman" w:hAnsi="Times New Roman" w:eastAsia="宋体" w:cs="Times New Roman"/>
                      <w:color w:val="auto"/>
                      <w:sz w:val="21"/>
                      <w:szCs w:val="21"/>
                      <w:u w:val="none" w:color="auto"/>
                      <w:vertAlign w:val="subscript"/>
                    </w:rPr>
                    <w:t>5</w:t>
                  </w:r>
                  <w:r>
                    <w:rPr>
                      <w:rFonts w:hint="default" w:ascii="Times New Roman" w:hAnsi="Times New Roman" w:eastAsia="宋体" w:cs="Times New Roman"/>
                      <w:color w:val="auto"/>
                      <w:sz w:val="21"/>
                      <w:szCs w:val="21"/>
                      <w:u w:val="none" w:color="auto"/>
                    </w:rPr>
                    <w:t>、SS、NH</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rPr>
                    <w:t xml:space="preserve">-N </w:t>
                  </w:r>
                </w:p>
              </w:tc>
              <w:tc>
                <w:tcPr>
                  <w:tcW w:w="517" w:type="pct"/>
                  <w:tcBorders>
                    <w:tl2br w:val="nil"/>
                    <w:tr2bl w:val="nil"/>
                  </w:tcBorders>
                  <w:vAlign w:val="center"/>
                </w:tcPr>
                <w:p w14:paraId="7A32108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镇平县污水处理中心</w:t>
                  </w:r>
                </w:p>
              </w:tc>
              <w:tc>
                <w:tcPr>
                  <w:tcW w:w="346" w:type="pct"/>
                  <w:tcBorders>
                    <w:tl2br w:val="nil"/>
                    <w:tr2bl w:val="nil"/>
                  </w:tcBorders>
                  <w:vAlign w:val="center"/>
                </w:tcPr>
                <w:p w14:paraId="56A3DB8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间歇排放</w:t>
                  </w:r>
                </w:p>
              </w:tc>
              <w:tc>
                <w:tcPr>
                  <w:tcW w:w="607" w:type="pct"/>
                  <w:tcBorders>
                    <w:tl2br w:val="nil"/>
                    <w:tr2bl w:val="nil"/>
                  </w:tcBorders>
                  <w:vAlign w:val="center"/>
                </w:tcPr>
                <w:p w14:paraId="72D66B7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TW001</w:t>
                  </w:r>
                </w:p>
              </w:tc>
              <w:tc>
                <w:tcPr>
                  <w:tcW w:w="518" w:type="pct"/>
                  <w:tcBorders>
                    <w:tl2br w:val="nil"/>
                    <w:tr2bl w:val="nil"/>
                  </w:tcBorders>
                  <w:vAlign w:val="center"/>
                </w:tcPr>
                <w:p w14:paraId="5AFECD2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化粪池</w:t>
                  </w:r>
                </w:p>
              </w:tc>
              <w:tc>
                <w:tcPr>
                  <w:tcW w:w="522" w:type="pct"/>
                  <w:tcBorders>
                    <w:tl2br w:val="nil"/>
                    <w:tr2bl w:val="nil"/>
                  </w:tcBorders>
                  <w:vAlign w:val="center"/>
                </w:tcPr>
                <w:p w14:paraId="7C717BA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厌氧</w:t>
                  </w:r>
                </w:p>
              </w:tc>
              <w:tc>
                <w:tcPr>
                  <w:tcW w:w="541" w:type="pct"/>
                  <w:tcBorders>
                    <w:tl2br w:val="nil"/>
                    <w:tr2bl w:val="nil"/>
                  </w:tcBorders>
                  <w:vAlign w:val="center"/>
                </w:tcPr>
                <w:p w14:paraId="783D370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DW001</w:t>
                  </w:r>
                </w:p>
              </w:tc>
              <w:tc>
                <w:tcPr>
                  <w:tcW w:w="519" w:type="pct"/>
                  <w:tcBorders>
                    <w:tl2br w:val="nil"/>
                    <w:tr2bl w:val="nil"/>
                  </w:tcBorders>
                  <w:vAlign w:val="center"/>
                </w:tcPr>
                <w:p w14:paraId="32D7E7C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21"/>
                      <w:sz w:val="21"/>
                      <w:szCs w:val="21"/>
                      <w:u w:val="none" w:color="auto"/>
                    </w:rPr>
                    <w:t>■</w:t>
                  </w:r>
                  <w:r>
                    <w:rPr>
                      <w:rFonts w:hint="default" w:ascii="Times New Roman" w:hAnsi="Times New Roman" w:eastAsia="宋体" w:cs="Times New Roman"/>
                      <w:color w:val="auto"/>
                      <w:sz w:val="21"/>
                      <w:szCs w:val="21"/>
                      <w:u w:val="none" w:color="auto"/>
                    </w:rPr>
                    <w:t>是</w:t>
                  </w:r>
                </w:p>
                <w:p w14:paraId="426E6E9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21"/>
                      <w:sz w:val="21"/>
                      <w:szCs w:val="21"/>
                      <w:u w:val="none" w:color="auto"/>
                    </w:rPr>
                    <w:sym w:font="Wingdings 2" w:char="00A3"/>
                  </w:r>
                  <w:r>
                    <w:rPr>
                      <w:rFonts w:hint="default" w:ascii="Times New Roman" w:hAnsi="Times New Roman" w:eastAsia="宋体" w:cs="Times New Roman"/>
                      <w:color w:val="auto"/>
                      <w:sz w:val="21"/>
                      <w:szCs w:val="21"/>
                      <w:u w:val="none" w:color="auto"/>
                    </w:rPr>
                    <w:t>否</w:t>
                  </w:r>
                </w:p>
              </w:tc>
              <w:tc>
                <w:tcPr>
                  <w:tcW w:w="391" w:type="pct"/>
                  <w:tcBorders>
                    <w:tl2br w:val="nil"/>
                    <w:tr2bl w:val="nil"/>
                  </w:tcBorders>
                  <w:vAlign w:val="center"/>
                </w:tcPr>
                <w:p w14:paraId="12C040F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一般排放口</w:t>
                  </w:r>
                </w:p>
                <w:p w14:paraId="35B7CA3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p>
              </w:tc>
            </w:tr>
            <w:tr w14:paraId="07DF2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1" w:type="pct"/>
                  <w:tcBorders>
                    <w:tl2br w:val="nil"/>
                    <w:tr2bl w:val="nil"/>
                  </w:tcBorders>
                  <w:vAlign w:val="center"/>
                </w:tcPr>
                <w:p w14:paraId="062B9B6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餐厅废水</w:t>
                  </w:r>
                </w:p>
              </w:tc>
              <w:tc>
                <w:tcPr>
                  <w:tcW w:w="624" w:type="pct"/>
                  <w:tcBorders>
                    <w:tl2br w:val="nil"/>
                    <w:tr2bl w:val="nil"/>
                  </w:tcBorders>
                  <w:vAlign w:val="center"/>
                </w:tcPr>
                <w:p w14:paraId="6C513BA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COD、BOD</w:t>
                  </w:r>
                  <w:r>
                    <w:rPr>
                      <w:rFonts w:hint="default" w:ascii="Times New Roman" w:hAnsi="Times New Roman" w:eastAsia="宋体" w:cs="Times New Roman"/>
                      <w:color w:val="auto"/>
                      <w:sz w:val="21"/>
                      <w:szCs w:val="21"/>
                      <w:u w:val="none" w:color="auto"/>
                      <w:vertAlign w:val="subscript"/>
                    </w:rPr>
                    <w:t>5</w:t>
                  </w:r>
                  <w:r>
                    <w:rPr>
                      <w:rFonts w:hint="default" w:ascii="Times New Roman" w:hAnsi="Times New Roman" w:eastAsia="宋体" w:cs="Times New Roman"/>
                      <w:color w:val="auto"/>
                      <w:sz w:val="21"/>
                      <w:szCs w:val="21"/>
                      <w:u w:val="none" w:color="auto"/>
                    </w:rPr>
                    <w:t>、SS、NH</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rPr>
                    <w:t>-N</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动植物油</w:t>
                  </w:r>
                </w:p>
              </w:tc>
              <w:tc>
                <w:tcPr>
                  <w:tcW w:w="517" w:type="pct"/>
                  <w:tcBorders>
                    <w:tl2br w:val="nil"/>
                    <w:tr2bl w:val="nil"/>
                  </w:tcBorders>
                  <w:vAlign w:val="center"/>
                </w:tcPr>
                <w:p w14:paraId="3FF5DE8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镇平县污水处理中心</w:t>
                  </w:r>
                </w:p>
              </w:tc>
              <w:tc>
                <w:tcPr>
                  <w:tcW w:w="346" w:type="pct"/>
                  <w:tcBorders>
                    <w:tl2br w:val="nil"/>
                    <w:tr2bl w:val="nil"/>
                  </w:tcBorders>
                  <w:vAlign w:val="center"/>
                </w:tcPr>
                <w:p w14:paraId="607DD0C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间歇排放</w:t>
                  </w:r>
                </w:p>
              </w:tc>
              <w:tc>
                <w:tcPr>
                  <w:tcW w:w="607" w:type="pct"/>
                  <w:tcBorders>
                    <w:tl2br w:val="nil"/>
                    <w:tr2bl w:val="nil"/>
                  </w:tcBorders>
                  <w:vAlign w:val="center"/>
                </w:tcPr>
                <w:p w14:paraId="5F3BE93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TW001</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化粪池）、TW002（隔油池）</w:t>
                  </w:r>
                </w:p>
              </w:tc>
              <w:tc>
                <w:tcPr>
                  <w:tcW w:w="518" w:type="pct"/>
                  <w:tcBorders>
                    <w:tl2br w:val="nil"/>
                    <w:tr2bl w:val="nil"/>
                  </w:tcBorders>
                  <w:vAlign w:val="center"/>
                </w:tcPr>
                <w:p w14:paraId="22F692E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化粪池、隔油池</w:t>
                  </w:r>
                </w:p>
              </w:tc>
              <w:tc>
                <w:tcPr>
                  <w:tcW w:w="522" w:type="pct"/>
                  <w:tcBorders>
                    <w:tl2br w:val="nil"/>
                    <w:tr2bl w:val="nil"/>
                  </w:tcBorders>
                  <w:vAlign w:val="center"/>
                </w:tcPr>
                <w:p w14:paraId="18ECFF2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厌氧</w:t>
                  </w:r>
                </w:p>
              </w:tc>
              <w:tc>
                <w:tcPr>
                  <w:tcW w:w="922" w:type="dxa"/>
                  <w:tcBorders>
                    <w:tl2br w:val="nil"/>
                    <w:tr2bl w:val="nil"/>
                  </w:tcBorders>
                  <w:vAlign w:val="center"/>
                </w:tcPr>
                <w:p w14:paraId="3B68B27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DW001</w:t>
                  </w:r>
                </w:p>
              </w:tc>
              <w:tc>
                <w:tcPr>
                  <w:tcW w:w="885" w:type="dxa"/>
                  <w:tcBorders>
                    <w:tl2br w:val="nil"/>
                    <w:tr2bl w:val="nil"/>
                  </w:tcBorders>
                  <w:vAlign w:val="center"/>
                </w:tcPr>
                <w:p w14:paraId="1C06EC5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21"/>
                      <w:sz w:val="21"/>
                      <w:szCs w:val="21"/>
                      <w:u w:val="none" w:color="auto"/>
                    </w:rPr>
                    <w:t>■</w:t>
                  </w:r>
                  <w:r>
                    <w:rPr>
                      <w:rFonts w:hint="default" w:ascii="Times New Roman" w:hAnsi="Times New Roman" w:eastAsia="宋体" w:cs="Times New Roman"/>
                      <w:color w:val="auto"/>
                      <w:sz w:val="21"/>
                      <w:szCs w:val="21"/>
                      <w:u w:val="none" w:color="auto"/>
                    </w:rPr>
                    <w:t>是</w:t>
                  </w:r>
                </w:p>
                <w:p w14:paraId="2E3B613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rPr>
                    <w:sym w:font="Wingdings 2" w:char="00A3"/>
                  </w:r>
                  <w:r>
                    <w:rPr>
                      <w:rFonts w:hint="default" w:ascii="Times New Roman" w:hAnsi="Times New Roman" w:eastAsia="宋体" w:cs="Times New Roman"/>
                      <w:color w:val="auto"/>
                      <w:sz w:val="21"/>
                      <w:szCs w:val="21"/>
                      <w:u w:val="none" w:color="auto"/>
                    </w:rPr>
                    <w:t>否</w:t>
                  </w:r>
                </w:p>
              </w:tc>
              <w:tc>
                <w:tcPr>
                  <w:tcW w:w="667" w:type="dxa"/>
                  <w:tcBorders>
                    <w:tl2br w:val="nil"/>
                    <w:tr2bl w:val="nil"/>
                  </w:tcBorders>
                  <w:vAlign w:val="center"/>
                </w:tcPr>
                <w:p w14:paraId="34267D0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一般排放口</w:t>
                  </w:r>
                </w:p>
                <w:p w14:paraId="3080A79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p>
              </w:tc>
            </w:tr>
            <w:tr w14:paraId="7C53C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1" w:type="pct"/>
                  <w:tcBorders>
                    <w:tl2br w:val="nil"/>
                    <w:tr2bl w:val="nil"/>
                  </w:tcBorders>
                  <w:vAlign w:val="center"/>
                </w:tcPr>
                <w:p w14:paraId="27B56CD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实验室废水</w:t>
                  </w:r>
                </w:p>
              </w:tc>
              <w:tc>
                <w:tcPr>
                  <w:tcW w:w="624" w:type="pct"/>
                  <w:tcBorders>
                    <w:tl2br w:val="nil"/>
                    <w:tr2bl w:val="nil"/>
                  </w:tcBorders>
                  <w:vAlign w:val="center"/>
                </w:tcPr>
                <w:p w14:paraId="4366890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COD、BOD</w:t>
                  </w:r>
                  <w:r>
                    <w:rPr>
                      <w:rFonts w:hint="default" w:ascii="Times New Roman" w:hAnsi="Times New Roman" w:eastAsia="宋体" w:cs="Times New Roman"/>
                      <w:color w:val="auto"/>
                      <w:sz w:val="21"/>
                      <w:szCs w:val="21"/>
                      <w:u w:val="none" w:color="auto"/>
                      <w:vertAlign w:val="subscript"/>
                    </w:rPr>
                    <w:t>5</w:t>
                  </w:r>
                  <w:r>
                    <w:rPr>
                      <w:rFonts w:hint="default" w:ascii="Times New Roman" w:hAnsi="Times New Roman" w:eastAsia="宋体" w:cs="Times New Roman"/>
                      <w:color w:val="auto"/>
                      <w:sz w:val="21"/>
                      <w:szCs w:val="21"/>
                      <w:u w:val="none" w:color="auto"/>
                    </w:rPr>
                    <w:t>、SS、NH</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rPr>
                    <w:t>-N</w:t>
                  </w:r>
                </w:p>
              </w:tc>
              <w:tc>
                <w:tcPr>
                  <w:tcW w:w="517" w:type="pct"/>
                  <w:tcBorders>
                    <w:tl2br w:val="nil"/>
                    <w:tr2bl w:val="nil"/>
                  </w:tcBorders>
                  <w:vAlign w:val="center"/>
                </w:tcPr>
                <w:p w14:paraId="01C9AF7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镇平县污水处理中心</w:t>
                  </w:r>
                </w:p>
              </w:tc>
              <w:tc>
                <w:tcPr>
                  <w:tcW w:w="346" w:type="pct"/>
                  <w:tcBorders>
                    <w:tl2br w:val="nil"/>
                    <w:tr2bl w:val="nil"/>
                  </w:tcBorders>
                  <w:vAlign w:val="center"/>
                </w:tcPr>
                <w:p w14:paraId="4407796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间歇排放</w:t>
                  </w:r>
                </w:p>
              </w:tc>
              <w:tc>
                <w:tcPr>
                  <w:tcW w:w="607" w:type="pct"/>
                  <w:tcBorders>
                    <w:tl2br w:val="nil"/>
                    <w:tr2bl w:val="nil"/>
                  </w:tcBorders>
                  <w:vAlign w:val="center"/>
                </w:tcPr>
                <w:p w14:paraId="18514A8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TW003（中和池）、</w:t>
                  </w:r>
                  <w:r>
                    <w:rPr>
                      <w:rFonts w:hint="default" w:ascii="Times New Roman" w:hAnsi="Times New Roman" w:eastAsia="宋体" w:cs="Times New Roman"/>
                      <w:color w:val="auto"/>
                      <w:sz w:val="21"/>
                      <w:szCs w:val="21"/>
                      <w:u w:val="none" w:color="auto"/>
                    </w:rPr>
                    <w:t>TW001</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化粪池）、</w:t>
                  </w:r>
                </w:p>
              </w:tc>
              <w:tc>
                <w:tcPr>
                  <w:tcW w:w="518" w:type="pct"/>
                  <w:tcBorders>
                    <w:tl2br w:val="nil"/>
                    <w:tr2bl w:val="nil"/>
                  </w:tcBorders>
                  <w:vAlign w:val="center"/>
                </w:tcPr>
                <w:p w14:paraId="05F84C7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中和池、化粪池</w:t>
                  </w:r>
                </w:p>
              </w:tc>
              <w:tc>
                <w:tcPr>
                  <w:tcW w:w="522" w:type="pct"/>
                  <w:tcBorders>
                    <w:tl2br w:val="nil"/>
                    <w:tr2bl w:val="nil"/>
                  </w:tcBorders>
                  <w:vAlign w:val="center"/>
                </w:tcPr>
                <w:p w14:paraId="6336870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厌氧、中和</w:t>
                  </w:r>
                </w:p>
              </w:tc>
              <w:tc>
                <w:tcPr>
                  <w:tcW w:w="922" w:type="dxa"/>
                  <w:tcBorders>
                    <w:tl2br w:val="nil"/>
                    <w:tr2bl w:val="nil"/>
                  </w:tcBorders>
                  <w:vAlign w:val="center"/>
                </w:tcPr>
                <w:p w14:paraId="6E7BE5C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DW001</w:t>
                  </w:r>
                </w:p>
              </w:tc>
              <w:tc>
                <w:tcPr>
                  <w:tcW w:w="885" w:type="dxa"/>
                  <w:tcBorders>
                    <w:tl2br w:val="nil"/>
                    <w:tr2bl w:val="nil"/>
                  </w:tcBorders>
                  <w:vAlign w:val="center"/>
                </w:tcPr>
                <w:p w14:paraId="758CF10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21"/>
                      <w:sz w:val="21"/>
                      <w:szCs w:val="21"/>
                      <w:u w:val="none" w:color="auto"/>
                    </w:rPr>
                    <w:t>■</w:t>
                  </w:r>
                  <w:r>
                    <w:rPr>
                      <w:rFonts w:hint="default" w:ascii="Times New Roman" w:hAnsi="Times New Roman" w:eastAsia="宋体" w:cs="Times New Roman"/>
                      <w:color w:val="auto"/>
                      <w:sz w:val="21"/>
                      <w:szCs w:val="21"/>
                      <w:u w:val="none" w:color="auto"/>
                    </w:rPr>
                    <w:t>是</w:t>
                  </w:r>
                </w:p>
                <w:p w14:paraId="1EF4E29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kern w:val="21"/>
                      <w:sz w:val="21"/>
                      <w:szCs w:val="21"/>
                      <w:u w:val="none" w:color="auto"/>
                    </w:rPr>
                    <w:sym w:font="Wingdings 2" w:char="00A3"/>
                  </w:r>
                  <w:r>
                    <w:rPr>
                      <w:rFonts w:hint="default" w:ascii="Times New Roman" w:hAnsi="Times New Roman" w:eastAsia="宋体" w:cs="Times New Roman"/>
                      <w:color w:val="auto"/>
                      <w:sz w:val="21"/>
                      <w:szCs w:val="21"/>
                      <w:u w:val="none" w:color="auto"/>
                    </w:rPr>
                    <w:t>否</w:t>
                  </w:r>
                </w:p>
              </w:tc>
              <w:tc>
                <w:tcPr>
                  <w:tcW w:w="667" w:type="dxa"/>
                  <w:tcBorders>
                    <w:tl2br w:val="nil"/>
                    <w:tr2bl w:val="nil"/>
                  </w:tcBorders>
                  <w:vAlign w:val="center"/>
                </w:tcPr>
                <w:p w14:paraId="30C333F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一般排放口</w:t>
                  </w:r>
                </w:p>
                <w:p w14:paraId="279364F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p>
              </w:tc>
            </w:tr>
          </w:tbl>
          <w:p w14:paraId="2E0845D0">
            <w:pPr>
              <w:adjustRightInd w:val="0"/>
              <w:snapToGrid w:val="0"/>
              <w:spacing w:line="360" w:lineRule="auto"/>
              <w:ind w:firstLine="480" w:firstLineChars="200"/>
              <w:rPr>
                <w:color w:val="auto"/>
                <w:sz w:val="24"/>
                <w:u w:val="none" w:color="auto"/>
              </w:rPr>
            </w:pPr>
            <w:r>
              <w:rPr>
                <w:rFonts w:hint="eastAsia"/>
                <w:color w:val="auto"/>
                <w:sz w:val="24"/>
                <w:u w:val="none" w:color="auto"/>
                <w:lang w:val="en-US" w:eastAsia="zh-CN"/>
              </w:rPr>
              <w:t>2.5</w:t>
            </w:r>
            <w:r>
              <w:rPr>
                <w:color w:val="auto"/>
                <w:sz w:val="24"/>
                <w:u w:val="none" w:color="auto"/>
              </w:rPr>
              <w:t>废水间接排放口基本情况表</w:t>
            </w:r>
          </w:p>
          <w:p w14:paraId="708BD5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4"/>
                <w:szCs w:val="24"/>
                <w:highlight w:val="none"/>
                <w:u w:val="none" w:color="auto"/>
                <w:lang w:val="en-US" w:eastAsia="zh-CN" w:bidi="ar-SA"/>
              </w:rPr>
            </w:pPr>
            <w:bookmarkStart w:id="33" w:name="_Toc23679"/>
            <w:bookmarkStart w:id="34" w:name="_Toc1234"/>
            <w:bookmarkStart w:id="35" w:name="_Toc22015"/>
            <w:bookmarkStart w:id="36" w:name="_Toc7723"/>
            <w:r>
              <w:rPr>
                <w:rFonts w:hint="default" w:ascii="Times New Roman" w:hAnsi="Times New Roman" w:eastAsia="宋体" w:cs="Times New Roman"/>
                <w:b/>
                <w:bCs/>
                <w:color w:val="auto"/>
                <w:kern w:val="2"/>
                <w:sz w:val="24"/>
                <w:szCs w:val="24"/>
                <w:highlight w:val="none"/>
                <w:u w:val="none" w:color="auto"/>
                <w:lang w:val="en-US" w:eastAsia="zh-CN" w:bidi="ar-SA"/>
              </w:rPr>
              <w:t>表4-</w:t>
            </w:r>
            <w:r>
              <w:rPr>
                <w:rFonts w:hint="eastAsia" w:ascii="Times New Roman" w:hAnsi="Times New Roman" w:eastAsia="宋体" w:cs="Times New Roman"/>
                <w:b/>
                <w:bCs/>
                <w:color w:val="auto"/>
                <w:kern w:val="2"/>
                <w:sz w:val="24"/>
                <w:szCs w:val="24"/>
                <w:highlight w:val="none"/>
                <w:u w:val="none" w:color="auto"/>
                <w:lang w:val="en-US" w:eastAsia="zh-CN" w:bidi="ar-SA"/>
              </w:rPr>
              <w:t>12</w:t>
            </w:r>
            <w:r>
              <w:rPr>
                <w:rFonts w:hint="default" w:ascii="Times New Roman" w:hAnsi="Times New Roman" w:eastAsia="宋体" w:cs="Times New Roman"/>
                <w:b/>
                <w:bCs/>
                <w:color w:val="auto"/>
                <w:kern w:val="2"/>
                <w:sz w:val="24"/>
                <w:szCs w:val="24"/>
                <w:highlight w:val="none"/>
                <w:u w:val="none" w:color="auto"/>
                <w:lang w:val="en-US" w:eastAsia="zh-CN" w:bidi="ar-SA"/>
              </w:rPr>
              <w:t xml:space="preserve">       废水间接排放口基本情况表</w:t>
            </w:r>
            <w:bookmarkEnd w:id="33"/>
            <w:bookmarkEnd w:id="34"/>
            <w:bookmarkEnd w:id="35"/>
            <w:bookmarkEnd w:id="36"/>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57"/>
              <w:gridCol w:w="1395"/>
              <w:gridCol w:w="1303"/>
              <w:gridCol w:w="919"/>
              <w:gridCol w:w="784"/>
              <w:gridCol w:w="532"/>
              <w:gridCol w:w="649"/>
              <w:gridCol w:w="767"/>
              <w:gridCol w:w="789"/>
              <w:gridCol w:w="1116"/>
            </w:tblGrid>
            <w:tr w14:paraId="61421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70" w:type="pct"/>
                  <w:vMerge w:val="restart"/>
                  <w:tcBorders>
                    <w:tl2br w:val="nil"/>
                    <w:tr2bl w:val="nil"/>
                  </w:tcBorders>
                  <w:tcMar>
                    <w:top w:w="0" w:type="dxa"/>
                    <w:left w:w="28" w:type="dxa"/>
                    <w:bottom w:w="0" w:type="dxa"/>
                    <w:right w:w="28" w:type="dxa"/>
                  </w:tcMar>
                  <w:vAlign w:val="center"/>
                </w:tcPr>
                <w:p w14:paraId="2EB35BA2">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排放口编号</w:t>
                  </w:r>
                </w:p>
              </w:tc>
              <w:tc>
                <w:tcPr>
                  <w:tcW w:w="1480" w:type="pct"/>
                  <w:gridSpan w:val="2"/>
                  <w:tcBorders>
                    <w:tl2br w:val="nil"/>
                    <w:tr2bl w:val="nil"/>
                  </w:tcBorders>
                  <w:tcMar>
                    <w:top w:w="0" w:type="dxa"/>
                    <w:left w:w="28" w:type="dxa"/>
                    <w:bottom w:w="0" w:type="dxa"/>
                    <w:right w:w="28" w:type="dxa"/>
                  </w:tcMar>
                  <w:vAlign w:val="center"/>
                </w:tcPr>
                <w:p w14:paraId="29692027">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排放口地理坐标</w:t>
                  </w:r>
                </w:p>
              </w:tc>
              <w:tc>
                <w:tcPr>
                  <w:tcW w:w="504" w:type="pct"/>
                  <w:vMerge w:val="restart"/>
                  <w:tcBorders>
                    <w:tl2br w:val="nil"/>
                    <w:tr2bl w:val="nil"/>
                  </w:tcBorders>
                  <w:tcMar>
                    <w:top w:w="0" w:type="dxa"/>
                    <w:left w:w="28" w:type="dxa"/>
                    <w:bottom w:w="0" w:type="dxa"/>
                    <w:right w:w="28" w:type="dxa"/>
                  </w:tcMar>
                  <w:vAlign w:val="center"/>
                </w:tcPr>
                <w:p w14:paraId="0548B929">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废水排放量m</w:t>
                  </w:r>
                  <w:r>
                    <w:rPr>
                      <w:rFonts w:hint="default" w:ascii="Times New Roman" w:hAnsi="Times New Roman" w:eastAsia="宋体" w:cs="Times New Roman"/>
                      <w:color w:val="auto"/>
                      <w:sz w:val="21"/>
                      <w:szCs w:val="21"/>
                      <w:u w:val="none" w:color="auto"/>
                      <w:vertAlign w:val="superscript"/>
                    </w:rPr>
                    <w:t>3</w:t>
                  </w:r>
                  <w:r>
                    <w:rPr>
                      <w:rFonts w:hint="default" w:ascii="Times New Roman" w:hAnsi="Times New Roman" w:eastAsia="宋体" w:cs="Times New Roman"/>
                      <w:color w:val="auto"/>
                      <w:sz w:val="21"/>
                      <w:szCs w:val="21"/>
                      <w:u w:val="none" w:color="auto"/>
                    </w:rPr>
                    <w:t>/a</w:t>
                  </w:r>
                </w:p>
              </w:tc>
              <w:tc>
                <w:tcPr>
                  <w:tcW w:w="430" w:type="pct"/>
                  <w:vMerge w:val="restart"/>
                  <w:tcBorders>
                    <w:tl2br w:val="nil"/>
                    <w:tr2bl w:val="nil"/>
                  </w:tcBorders>
                  <w:tcMar>
                    <w:top w:w="0" w:type="dxa"/>
                    <w:left w:w="28" w:type="dxa"/>
                    <w:bottom w:w="0" w:type="dxa"/>
                    <w:right w:w="28" w:type="dxa"/>
                  </w:tcMar>
                  <w:vAlign w:val="center"/>
                </w:tcPr>
                <w:p w14:paraId="24A04415">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排放去向</w:t>
                  </w:r>
                </w:p>
              </w:tc>
              <w:tc>
                <w:tcPr>
                  <w:tcW w:w="292" w:type="pct"/>
                  <w:vMerge w:val="restart"/>
                  <w:tcBorders>
                    <w:tl2br w:val="nil"/>
                    <w:tr2bl w:val="nil"/>
                  </w:tcBorders>
                  <w:tcMar>
                    <w:top w:w="0" w:type="dxa"/>
                    <w:left w:w="28" w:type="dxa"/>
                    <w:bottom w:w="0" w:type="dxa"/>
                    <w:right w:w="28" w:type="dxa"/>
                  </w:tcMar>
                  <w:vAlign w:val="center"/>
                </w:tcPr>
                <w:p w14:paraId="22F38DC9">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排放规律</w:t>
                  </w:r>
                </w:p>
              </w:tc>
              <w:tc>
                <w:tcPr>
                  <w:tcW w:w="356" w:type="pct"/>
                  <w:vMerge w:val="restart"/>
                  <w:tcBorders>
                    <w:tl2br w:val="nil"/>
                    <w:tr2bl w:val="nil"/>
                  </w:tcBorders>
                  <w:tcMar>
                    <w:top w:w="0" w:type="dxa"/>
                    <w:left w:w="28" w:type="dxa"/>
                    <w:bottom w:w="0" w:type="dxa"/>
                    <w:right w:w="28" w:type="dxa"/>
                  </w:tcMar>
                  <w:vAlign w:val="center"/>
                </w:tcPr>
                <w:p w14:paraId="58E29D51">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间歇排放时段</w:t>
                  </w:r>
                </w:p>
              </w:tc>
              <w:tc>
                <w:tcPr>
                  <w:tcW w:w="1466" w:type="pct"/>
                  <w:gridSpan w:val="3"/>
                  <w:tcBorders>
                    <w:tl2br w:val="nil"/>
                    <w:tr2bl w:val="nil"/>
                  </w:tcBorders>
                  <w:tcMar>
                    <w:top w:w="0" w:type="dxa"/>
                    <w:left w:w="28" w:type="dxa"/>
                    <w:bottom w:w="0" w:type="dxa"/>
                    <w:right w:w="28" w:type="dxa"/>
                  </w:tcMar>
                  <w:vAlign w:val="center"/>
                </w:tcPr>
                <w:p w14:paraId="6DF09CB3">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受纳污水处理厂信息</w:t>
                  </w:r>
                </w:p>
              </w:tc>
            </w:tr>
            <w:tr w14:paraId="763E7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70" w:type="pct"/>
                  <w:vMerge w:val="continue"/>
                  <w:tcBorders>
                    <w:tl2br w:val="nil"/>
                    <w:tr2bl w:val="nil"/>
                  </w:tcBorders>
                  <w:tcMar>
                    <w:top w:w="0" w:type="dxa"/>
                    <w:left w:w="28" w:type="dxa"/>
                    <w:bottom w:w="0" w:type="dxa"/>
                    <w:right w:w="28" w:type="dxa"/>
                  </w:tcMar>
                  <w:vAlign w:val="center"/>
                </w:tcPr>
                <w:p w14:paraId="6F1DD2A1">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p>
              </w:tc>
              <w:tc>
                <w:tcPr>
                  <w:tcW w:w="765" w:type="pct"/>
                  <w:tcBorders>
                    <w:tl2br w:val="nil"/>
                    <w:tr2bl w:val="nil"/>
                  </w:tcBorders>
                  <w:tcMar>
                    <w:top w:w="0" w:type="dxa"/>
                    <w:left w:w="28" w:type="dxa"/>
                    <w:bottom w:w="0" w:type="dxa"/>
                    <w:right w:w="28" w:type="dxa"/>
                  </w:tcMar>
                  <w:vAlign w:val="center"/>
                </w:tcPr>
                <w:p w14:paraId="2ABB9089">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经度</w:t>
                  </w:r>
                </w:p>
              </w:tc>
              <w:tc>
                <w:tcPr>
                  <w:tcW w:w="714" w:type="pct"/>
                  <w:tcBorders>
                    <w:tl2br w:val="nil"/>
                    <w:tr2bl w:val="nil"/>
                  </w:tcBorders>
                  <w:tcMar>
                    <w:top w:w="0" w:type="dxa"/>
                    <w:left w:w="28" w:type="dxa"/>
                    <w:bottom w:w="0" w:type="dxa"/>
                    <w:right w:w="28" w:type="dxa"/>
                  </w:tcMar>
                  <w:vAlign w:val="center"/>
                </w:tcPr>
                <w:p w14:paraId="46AD2785">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纬度</w:t>
                  </w:r>
                </w:p>
              </w:tc>
              <w:tc>
                <w:tcPr>
                  <w:tcW w:w="504" w:type="pct"/>
                  <w:vMerge w:val="continue"/>
                  <w:tcBorders>
                    <w:tl2br w:val="nil"/>
                    <w:tr2bl w:val="nil"/>
                  </w:tcBorders>
                  <w:tcMar>
                    <w:top w:w="0" w:type="dxa"/>
                    <w:left w:w="28" w:type="dxa"/>
                    <w:bottom w:w="0" w:type="dxa"/>
                    <w:right w:w="28" w:type="dxa"/>
                  </w:tcMar>
                  <w:vAlign w:val="center"/>
                </w:tcPr>
                <w:p w14:paraId="2342B4A6">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p>
              </w:tc>
              <w:tc>
                <w:tcPr>
                  <w:tcW w:w="430" w:type="pct"/>
                  <w:vMerge w:val="continue"/>
                  <w:tcBorders>
                    <w:tl2br w:val="nil"/>
                    <w:tr2bl w:val="nil"/>
                  </w:tcBorders>
                  <w:tcMar>
                    <w:top w:w="0" w:type="dxa"/>
                    <w:left w:w="28" w:type="dxa"/>
                    <w:bottom w:w="0" w:type="dxa"/>
                    <w:right w:w="28" w:type="dxa"/>
                  </w:tcMar>
                  <w:vAlign w:val="center"/>
                </w:tcPr>
                <w:p w14:paraId="074D489A">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p>
              </w:tc>
              <w:tc>
                <w:tcPr>
                  <w:tcW w:w="292" w:type="pct"/>
                  <w:vMerge w:val="continue"/>
                  <w:tcBorders>
                    <w:tl2br w:val="nil"/>
                    <w:tr2bl w:val="nil"/>
                  </w:tcBorders>
                  <w:tcMar>
                    <w:top w:w="0" w:type="dxa"/>
                    <w:left w:w="28" w:type="dxa"/>
                    <w:bottom w:w="0" w:type="dxa"/>
                    <w:right w:w="28" w:type="dxa"/>
                  </w:tcMar>
                  <w:vAlign w:val="center"/>
                </w:tcPr>
                <w:p w14:paraId="7ADEAAC6">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p>
              </w:tc>
              <w:tc>
                <w:tcPr>
                  <w:tcW w:w="356" w:type="pct"/>
                  <w:vMerge w:val="continue"/>
                  <w:tcBorders>
                    <w:tl2br w:val="nil"/>
                    <w:tr2bl w:val="nil"/>
                  </w:tcBorders>
                  <w:tcMar>
                    <w:top w:w="0" w:type="dxa"/>
                    <w:left w:w="28" w:type="dxa"/>
                    <w:bottom w:w="0" w:type="dxa"/>
                    <w:right w:w="28" w:type="dxa"/>
                  </w:tcMar>
                  <w:vAlign w:val="center"/>
                </w:tcPr>
                <w:p w14:paraId="78E2255B">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p>
              </w:tc>
              <w:tc>
                <w:tcPr>
                  <w:tcW w:w="421" w:type="pct"/>
                  <w:tcBorders>
                    <w:tl2br w:val="nil"/>
                    <w:tr2bl w:val="nil"/>
                  </w:tcBorders>
                  <w:tcMar>
                    <w:top w:w="0" w:type="dxa"/>
                    <w:left w:w="28" w:type="dxa"/>
                    <w:bottom w:w="0" w:type="dxa"/>
                    <w:right w:w="28" w:type="dxa"/>
                  </w:tcMar>
                  <w:vAlign w:val="center"/>
                </w:tcPr>
                <w:p w14:paraId="2C2B16FD">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名称</w:t>
                  </w:r>
                </w:p>
              </w:tc>
              <w:tc>
                <w:tcPr>
                  <w:tcW w:w="433" w:type="pct"/>
                  <w:tcBorders>
                    <w:tl2br w:val="nil"/>
                    <w:tr2bl w:val="nil"/>
                  </w:tcBorders>
                  <w:tcMar>
                    <w:top w:w="0" w:type="dxa"/>
                    <w:left w:w="28" w:type="dxa"/>
                    <w:bottom w:w="0" w:type="dxa"/>
                    <w:right w:w="28" w:type="dxa"/>
                  </w:tcMar>
                  <w:vAlign w:val="center"/>
                </w:tcPr>
                <w:p w14:paraId="2D578EA8">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污染物种类</w:t>
                  </w:r>
                </w:p>
              </w:tc>
              <w:tc>
                <w:tcPr>
                  <w:tcW w:w="610" w:type="pct"/>
                  <w:tcBorders>
                    <w:tl2br w:val="nil"/>
                    <w:tr2bl w:val="nil"/>
                  </w:tcBorders>
                  <w:tcMar>
                    <w:top w:w="0" w:type="dxa"/>
                    <w:left w:w="28" w:type="dxa"/>
                    <w:bottom w:w="0" w:type="dxa"/>
                    <w:right w:w="28" w:type="dxa"/>
                  </w:tcMar>
                  <w:vAlign w:val="center"/>
                </w:tcPr>
                <w:p w14:paraId="5FBE7981">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国家或地方污染物排放标准浓度mg/L</w:t>
                  </w:r>
                </w:p>
              </w:tc>
            </w:tr>
            <w:tr w14:paraId="19C0F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70" w:type="pct"/>
                  <w:vMerge w:val="restart"/>
                  <w:tcBorders>
                    <w:tl2br w:val="nil"/>
                    <w:tr2bl w:val="nil"/>
                  </w:tcBorders>
                  <w:tcMar>
                    <w:top w:w="0" w:type="dxa"/>
                    <w:left w:w="28" w:type="dxa"/>
                    <w:bottom w:w="0" w:type="dxa"/>
                    <w:right w:w="28" w:type="dxa"/>
                  </w:tcMar>
                  <w:vAlign w:val="center"/>
                </w:tcPr>
                <w:p w14:paraId="5D8B0C92">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DW001</w:t>
                  </w:r>
                </w:p>
              </w:tc>
              <w:tc>
                <w:tcPr>
                  <w:tcW w:w="765" w:type="pct"/>
                  <w:vMerge w:val="restart"/>
                  <w:tcBorders>
                    <w:tl2br w:val="nil"/>
                    <w:tr2bl w:val="nil"/>
                  </w:tcBorders>
                  <w:tcMar>
                    <w:top w:w="0" w:type="dxa"/>
                    <w:left w:w="28" w:type="dxa"/>
                    <w:bottom w:w="0" w:type="dxa"/>
                    <w:right w:w="28" w:type="dxa"/>
                  </w:tcMar>
                  <w:vAlign w:val="center"/>
                </w:tcPr>
                <w:p w14:paraId="1C76A20E">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112.25186597</w:t>
                  </w:r>
                </w:p>
              </w:tc>
              <w:tc>
                <w:tcPr>
                  <w:tcW w:w="714" w:type="pct"/>
                  <w:vMerge w:val="restart"/>
                  <w:tcBorders>
                    <w:tl2br w:val="nil"/>
                    <w:tr2bl w:val="nil"/>
                  </w:tcBorders>
                  <w:tcMar>
                    <w:top w:w="0" w:type="dxa"/>
                    <w:left w:w="28" w:type="dxa"/>
                    <w:bottom w:w="0" w:type="dxa"/>
                    <w:right w:w="28" w:type="dxa"/>
                  </w:tcMar>
                  <w:vAlign w:val="center"/>
                </w:tcPr>
                <w:p w14:paraId="44BF4281">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33.03688155</w:t>
                  </w:r>
                </w:p>
              </w:tc>
              <w:tc>
                <w:tcPr>
                  <w:tcW w:w="504" w:type="pct"/>
                  <w:vMerge w:val="restart"/>
                  <w:tcBorders>
                    <w:tl2br w:val="nil"/>
                    <w:tr2bl w:val="nil"/>
                  </w:tcBorders>
                  <w:tcMar>
                    <w:top w:w="0" w:type="dxa"/>
                    <w:left w:w="28" w:type="dxa"/>
                    <w:bottom w:w="0" w:type="dxa"/>
                    <w:right w:w="28" w:type="dxa"/>
                  </w:tcMar>
                  <w:vAlign w:val="center"/>
                </w:tcPr>
                <w:p w14:paraId="04319925">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37510.92</w:t>
                  </w:r>
                </w:p>
              </w:tc>
              <w:tc>
                <w:tcPr>
                  <w:tcW w:w="430" w:type="pct"/>
                  <w:vMerge w:val="restart"/>
                  <w:tcBorders>
                    <w:tl2br w:val="nil"/>
                    <w:tr2bl w:val="nil"/>
                  </w:tcBorders>
                  <w:tcMar>
                    <w:top w:w="0" w:type="dxa"/>
                    <w:left w:w="28" w:type="dxa"/>
                    <w:bottom w:w="0" w:type="dxa"/>
                    <w:right w:w="28" w:type="dxa"/>
                  </w:tcMar>
                  <w:vAlign w:val="center"/>
                </w:tcPr>
                <w:p w14:paraId="78A9709E">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镇平县污水处理中心</w:t>
                  </w:r>
                </w:p>
              </w:tc>
              <w:tc>
                <w:tcPr>
                  <w:tcW w:w="292" w:type="pct"/>
                  <w:vMerge w:val="restart"/>
                  <w:tcBorders>
                    <w:tl2br w:val="nil"/>
                    <w:tr2bl w:val="nil"/>
                  </w:tcBorders>
                  <w:tcMar>
                    <w:top w:w="0" w:type="dxa"/>
                    <w:left w:w="28" w:type="dxa"/>
                    <w:bottom w:w="0" w:type="dxa"/>
                    <w:right w:w="28" w:type="dxa"/>
                  </w:tcMar>
                  <w:vAlign w:val="center"/>
                </w:tcPr>
                <w:p w14:paraId="1C2FD989">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间歇排放</w:t>
                  </w:r>
                </w:p>
              </w:tc>
              <w:tc>
                <w:tcPr>
                  <w:tcW w:w="356" w:type="pct"/>
                  <w:vMerge w:val="restart"/>
                  <w:tcBorders>
                    <w:tl2br w:val="nil"/>
                    <w:tr2bl w:val="nil"/>
                  </w:tcBorders>
                  <w:tcMar>
                    <w:top w:w="0" w:type="dxa"/>
                    <w:left w:w="28" w:type="dxa"/>
                    <w:bottom w:w="0" w:type="dxa"/>
                    <w:right w:w="28" w:type="dxa"/>
                  </w:tcMar>
                  <w:vAlign w:val="center"/>
                </w:tcPr>
                <w:p w14:paraId="5C04A101">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421" w:type="pct"/>
                  <w:vMerge w:val="restart"/>
                  <w:tcBorders>
                    <w:tl2br w:val="nil"/>
                    <w:tr2bl w:val="nil"/>
                  </w:tcBorders>
                  <w:tcMar>
                    <w:top w:w="0" w:type="dxa"/>
                    <w:left w:w="28" w:type="dxa"/>
                    <w:bottom w:w="0" w:type="dxa"/>
                    <w:right w:w="28" w:type="dxa"/>
                  </w:tcMar>
                  <w:vAlign w:val="center"/>
                </w:tcPr>
                <w:p w14:paraId="549425A0">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镇平县污水处理中心</w:t>
                  </w:r>
                </w:p>
              </w:tc>
              <w:tc>
                <w:tcPr>
                  <w:tcW w:w="433" w:type="pct"/>
                  <w:tcBorders>
                    <w:tl2br w:val="nil"/>
                    <w:tr2bl w:val="nil"/>
                  </w:tcBorders>
                  <w:tcMar>
                    <w:top w:w="0" w:type="dxa"/>
                    <w:left w:w="28" w:type="dxa"/>
                    <w:bottom w:w="0" w:type="dxa"/>
                    <w:right w:w="28" w:type="dxa"/>
                  </w:tcMar>
                  <w:vAlign w:val="center"/>
                </w:tcPr>
                <w:p w14:paraId="4DB3B7F3">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COD</w:t>
                  </w:r>
                </w:p>
              </w:tc>
              <w:tc>
                <w:tcPr>
                  <w:tcW w:w="610" w:type="pct"/>
                  <w:tcBorders>
                    <w:tl2br w:val="nil"/>
                    <w:tr2bl w:val="nil"/>
                  </w:tcBorders>
                  <w:tcMar>
                    <w:top w:w="0" w:type="dxa"/>
                    <w:left w:w="28" w:type="dxa"/>
                    <w:bottom w:w="0" w:type="dxa"/>
                    <w:right w:w="28" w:type="dxa"/>
                  </w:tcMar>
                  <w:vAlign w:val="center"/>
                </w:tcPr>
                <w:p w14:paraId="45C56B7A">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50</w:t>
                  </w:r>
                </w:p>
              </w:tc>
            </w:tr>
            <w:tr w14:paraId="76B2C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70" w:type="pct"/>
                  <w:vMerge w:val="continue"/>
                  <w:tcBorders>
                    <w:tl2br w:val="nil"/>
                    <w:tr2bl w:val="nil"/>
                  </w:tcBorders>
                  <w:tcMar>
                    <w:top w:w="0" w:type="dxa"/>
                    <w:left w:w="28" w:type="dxa"/>
                    <w:bottom w:w="0" w:type="dxa"/>
                    <w:right w:w="28" w:type="dxa"/>
                  </w:tcMar>
                  <w:vAlign w:val="center"/>
                </w:tcPr>
                <w:p w14:paraId="438B8418">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p>
              </w:tc>
              <w:tc>
                <w:tcPr>
                  <w:tcW w:w="765" w:type="pct"/>
                  <w:vMerge w:val="continue"/>
                  <w:tcBorders>
                    <w:tl2br w:val="nil"/>
                    <w:tr2bl w:val="nil"/>
                  </w:tcBorders>
                  <w:tcMar>
                    <w:top w:w="0" w:type="dxa"/>
                    <w:left w:w="28" w:type="dxa"/>
                    <w:bottom w:w="0" w:type="dxa"/>
                    <w:right w:w="28" w:type="dxa"/>
                  </w:tcMar>
                  <w:vAlign w:val="center"/>
                </w:tcPr>
                <w:p w14:paraId="774F1114">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p>
              </w:tc>
              <w:tc>
                <w:tcPr>
                  <w:tcW w:w="714" w:type="pct"/>
                  <w:vMerge w:val="continue"/>
                  <w:tcBorders>
                    <w:tl2br w:val="nil"/>
                    <w:tr2bl w:val="nil"/>
                  </w:tcBorders>
                  <w:tcMar>
                    <w:top w:w="0" w:type="dxa"/>
                    <w:left w:w="28" w:type="dxa"/>
                    <w:bottom w:w="0" w:type="dxa"/>
                    <w:right w:w="28" w:type="dxa"/>
                  </w:tcMar>
                  <w:vAlign w:val="center"/>
                </w:tcPr>
                <w:p w14:paraId="181E436C">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p>
              </w:tc>
              <w:tc>
                <w:tcPr>
                  <w:tcW w:w="504" w:type="pct"/>
                  <w:vMerge w:val="continue"/>
                  <w:tcBorders>
                    <w:tl2br w:val="nil"/>
                    <w:tr2bl w:val="nil"/>
                  </w:tcBorders>
                  <w:tcMar>
                    <w:top w:w="0" w:type="dxa"/>
                    <w:left w:w="28" w:type="dxa"/>
                    <w:bottom w:w="0" w:type="dxa"/>
                    <w:right w:w="28" w:type="dxa"/>
                  </w:tcMar>
                  <w:vAlign w:val="center"/>
                </w:tcPr>
                <w:p w14:paraId="406A53E4">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p>
              </w:tc>
              <w:tc>
                <w:tcPr>
                  <w:tcW w:w="430" w:type="pct"/>
                  <w:vMerge w:val="continue"/>
                  <w:tcBorders>
                    <w:tl2br w:val="nil"/>
                    <w:tr2bl w:val="nil"/>
                  </w:tcBorders>
                  <w:tcMar>
                    <w:top w:w="0" w:type="dxa"/>
                    <w:left w:w="28" w:type="dxa"/>
                    <w:bottom w:w="0" w:type="dxa"/>
                    <w:right w:w="28" w:type="dxa"/>
                  </w:tcMar>
                  <w:vAlign w:val="center"/>
                </w:tcPr>
                <w:p w14:paraId="3547F7C3">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p>
              </w:tc>
              <w:tc>
                <w:tcPr>
                  <w:tcW w:w="292" w:type="pct"/>
                  <w:vMerge w:val="continue"/>
                  <w:tcBorders>
                    <w:tl2br w:val="nil"/>
                    <w:tr2bl w:val="nil"/>
                  </w:tcBorders>
                  <w:tcMar>
                    <w:top w:w="0" w:type="dxa"/>
                    <w:left w:w="28" w:type="dxa"/>
                    <w:bottom w:w="0" w:type="dxa"/>
                    <w:right w:w="28" w:type="dxa"/>
                  </w:tcMar>
                  <w:vAlign w:val="center"/>
                </w:tcPr>
                <w:p w14:paraId="27CE79A3">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p>
              </w:tc>
              <w:tc>
                <w:tcPr>
                  <w:tcW w:w="356" w:type="pct"/>
                  <w:vMerge w:val="continue"/>
                  <w:tcBorders>
                    <w:tl2br w:val="nil"/>
                    <w:tr2bl w:val="nil"/>
                  </w:tcBorders>
                  <w:tcMar>
                    <w:top w:w="0" w:type="dxa"/>
                    <w:left w:w="28" w:type="dxa"/>
                    <w:bottom w:w="0" w:type="dxa"/>
                    <w:right w:w="28" w:type="dxa"/>
                  </w:tcMar>
                  <w:vAlign w:val="center"/>
                </w:tcPr>
                <w:p w14:paraId="5E2A0E55">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p>
              </w:tc>
              <w:tc>
                <w:tcPr>
                  <w:tcW w:w="421" w:type="pct"/>
                  <w:vMerge w:val="continue"/>
                  <w:tcBorders>
                    <w:tl2br w:val="nil"/>
                    <w:tr2bl w:val="nil"/>
                  </w:tcBorders>
                  <w:tcMar>
                    <w:top w:w="0" w:type="dxa"/>
                    <w:left w:w="28" w:type="dxa"/>
                    <w:bottom w:w="0" w:type="dxa"/>
                    <w:right w:w="28" w:type="dxa"/>
                  </w:tcMar>
                  <w:vAlign w:val="center"/>
                </w:tcPr>
                <w:p w14:paraId="0AF104CD">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p>
              </w:tc>
              <w:tc>
                <w:tcPr>
                  <w:tcW w:w="433" w:type="pct"/>
                  <w:tcBorders>
                    <w:tl2br w:val="nil"/>
                    <w:tr2bl w:val="nil"/>
                  </w:tcBorders>
                  <w:tcMar>
                    <w:top w:w="0" w:type="dxa"/>
                    <w:left w:w="28" w:type="dxa"/>
                    <w:bottom w:w="0" w:type="dxa"/>
                    <w:right w:w="28" w:type="dxa"/>
                  </w:tcMar>
                  <w:vAlign w:val="center"/>
                </w:tcPr>
                <w:p w14:paraId="5E846015">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NH</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rPr>
                    <w:t>-N</w:t>
                  </w:r>
                </w:p>
              </w:tc>
              <w:tc>
                <w:tcPr>
                  <w:tcW w:w="610" w:type="pct"/>
                  <w:tcBorders>
                    <w:tl2br w:val="nil"/>
                    <w:tr2bl w:val="nil"/>
                  </w:tcBorders>
                  <w:tcMar>
                    <w:top w:w="0" w:type="dxa"/>
                    <w:left w:w="28" w:type="dxa"/>
                    <w:bottom w:w="0" w:type="dxa"/>
                    <w:right w:w="28" w:type="dxa"/>
                  </w:tcMar>
                  <w:vAlign w:val="center"/>
                </w:tcPr>
                <w:p w14:paraId="1D118B06">
                  <w:pPr>
                    <w:tabs>
                      <w:tab w:val="left" w:pos="4500"/>
                    </w:tabs>
                    <w:adjustRightInd w:val="0"/>
                    <w:snapToGrid w:val="0"/>
                    <w:jc w:val="center"/>
                    <w:textAlignment w:val="baseline"/>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5</w:t>
                  </w:r>
                </w:p>
              </w:tc>
            </w:tr>
          </w:tbl>
          <w:p w14:paraId="03B983A2">
            <w:pPr>
              <w:widowControl/>
              <w:adjustRightInd w:val="0"/>
              <w:snapToGrid w:val="0"/>
              <w:spacing w:line="360" w:lineRule="auto"/>
              <w:ind w:firstLine="480" w:firstLineChars="200"/>
              <w:rPr>
                <w:color w:val="auto"/>
                <w:sz w:val="24"/>
                <w:u w:val="none" w:color="auto"/>
              </w:rPr>
            </w:pPr>
            <w:r>
              <w:rPr>
                <w:rFonts w:hint="eastAsia"/>
                <w:color w:val="auto"/>
                <w:sz w:val="24"/>
                <w:u w:val="none" w:color="auto"/>
              </w:rPr>
              <w:t>2.</w:t>
            </w:r>
            <w:r>
              <w:rPr>
                <w:rFonts w:hint="eastAsia"/>
                <w:color w:val="auto"/>
                <w:sz w:val="24"/>
                <w:u w:val="none" w:color="auto"/>
                <w:lang w:val="en-US" w:eastAsia="zh-CN"/>
              </w:rPr>
              <w:t>6</w:t>
            </w:r>
            <w:r>
              <w:rPr>
                <w:color w:val="auto"/>
                <w:sz w:val="24"/>
                <w:u w:val="none" w:color="auto"/>
              </w:rPr>
              <w:t>项目废水排放量核算</w:t>
            </w:r>
          </w:p>
          <w:p w14:paraId="73A0C3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4"/>
                <w:szCs w:val="24"/>
                <w:highlight w:val="none"/>
                <w:u w:val="none" w:color="auto"/>
                <w:lang w:val="en-US" w:eastAsia="zh-CN" w:bidi="ar-SA"/>
              </w:rPr>
            </w:pPr>
            <w:bookmarkStart w:id="37" w:name="_Toc4460"/>
            <w:bookmarkStart w:id="38" w:name="_Toc26223"/>
            <w:bookmarkStart w:id="39" w:name="_Toc29845"/>
            <w:bookmarkStart w:id="40" w:name="_Toc10794"/>
            <w:r>
              <w:rPr>
                <w:rFonts w:hint="default" w:ascii="Times New Roman" w:hAnsi="Times New Roman" w:eastAsia="宋体" w:cs="Times New Roman"/>
                <w:b/>
                <w:bCs/>
                <w:color w:val="auto"/>
                <w:kern w:val="2"/>
                <w:sz w:val="24"/>
                <w:szCs w:val="24"/>
                <w:highlight w:val="none"/>
                <w:u w:val="none" w:color="auto"/>
                <w:lang w:val="en-US" w:eastAsia="zh-CN" w:bidi="ar-SA"/>
              </w:rPr>
              <w:t>表4-13        废水污染物排放量核算表</w:t>
            </w:r>
            <w:bookmarkEnd w:id="37"/>
            <w:bookmarkEnd w:id="38"/>
            <w:bookmarkEnd w:id="39"/>
            <w:bookmarkEnd w:id="40"/>
          </w:p>
          <w:tbl>
            <w:tblPr>
              <w:tblStyle w:val="35"/>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854"/>
              <w:gridCol w:w="1435"/>
              <w:gridCol w:w="1436"/>
              <w:gridCol w:w="1948"/>
              <w:gridCol w:w="1729"/>
              <w:gridCol w:w="1704"/>
            </w:tblGrid>
            <w:tr w14:paraId="5BFC1B1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9" w:type="pct"/>
                  <w:vAlign w:val="center"/>
                </w:tcPr>
                <w:p w14:paraId="26B42896">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序号</w:t>
                  </w:r>
                </w:p>
              </w:tc>
              <w:tc>
                <w:tcPr>
                  <w:tcW w:w="787" w:type="pct"/>
                  <w:vAlign w:val="center"/>
                </w:tcPr>
                <w:p w14:paraId="5FAEEF2B">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排放口编号</w:t>
                  </w:r>
                </w:p>
              </w:tc>
              <w:tc>
                <w:tcPr>
                  <w:tcW w:w="788" w:type="pct"/>
                  <w:vAlign w:val="center"/>
                </w:tcPr>
                <w:p w14:paraId="78BDD9FB">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污染物种类</w:t>
                  </w:r>
                </w:p>
              </w:tc>
              <w:tc>
                <w:tcPr>
                  <w:tcW w:w="1069" w:type="pct"/>
                  <w:vAlign w:val="center"/>
                </w:tcPr>
                <w:p w14:paraId="3A2E1276">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排放浓度mg/L</w:t>
                  </w:r>
                </w:p>
              </w:tc>
              <w:tc>
                <w:tcPr>
                  <w:tcW w:w="948" w:type="pct"/>
                  <w:vAlign w:val="center"/>
                </w:tcPr>
                <w:p w14:paraId="6DFBD56E">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日排放量kg/d</w:t>
                  </w:r>
                </w:p>
              </w:tc>
              <w:tc>
                <w:tcPr>
                  <w:tcW w:w="935" w:type="pct"/>
                  <w:vAlign w:val="center"/>
                </w:tcPr>
                <w:p w14:paraId="76D920AE">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年排放量t/a</w:t>
                  </w:r>
                </w:p>
              </w:tc>
            </w:tr>
            <w:tr w14:paraId="46E8A19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9" w:type="pct"/>
                  <w:vMerge w:val="restart"/>
                  <w:vAlign w:val="center"/>
                </w:tcPr>
                <w:p w14:paraId="22C46BEC">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1</w:t>
                  </w:r>
                </w:p>
              </w:tc>
              <w:tc>
                <w:tcPr>
                  <w:tcW w:w="787" w:type="pct"/>
                  <w:vMerge w:val="restart"/>
                  <w:vAlign w:val="center"/>
                </w:tcPr>
                <w:p w14:paraId="584463D9">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DW001</w:t>
                  </w:r>
                </w:p>
              </w:tc>
              <w:tc>
                <w:tcPr>
                  <w:tcW w:w="788" w:type="pct"/>
                  <w:vAlign w:val="center"/>
                </w:tcPr>
                <w:p w14:paraId="39C35FED">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COD</w:t>
                  </w:r>
                </w:p>
              </w:tc>
              <w:tc>
                <w:tcPr>
                  <w:tcW w:w="1069" w:type="pct"/>
                  <w:vAlign w:val="center"/>
                </w:tcPr>
                <w:p w14:paraId="3CF7A1E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242.97 </w:t>
                  </w:r>
                </w:p>
              </w:tc>
              <w:tc>
                <w:tcPr>
                  <w:tcW w:w="948" w:type="pct"/>
                  <w:vAlign w:val="center"/>
                </w:tcPr>
                <w:p w14:paraId="6DB0843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127.70 </w:t>
                  </w:r>
                </w:p>
              </w:tc>
              <w:tc>
                <w:tcPr>
                  <w:tcW w:w="935" w:type="pct"/>
                  <w:vAlign w:val="center"/>
                </w:tcPr>
                <w:p w14:paraId="250188A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25.54 </w:t>
                  </w:r>
                </w:p>
              </w:tc>
            </w:tr>
            <w:tr w14:paraId="3855CC9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9" w:type="pct"/>
                  <w:vMerge w:val="continue"/>
                  <w:vAlign w:val="center"/>
                </w:tcPr>
                <w:p w14:paraId="4DB57848">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p>
              </w:tc>
              <w:tc>
                <w:tcPr>
                  <w:tcW w:w="787" w:type="pct"/>
                  <w:vMerge w:val="continue"/>
                  <w:vAlign w:val="center"/>
                </w:tcPr>
                <w:p w14:paraId="03252D16">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p>
              </w:tc>
              <w:tc>
                <w:tcPr>
                  <w:tcW w:w="788" w:type="pct"/>
                  <w:vAlign w:val="center"/>
                </w:tcPr>
                <w:p w14:paraId="479E0E8E">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sz w:val="21"/>
                      <w:szCs w:val="21"/>
                      <w:u w:val="none" w:color="auto"/>
                    </w:rPr>
                    <w:t>BOD</w:t>
                  </w:r>
                  <w:r>
                    <w:rPr>
                      <w:rFonts w:hint="default" w:ascii="Times New Roman" w:hAnsi="Times New Roman" w:eastAsia="宋体" w:cs="Times New Roman"/>
                      <w:color w:val="auto"/>
                      <w:sz w:val="21"/>
                      <w:szCs w:val="21"/>
                      <w:u w:val="none" w:color="auto"/>
                      <w:vertAlign w:val="subscript"/>
                    </w:rPr>
                    <w:t>5</w:t>
                  </w:r>
                </w:p>
              </w:tc>
              <w:tc>
                <w:tcPr>
                  <w:tcW w:w="1069" w:type="pct"/>
                  <w:vAlign w:val="center"/>
                </w:tcPr>
                <w:p w14:paraId="43C87E3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99.67 </w:t>
                  </w:r>
                </w:p>
              </w:tc>
              <w:tc>
                <w:tcPr>
                  <w:tcW w:w="948" w:type="pct"/>
                  <w:vAlign w:val="center"/>
                </w:tcPr>
                <w:p w14:paraId="134B660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52.38 </w:t>
                  </w:r>
                </w:p>
              </w:tc>
              <w:tc>
                <w:tcPr>
                  <w:tcW w:w="935" w:type="pct"/>
                  <w:vAlign w:val="center"/>
                </w:tcPr>
                <w:p w14:paraId="2576526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10.48 </w:t>
                  </w:r>
                </w:p>
              </w:tc>
            </w:tr>
            <w:tr w14:paraId="4F9F2FF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9" w:type="pct"/>
                  <w:vMerge w:val="continue"/>
                  <w:vAlign w:val="center"/>
                </w:tcPr>
                <w:p w14:paraId="2466B80F">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p>
              </w:tc>
              <w:tc>
                <w:tcPr>
                  <w:tcW w:w="787" w:type="pct"/>
                  <w:vMerge w:val="continue"/>
                  <w:vAlign w:val="center"/>
                </w:tcPr>
                <w:p w14:paraId="03C552AA">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p>
              </w:tc>
              <w:tc>
                <w:tcPr>
                  <w:tcW w:w="788" w:type="pct"/>
                  <w:vAlign w:val="center"/>
                </w:tcPr>
                <w:p w14:paraId="7771D190">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NH</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rPr>
                    <w:t>-N</w:t>
                  </w:r>
                </w:p>
              </w:tc>
              <w:tc>
                <w:tcPr>
                  <w:tcW w:w="1069" w:type="pct"/>
                  <w:vAlign w:val="center"/>
                </w:tcPr>
                <w:p w14:paraId="0D01A2C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122.43 </w:t>
                  </w:r>
                </w:p>
              </w:tc>
              <w:tc>
                <w:tcPr>
                  <w:tcW w:w="948" w:type="pct"/>
                  <w:vAlign w:val="center"/>
                </w:tcPr>
                <w:p w14:paraId="670F8B7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64.35 </w:t>
                  </w:r>
                </w:p>
              </w:tc>
              <w:tc>
                <w:tcPr>
                  <w:tcW w:w="935" w:type="pct"/>
                  <w:vAlign w:val="center"/>
                </w:tcPr>
                <w:p w14:paraId="6B38626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12.87 </w:t>
                  </w:r>
                </w:p>
              </w:tc>
            </w:tr>
            <w:tr w14:paraId="2B181B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9" w:type="pct"/>
                  <w:vMerge w:val="continue"/>
                  <w:vAlign w:val="center"/>
                </w:tcPr>
                <w:p w14:paraId="57CB2652">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p>
              </w:tc>
              <w:tc>
                <w:tcPr>
                  <w:tcW w:w="787" w:type="pct"/>
                  <w:vMerge w:val="continue"/>
                  <w:vAlign w:val="center"/>
                </w:tcPr>
                <w:p w14:paraId="6BE5E712">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p>
              </w:tc>
              <w:tc>
                <w:tcPr>
                  <w:tcW w:w="788" w:type="pct"/>
                  <w:vAlign w:val="center"/>
                </w:tcPr>
                <w:p w14:paraId="09AD1F6A">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SS</w:t>
                  </w:r>
                </w:p>
              </w:tc>
              <w:tc>
                <w:tcPr>
                  <w:tcW w:w="1069" w:type="pct"/>
                  <w:vAlign w:val="center"/>
                </w:tcPr>
                <w:p w14:paraId="3C8EE2C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26.89 </w:t>
                  </w:r>
                </w:p>
              </w:tc>
              <w:tc>
                <w:tcPr>
                  <w:tcW w:w="948" w:type="pct"/>
                  <w:vAlign w:val="center"/>
                </w:tcPr>
                <w:p w14:paraId="4FA2A51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14.13 </w:t>
                  </w:r>
                </w:p>
              </w:tc>
              <w:tc>
                <w:tcPr>
                  <w:tcW w:w="935" w:type="pct"/>
                  <w:vAlign w:val="center"/>
                </w:tcPr>
                <w:p w14:paraId="6DDF95E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2.83 </w:t>
                  </w:r>
                </w:p>
              </w:tc>
            </w:tr>
            <w:tr w14:paraId="20693C0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9" w:type="pct"/>
                  <w:vMerge w:val="continue"/>
                  <w:vAlign w:val="center"/>
                </w:tcPr>
                <w:p w14:paraId="525C91FC">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p>
              </w:tc>
              <w:tc>
                <w:tcPr>
                  <w:tcW w:w="787" w:type="pct"/>
                  <w:vMerge w:val="continue"/>
                  <w:vAlign w:val="center"/>
                </w:tcPr>
                <w:p w14:paraId="54242227">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p>
              </w:tc>
              <w:tc>
                <w:tcPr>
                  <w:tcW w:w="788" w:type="pct"/>
                  <w:vAlign w:val="center"/>
                </w:tcPr>
                <w:p w14:paraId="0727F6D4">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动植物油</w:t>
                  </w:r>
                </w:p>
              </w:tc>
              <w:tc>
                <w:tcPr>
                  <w:tcW w:w="1069" w:type="pct"/>
                  <w:vAlign w:val="center"/>
                </w:tcPr>
                <w:p w14:paraId="4759B2B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1.10 </w:t>
                  </w:r>
                </w:p>
              </w:tc>
              <w:tc>
                <w:tcPr>
                  <w:tcW w:w="948" w:type="pct"/>
                  <w:vAlign w:val="center"/>
                </w:tcPr>
                <w:p w14:paraId="4087D19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0.58 </w:t>
                  </w:r>
                </w:p>
              </w:tc>
              <w:tc>
                <w:tcPr>
                  <w:tcW w:w="935" w:type="pct"/>
                  <w:vAlign w:val="center"/>
                </w:tcPr>
                <w:p w14:paraId="68CB23B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0.12 </w:t>
                  </w:r>
                </w:p>
              </w:tc>
            </w:tr>
            <w:tr w14:paraId="27F0391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57" w:type="pct"/>
                  <w:gridSpan w:val="2"/>
                  <w:vMerge w:val="restart"/>
                  <w:vAlign w:val="center"/>
                </w:tcPr>
                <w:p w14:paraId="5EFB09F2">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全厂排放口合计</w:t>
                  </w:r>
                </w:p>
              </w:tc>
              <w:tc>
                <w:tcPr>
                  <w:tcW w:w="2806" w:type="pct"/>
                  <w:gridSpan w:val="3"/>
                  <w:vAlign w:val="center"/>
                </w:tcPr>
                <w:p w14:paraId="3CA25B09">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 xml:space="preserve">COD </w:t>
                  </w:r>
                </w:p>
              </w:tc>
              <w:tc>
                <w:tcPr>
                  <w:tcW w:w="935" w:type="pct"/>
                  <w:vAlign w:val="center"/>
                </w:tcPr>
                <w:p w14:paraId="52F26C2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25.54 </w:t>
                  </w:r>
                </w:p>
              </w:tc>
            </w:tr>
            <w:tr w14:paraId="01222E1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57" w:type="pct"/>
                  <w:gridSpan w:val="2"/>
                  <w:vMerge w:val="continue"/>
                  <w:vAlign w:val="center"/>
                </w:tcPr>
                <w:p w14:paraId="77F52B9E">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p>
              </w:tc>
              <w:tc>
                <w:tcPr>
                  <w:tcW w:w="2806" w:type="pct"/>
                  <w:gridSpan w:val="3"/>
                  <w:vAlign w:val="center"/>
                </w:tcPr>
                <w:p w14:paraId="06A9962D">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sz w:val="21"/>
                      <w:szCs w:val="21"/>
                      <w:u w:val="none" w:color="auto"/>
                    </w:rPr>
                    <w:t>BOD</w:t>
                  </w:r>
                  <w:r>
                    <w:rPr>
                      <w:rFonts w:hint="default" w:ascii="Times New Roman" w:hAnsi="Times New Roman" w:eastAsia="宋体" w:cs="Times New Roman"/>
                      <w:color w:val="auto"/>
                      <w:sz w:val="21"/>
                      <w:szCs w:val="21"/>
                      <w:u w:val="none" w:color="auto"/>
                      <w:vertAlign w:val="subscript"/>
                    </w:rPr>
                    <w:t>5</w:t>
                  </w:r>
                </w:p>
              </w:tc>
              <w:tc>
                <w:tcPr>
                  <w:tcW w:w="935" w:type="pct"/>
                  <w:vAlign w:val="center"/>
                </w:tcPr>
                <w:p w14:paraId="48558C3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10.48 </w:t>
                  </w:r>
                </w:p>
              </w:tc>
            </w:tr>
            <w:tr w14:paraId="3F3B92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57" w:type="pct"/>
                  <w:gridSpan w:val="2"/>
                  <w:vMerge w:val="continue"/>
                  <w:vAlign w:val="center"/>
                </w:tcPr>
                <w:p w14:paraId="36B3816F">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p>
              </w:tc>
              <w:tc>
                <w:tcPr>
                  <w:tcW w:w="2806" w:type="pct"/>
                  <w:gridSpan w:val="3"/>
                  <w:vAlign w:val="center"/>
                </w:tcPr>
                <w:p w14:paraId="2363CB30">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NH</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rPr>
                    <w:t>-N</w:t>
                  </w:r>
                </w:p>
              </w:tc>
              <w:tc>
                <w:tcPr>
                  <w:tcW w:w="935" w:type="pct"/>
                  <w:vAlign w:val="center"/>
                </w:tcPr>
                <w:p w14:paraId="1274836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12.87 </w:t>
                  </w:r>
                </w:p>
              </w:tc>
            </w:tr>
            <w:tr w14:paraId="2B9B6ED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57" w:type="pct"/>
                  <w:gridSpan w:val="2"/>
                  <w:vMerge w:val="continue"/>
                  <w:vAlign w:val="center"/>
                </w:tcPr>
                <w:p w14:paraId="18AC7836">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0"/>
                      <w:sz w:val="21"/>
                      <w:szCs w:val="21"/>
                      <w:u w:val="none" w:color="auto"/>
                    </w:rPr>
                  </w:pPr>
                </w:p>
              </w:tc>
              <w:tc>
                <w:tcPr>
                  <w:tcW w:w="2806" w:type="pct"/>
                  <w:gridSpan w:val="3"/>
                  <w:vAlign w:val="center"/>
                </w:tcPr>
                <w:p w14:paraId="5594F3FA">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SS</w:t>
                  </w:r>
                </w:p>
              </w:tc>
              <w:tc>
                <w:tcPr>
                  <w:tcW w:w="935" w:type="pct"/>
                  <w:vAlign w:val="center"/>
                </w:tcPr>
                <w:p w14:paraId="55060DB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i w:val="0"/>
                      <w:iCs w:val="0"/>
                      <w:snapToGrid w:val="0"/>
                      <w:color w:val="auto"/>
                      <w:kern w:val="0"/>
                      <w:sz w:val="21"/>
                      <w:szCs w:val="21"/>
                      <w:u w:val="none" w:color="auto"/>
                      <w:lang w:val="en-US" w:eastAsia="zh-CN" w:bidi="ar"/>
                    </w:rPr>
                    <w:t xml:space="preserve">2.83 </w:t>
                  </w:r>
                </w:p>
              </w:tc>
            </w:tr>
          </w:tbl>
          <w:p w14:paraId="31EE40A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2.</w:t>
            </w:r>
            <w:r>
              <w:rPr>
                <w:rFonts w:hint="default" w:ascii="Times New Roman" w:hAnsi="Times New Roman" w:eastAsia="宋体" w:cs="Times New Roman"/>
                <w:color w:val="auto"/>
                <w:sz w:val="24"/>
                <w:u w:val="none" w:color="auto"/>
                <w:lang w:val="en-US" w:eastAsia="zh-CN"/>
              </w:rPr>
              <w:t>7</w:t>
            </w:r>
            <w:r>
              <w:rPr>
                <w:rFonts w:hint="default" w:ascii="Times New Roman" w:hAnsi="Times New Roman" w:eastAsia="宋体" w:cs="Times New Roman"/>
                <w:color w:val="auto"/>
                <w:sz w:val="24"/>
                <w:u w:val="none" w:color="auto"/>
              </w:rPr>
              <w:t>项目废水监测计划</w:t>
            </w:r>
          </w:p>
          <w:p w14:paraId="7F02835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根据《排污单位自行监测技术指南 总则》</w:t>
            </w:r>
            <w:r>
              <w:rPr>
                <w:rFonts w:hint="eastAsia"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rPr>
              <w:t>HJ819-2017</w:t>
            </w:r>
            <w:r>
              <w:rPr>
                <w:rFonts w:hint="eastAsia"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rPr>
              <w:t>自行监测计划，项目废水自行监测计划如下：</w:t>
            </w:r>
          </w:p>
          <w:p w14:paraId="2021465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4"/>
                <w:szCs w:val="24"/>
                <w:highlight w:val="none"/>
                <w:u w:val="none" w:color="auto"/>
                <w:lang w:val="en-US" w:eastAsia="zh-CN" w:bidi="ar-SA"/>
              </w:rPr>
            </w:pPr>
            <w:bookmarkStart w:id="41" w:name="_Toc8878"/>
            <w:bookmarkStart w:id="42" w:name="_Toc24239"/>
            <w:bookmarkStart w:id="43" w:name="_Toc6000"/>
            <w:bookmarkStart w:id="44" w:name="_Toc875"/>
            <w:r>
              <w:rPr>
                <w:rFonts w:hint="default" w:ascii="Times New Roman" w:hAnsi="Times New Roman" w:eastAsia="宋体" w:cs="Times New Roman"/>
                <w:b/>
                <w:bCs/>
                <w:color w:val="auto"/>
                <w:kern w:val="2"/>
                <w:sz w:val="24"/>
                <w:szCs w:val="24"/>
                <w:highlight w:val="none"/>
                <w:u w:val="none" w:color="auto"/>
                <w:lang w:val="en-US" w:eastAsia="zh-CN" w:bidi="ar-SA"/>
              </w:rPr>
              <w:t>表4-14      项目营运期废水监测计划</w:t>
            </w:r>
            <w:bookmarkEnd w:id="41"/>
            <w:bookmarkEnd w:id="42"/>
            <w:bookmarkEnd w:id="43"/>
            <w:bookmarkEnd w:id="44"/>
          </w:p>
          <w:tbl>
            <w:tblPr>
              <w:tblStyle w:val="36"/>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536"/>
              <w:gridCol w:w="1009"/>
              <w:gridCol w:w="2309"/>
              <w:gridCol w:w="700"/>
              <w:gridCol w:w="4552"/>
            </w:tblGrid>
            <w:tr w14:paraId="61B5CB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94" w:type="pct"/>
                  <w:vAlign w:val="center"/>
                </w:tcPr>
                <w:p w14:paraId="39A61475">
                  <w:pPr>
                    <w:pStyle w:val="19"/>
                    <w:keepNext w:val="0"/>
                    <w:keepLines w:val="0"/>
                    <w:pageBreakBefore w:val="0"/>
                    <w:widowControl w:val="0"/>
                    <w:kinsoku/>
                    <w:wordWrap/>
                    <w:overflowPunct/>
                    <w:topLinePunct w:val="0"/>
                    <w:bidi w:val="0"/>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类别</w:t>
                  </w:r>
                </w:p>
              </w:tc>
              <w:tc>
                <w:tcPr>
                  <w:tcW w:w="554" w:type="pct"/>
                  <w:vAlign w:val="center"/>
                </w:tcPr>
                <w:p w14:paraId="42D33D3E">
                  <w:pPr>
                    <w:pStyle w:val="19"/>
                    <w:keepNext w:val="0"/>
                    <w:keepLines w:val="0"/>
                    <w:pageBreakBefore w:val="0"/>
                    <w:widowControl w:val="0"/>
                    <w:kinsoku/>
                    <w:wordWrap/>
                    <w:overflowPunct/>
                    <w:topLinePunct w:val="0"/>
                    <w:bidi w:val="0"/>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监测点位</w:t>
                  </w:r>
                </w:p>
              </w:tc>
              <w:tc>
                <w:tcPr>
                  <w:tcW w:w="1267" w:type="pct"/>
                  <w:vAlign w:val="center"/>
                </w:tcPr>
                <w:p w14:paraId="619CE3A7">
                  <w:pPr>
                    <w:pStyle w:val="19"/>
                    <w:keepNext w:val="0"/>
                    <w:keepLines w:val="0"/>
                    <w:pageBreakBefore w:val="0"/>
                    <w:widowControl w:val="0"/>
                    <w:kinsoku/>
                    <w:wordWrap/>
                    <w:overflowPunct/>
                    <w:topLinePunct w:val="0"/>
                    <w:bidi w:val="0"/>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监测因子</w:t>
                  </w:r>
                </w:p>
              </w:tc>
              <w:tc>
                <w:tcPr>
                  <w:tcW w:w="384" w:type="pct"/>
                  <w:vAlign w:val="center"/>
                </w:tcPr>
                <w:p w14:paraId="6F00AD2F">
                  <w:pPr>
                    <w:pStyle w:val="19"/>
                    <w:keepNext w:val="0"/>
                    <w:keepLines w:val="0"/>
                    <w:pageBreakBefore w:val="0"/>
                    <w:widowControl w:val="0"/>
                    <w:kinsoku/>
                    <w:wordWrap/>
                    <w:overflowPunct/>
                    <w:topLinePunct w:val="0"/>
                    <w:bidi w:val="0"/>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监测频率</w:t>
                  </w:r>
                </w:p>
              </w:tc>
              <w:tc>
                <w:tcPr>
                  <w:tcW w:w="2498" w:type="pct"/>
                  <w:vAlign w:val="center"/>
                </w:tcPr>
                <w:p w14:paraId="0861C115">
                  <w:pPr>
                    <w:pStyle w:val="19"/>
                    <w:keepNext w:val="0"/>
                    <w:keepLines w:val="0"/>
                    <w:pageBreakBefore w:val="0"/>
                    <w:widowControl w:val="0"/>
                    <w:kinsoku/>
                    <w:wordWrap/>
                    <w:overflowPunct/>
                    <w:topLinePunct w:val="0"/>
                    <w:bidi w:val="0"/>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执行标准</w:t>
                  </w:r>
                </w:p>
              </w:tc>
            </w:tr>
            <w:tr w14:paraId="6A77257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94" w:type="pct"/>
                  <w:vAlign w:val="center"/>
                </w:tcPr>
                <w:p w14:paraId="6A90833F">
                  <w:pPr>
                    <w:pStyle w:val="19"/>
                    <w:keepNext w:val="0"/>
                    <w:keepLines w:val="0"/>
                    <w:pageBreakBefore w:val="0"/>
                    <w:widowControl w:val="0"/>
                    <w:kinsoku/>
                    <w:wordWrap/>
                    <w:overflowPunct/>
                    <w:topLinePunct w:val="0"/>
                    <w:bidi w:val="0"/>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废水</w:t>
                  </w:r>
                </w:p>
              </w:tc>
              <w:tc>
                <w:tcPr>
                  <w:tcW w:w="554" w:type="pct"/>
                  <w:vAlign w:val="center"/>
                </w:tcPr>
                <w:p w14:paraId="1B40659B">
                  <w:pPr>
                    <w:pStyle w:val="19"/>
                    <w:keepNext w:val="0"/>
                    <w:keepLines w:val="0"/>
                    <w:pageBreakBefore w:val="0"/>
                    <w:widowControl w:val="0"/>
                    <w:kinsoku/>
                    <w:wordWrap/>
                    <w:overflowPunct/>
                    <w:topLinePunct w:val="0"/>
                    <w:bidi w:val="0"/>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DW001</w:t>
                  </w:r>
                </w:p>
              </w:tc>
              <w:tc>
                <w:tcPr>
                  <w:tcW w:w="1267" w:type="pct"/>
                  <w:vAlign w:val="center"/>
                </w:tcPr>
                <w:p w14:paraId="4043E3A1">
                  <w:pPr>
                    <w:pStyle w:val="19"/>
                    <w:keepNext w:val="0"/>
                    <w:keepLines w:val="0"/>
                    <w:pageBreakBefore w:val="0"/>
                    <w:widowControl w:val="0"/>
                    <w:kinsoku/>
                    <w:wordWrap/>
                    <w:overflowPunct/>
                    <w:topLinePunct w:val="0"/>
                    <w:bidi w:val="0"/>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pH、COD、BOD</w:t>
                  </w:r>
                  <w:r>
                    <w:rPr>
                      <w:rFonts w:hint="default" w:ascii="Times New Roman" w:hAnsi="Times New Roman" w:eastAsia="宋体" w:cs="Times New Roman"/>
                      <w:color w:val="auto"/>
                      <w:sz w:val="21"/>
                      <w:szCs w:val="21"/>
                      <w:u w:val="none" w:color="auto"/>
                      <w:vertAlign w:val="subscript"/>
                    </w:rPr>
                    <w:t>5</w:t>
                  </w:r>
                  <w:r>
                    <w:rPr>
                      <w:rFonts w:hint="default" w:ascii="Times New Roman" w:hAnsi="Times New Roman" w:eastAsia="宋体" w:cs="Times New Roman"/>
                      <w:color w:val="auto"/>
                      <w:sz w:val="21"/>
                      <w:szCs w:val="21"/>
                      <w:u w:val="none" w:color="auto"/>
                    </w:rPr>
                    <w:t>、SS、NH</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rPr>
                    <w:t>-N</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动植物油</w:t>
                  </w:r>
                </w:p>
              </w:tc>
              <w:tc>
                <w:tcPr>
                  <w:tcW w:w="384" w:type="pct"/>
                  <w:vAlign w:val="center"/>
                </w:tcPr>
                <w:p w14:paraId="42CE0056">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1次/年</w:t>
                  </w:r>
                </w:p>
              </w:tc>
              <w:tc>
                <w:tcPr>
                  <w:tcW w:w="2498" w:type="pct"/>
                  <w:vAlign w:val="center"/>
                </w:tcPr>
                <w:p w14:paraId="26B1E840">
                  <w:pPr>
                    <w:pStyle w:val="19"/>
                    <w:keepNext w:val="0"/>
                    <w:keepLines w:val="0"/>
                    <w:pageBreakBefore w:val="0"/>
                    <w:widowControl w:val="0"/>
                    <w:kinsoku/>
                    <w:wordWrap/>
                    <w:overflowPunct/>
                    <w:topLinePunct w:val="0"/>
                    <w:bidi w:val="0"/>
                    <w:snapToGrid/>
                    <w:spacing w:line="240" w:lineRule="auto"/>
                    <w:ind w:left="0" w:right="0" w:firstLine="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《污水综合排放标准》（GB8978-1996）表4三级标准及</w:t>
                  </w:r>
                  <w:r>
                    <w:rPr>
                      <w:rFonts w:hint="default" w:ascii="Times New Roman" w:hAnsi="Times New Roman" w:eastAsia="宋体" w:cs="Times New Roman"/>
                      <w:color w:val="auto"/>
                      <w:sz w:val="21"/>
                      <w:szCs w:val="21"/>
                      <w:u w:val="none" w:color="auto"/>
                      <w:lang w:val="en-US" w:eastAsia="zh-CN"/>
                    </w:rPr>
                    <w:t>镇平县污水处理中心</w:t>
                  </w:r>
                  <w:r>
                    <w:rPr>
                      <w:rFonts w:hint="default" w:ascii="Times New Roman" w:hAnsi="Times New Roman" w:eastAsia="宋体" w:cs="Times New Roman"/>
                      <w:color w:val="auto"/>
                      <w:sz w:val="21"/>
                      <w:szCs w:val="21"/>
                      <w:u w:val="none" w:color="auto"/>
                    </w:rPr>
                    <w:t>进水水质指标</w:t>
                  </w:r>
                </w:p>
              </w:tc>
            </w:tr>
          </w:tbl>
          <w:p w14:paraId="4F6A7EE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综上所述，本项目营运期废水经处理后不会对周围地表水环境产生明显影响</w:t>
            </w:r>
          </w:p>
          <w:p w14:paraId="761725B3">
            <w:pPr>
              <w:pStyle w:val="177"/>
              <w:keepNext w:val="0"/>
              <w:keepLines w:val="0"/>
              <w:pageBreakBefore w:val="0"/>
              <w:widowControl w:val="0"/>
              <w:kinsoku/>
              <w:wordWrap/>
              <w:overflowPunct/>
              <w:topLinePunct w:val="0"/>
              <w:autoSpaceDE/>
              <w:autoSpaceDN/>
              <w:bidi w:val="0"/>
              <w:adjustRightInd/>
              <w:snapToGrid/>
              <w:ind w:left="0" w:leftChars="0" w:firstLine="482" w:firstLineChars="200"/>
              <w:textAlignment w:val="auto"/>
              <w:rPr>
                <w:rFonts w:hint="eastAsia"/>
                <w:b/>
                <w:bCs/>
                <w:color w:val="auto"/>
                <w:sz w:val="24"/>
                <w:szCs w:val="24"/>
                <w:u w:val="none" w:color="auto"/>
              </w:rPr>
            </w:pPr>
            <w:r>
              <w:rPr>
                <w:rFonts w:hint="eastAsia"/>
                <w:b/>
                <w:bCs/>
                <w:color w:val="auto"/>
                <w:sz w:val="24"/>
                <w:szCs w:val="24"/>
                <w:u w:val="none" w:color="auto"/>
              </w:rPr>
              <w:t>3、噪声环境影响和保护措施分析</w:t>
            </w:r>
          </w:p>
          <w:p w14:paraId="71453384">
            <w:pPr>
              <w:pStyle w:val="177"/>
              <w:keepNext w:val="0"/>
              <w:keepLines w:val="0"/>
              <w:pageBreakBefore w:val="0"/>
              <w:widowControl w:val="0"/>
              <w:kinsoku/>
              <w:wordWrap/>
              <w:overflowPunct/>
              <w:topLinePunct w:val="0"/>
              <w:autoSpaceDE/>
              <w:autoSpaceDN/>
              <w:bidi w:val="0"/>
              <w:ind w:firstLine="420"/>
              <w:textAlignment w:val="auto"/>
              <w:rPr>
                <w:rFonts w:hint="eastAsia"/>
                <w:color w:val="auto"/>
                <w:sz w:val="24"/>
                <w:szCs w:val="24"/>
                <w:u w:val="none" w:color="auto"/>
              </w:rPr>
            </w:pPr>
            <w:r>
              <w:rPr>
                <w:rFonts w:hint="eastAsia"/>
                <w:color w:val="auto"/>
                <w:sz w:val="24"/>
                <w:szCs w:val="24"/>
                <w:u w:val="none" w:color="auto"/>
              </w:rPr>
              <w:t>3.1噪声源强分析</w:t>
            </w:r>
          </w:p>
          <w:p w14:paraId="6948E17A">
            <w:pPr>
              <w:pStyle w:val="177"/>
              <w:keepNext w:val="0"/>
              <w:keepLines w:val="0"/>
              <w:pageBreakBefore w:val="0"/>
              <w:widowControl w:val="0"/>
              <w:kinsoku/>
              <w:wordWrap/>
              <w:overflowPunct/>
              <w:topLinePunct w:val="0"/>
              <w:autoSpaceDE/>
              <w:autoSpaceDN/>
              <w:bidi w:val="0"/>
              <w:ind w:firstLine="420"/>
              <w:textAlignment w:val="auto"/>
              <w:rPr>
                <w:rFonts w:hint="eastAsia"/>
                <w:color w:val="auto"/>
                <w:sz w:val="24"/>
                <w:szCs w:val="24"/>
                <w:u w:val="none" w:color="auto"/>
              </w:rPr>
            </w:pPr>
            <w:r>
              <w:rPr>
                <w:rFonts w:hint="eastAsia"/>
                <w:color w:val="auto"/>
                <w:sz w:val="24"/>
                <w:szCs w:val="24"/>
                <w:u w:val="none" w:color="auto"/>
              </w:rPr>
              <w:t>本项目运营期噪声主要来自</w:t>
            </w:r>
            <w:r>
              <w:rPr>
                <w:rFonts w:hint="eastAsia"/>
                <w:color w:val="auto"/>
                <w:sz w:val="24"/>
                <w:szCs w:val="24"/>
                <w:u w:val="none" w:color="auto"/>
                <w:lang w:val="en-US" w:eastAsia="zh-CN"/>
              </w:rPr>
              <w:t>二级活性炭配套风机等</w:t>
            </w:r>
            <w:r>
              <w:rPr>
                <w:rFonts w:hint="eastAsia"/>
                <w:color w:val="auto"/>
                <w:sz w:val="24"/>
                <w:szCs w:val="24"/>
                <w:u w:val="none" w:color="auto"/>
              </w:rPr>
              <w:t>设备运行时产生的噪声，其声压级在</w:t>
            </w:r>
            <w:r>
              <w:rPr>
                <w:rFonts w:hint="eastAsia"/>
                <w:color w:val="auto"/>
                <w:sz w:val="24"/>
                <w:szCs w:val="24"/>
                <w:u w:val="none" w:color="auto"/>
                <w:lang w:val="en-US" w:eastAsia="zh-CN"/>
              </w:rPr>
              <w:t>65</w:t>
            </w:r>
            <w:r>
              <w:rPr>
                <w:rFonts w:hint="eastAsia"/>
                <w:color w:val="auto"/>
                <w:sz w:val="24"/>
                <w:szCs w:val="24"/>
                <w:u w:val="none" w:color="auto"/>
              </w:rPr>
              <w:t>～</w:t>
            </w:r>
            <w:r>
              <w:rPr>
                <w:rFonts w:hint="eastAsia"/>
                <w:color w:val="auto"/>
                <w:sz w:val="24"/>
                <w:szCs w:val="24"/>
                <w:u w:val="none" w:color="auto"/>
                <w:lang w:val="en-US" w:eastAsia="zh-CN"/>
              </w:rPr>
              <w:t>85</w:t>
            </w:r>
            <w:r>
              <w:rPr>
                <w:rFonts w:hint="eastAsia"/>
                <w:color w:val="auto"/>
                <w:sz w:val="24"/>
                <w:szCs w:val="24"/>
                <w:u w:val="none" w:color="auto"/>
              </w:rPr>
              <w:t>dB（A）之间。</w:t>
            </w:r>
          </w:p>
          <w:p w14:paraId="4D890D34">
            <w:pPr>
              <w:pStyle w:val="177"/>
              <w:keepNext w:val="0"/>
              <w:keepLines w:val="0"/>
              <w:pageBreakBefore w:val="0"/>
              <w:widowControl w:val="0"/>
              <w:kinsoku/>
              <w:wordWrap/>
              <w:overflowPunct/>
              <w:topLinePunct w:val="0"/>
              <w:autoSpaceDE/>
              <w:autoSpaceDN/>
              <w:bidi w:val="0"/>
              <w:ind w:firstLine="420"/>
              <w:textAlignment w:val="auto"/>
              <w:rPr>
                <w:rFonts w:hint="eastAsia"/>
                <w:color w:val="auto"/>
                <w:sz w:val="24"/>
                <w:szCs w:val="24"/>
                <w:u w:val="none" w:color="auto"/>
              </w:rPr>
            </w:pPr>
            <w:r>
              <w:rPr>
                <w:rFonts w:hint="eastAsia"/>
                <w:color w:val="auto"/>
                <w:sz w:val="24"/>
                <w:szCs w:val="24"/>
                <w:u w:val="none" w:color="auto"/>
              </w:rPr>
              <w:t>环评要求采取以下降噪措施：设备定期维修，保证正常运转</w:t>
            </w:r>
            <w:r>
              <w:rPr>
                <w:rFonts w:hint="eastAsia"/>
                <w:color w:val="auto"/>
                <w:sz w:val="24"/>
                <w:szCs w:val="24"/>
                <w:u w:val="none" w:color="auto"/>
                <w:lang w:eastAsia="zh-CN"/>
              </w:rPr>
              <w:t>。</w:t>
            </w:r>
            <w:r>
              <w:rPr>
                <w:rFonts w:hint="eastAsia"/>
                <w:color w:val="auto"/>
                <w:sz w:val="24"/>
                <w:szCs w:val="24"/>
                <w:u w:val="none" w:color="auto"/>
              </w:rPr>
              <w:t>项目主要产噪设备、源强、降噪措施及效果见下表。</w:t>
            </w:r>
          </w:p>
          <w:p w14:paraId="38AE4B0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auto"/>
                <w:kern w:val="2"/>
                <w:sz w:val="24"/>
                <w:szCs w:val="24"/>
                <w:highlight w:val="none"/>
                <w:u w:val="none" w:color="auto"/>
                <w:lang w:val="en-GB" w:eastAsia="zh-CN" w:bidi="ar-SA"/>
              </w:rPr>
            </w:pPr>
            <w:r>
              <w:rPr>
                <w:rFonts w:hint="eastAsia" w:ascii="Times New Roman" w:hAnsi="Times New Roman" w:eastAsia="宋体" w:cs="Times New Roman"/>
                <w:b/>
                <w:bCs/>
                <w:color w:val="auto"/>
                <w:kern w:val="2"/>
                <w:sz w:val="24"/>
                <w:szCs w:val="24"/>
                <w:highlight w:val="none"/>
                <w:u w:val="none" w:color="auto"/>
                <w:lang w:val="en-GB" w:eastAsia="zh-CN" w:bidi="ar-SA"/>
              </w:rPr>
              <w:t>表4-1</w:t>
            </w:r>
            <w:r>
              <w:rPr>
                <w:rFonts w:hint="eastAsia" w:ascii="Times New Roman" w:hAnsi="Times New Roman" w:eastAsia="宋体" w:cs="Times New Roman"/>
                <w:b/>
                <w:bCs/>
                <w:color w:val="auto"/>
                <w:kern w:val="2"/>
                <w:sz w:val="24"/>
                <w:szCs w:val="24"/>
                <w:highlight w:val="none"/>
                <w:u w:val="none" w:color="auto"/>
                <w:lang w:val="en-US" w:eastAsia="zh-CN" w:bidi="ar-SA"/>
              </w:rPr>
              <w:t>5</w:t>
            </w:r>
            <w:r>
              <w:rPr>
                <w:rFonts w:hint="eastAsia" w:ascii="Times New Roman" w:hAnsi="Times New Roman" w:eastAsia="宋体" w:cs="Times New Roman"/>
                <w:b/>
                <w:bCs/>
                <w:color w:val="auto"/>
                <w:kern w:val="2"/>
                <w:sz w:val="24"/>
                <w:szCs w:val="24"/>
                <w:highlight w:val="none"/>
                <w:u w:val="none" w:color="auto"/>
                <w:lang w:val="en-GB" w:eastAsia="zh-CN" w:bidi="ar-SA"/>
              </w:rPr>
              <w:t xml:space="preserve">  项目营运期主要高噪设备噪声产生源强一览表</w:t>
            </w:r>
          </w:p>
          <w:tbl>
            <w:tblPr>
              <w:tblStyle w:val="172"/>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304"/>
              <w:gridCol w:w="974"/>
              <w:gridCol w:w="233"/>
              <w:gridCol w:w="321"/>
              <w:gridCol w:w="478"/>
              <w:gridCol w:w="1637"/>
              <w:gridCol w:w="1041"/>
              <w:gridCol w:w="3464"/>
              <w:gridCol w:w="664"/>
            </w:tblGrid>
            <w:tr w14:paraId="143798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54" w:hRule="atLeast"/>
                <w:jc w:val="center"/>
              </w:trPr>
              <w:tc>
                <w:tcPr>
                  <w:tcW w:w="167" w:type="pct"/>
                  <w:vMerge w:val="restart"/>
                  <w:tcBorders>
                    <w:bottom w:val="nil"/>
                  </w:tcBorders>
                  <w:vAlign w:val="center"/>
                </w:tcPr>
                <w:p w14:paraId="61594BE2">
                  <w:pPr>
                    <w:pStyle w:val="170"/>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序号</w:t>
                  </w:r>
                </w:p>
              </w:tc>
              <w:tc>
                <w:tcPr>
                  <w:tcW w:w="534" w:type="pct"/>
                  <w:vMerge w:val="restart"/>
                  <w:tcBorders>
                    <w:bottom w:val="nil"/>
                  </w:tcBorders>
                  <w:vAlign w:val="center"/>
                </w:tcPr>
                <w:p w14:paraId="021F205A">
                  <w:pPr>
                    <w:pStyle w:val="170"/>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声源名称</w:t>
                  </w:r>
                </w:p>
              </w:tc>
              <w:tc>
                <w:tcPr>
                  <w:tcW w:w="566" w:type="pct"/>
                  <w:gridSpan w:val="3"/>
                  <w:vAlign w:val="center"/>
                </w:tcPr>
                <w:p w14:paraId="52BA8BB3">
                  <w:pPr>
                    <w:pStyle w:val="170"/>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空间相对位置/m</w:t>
                  </w:r>
                </w:p>
              </w:tc>
              <w:tc>
                <w:tcPr>
                  <w:tcW w:w="898" w:type="pct"/>
                  <w:vAlign w:val="center"/>
                </w:tcPr>
                <w:p w14:paraId="310E5772">
                  <w:pPr>
                    <w:pStyle w:val="170"/>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声源源强</w:t>
                  </w:r>
                </w:p>
              </w:tc>
              <w:tc>
                <w:tcPr>
                  <w:tcW w:w="571" w:type="pct"/>
                  <w:vMerge w:val="restart"/>
                  <w:tcBorders>
                    <w:bottom w:val="nil"/>
                  </w:tcBorders>
                  <w:vAlign w:val="center"/>
                </w:tcPr>
                <w:p w14:paraId="71B04FD1">
                  <w:pPr>
                    <w:pStyle w:val="170"/>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声源控制措施</w:t>
                  </w:r>
                </w:p>
              </w:tc>
              <w:tc>
                <w:tcPr>
                  <w:tcW w:w="1900" w:type="pct"/>
                  <w:vMerge w:val="restart"/>
                  <w:vAlign w:val="center"/>
                </w:tcPr>
                <w:p w14:paraId="5AA77A1A">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建筑物</w:t>
                  </w:r>
                  <w:r>
                    <w:rPr>
                      <w:rFonts w:hint="default" w:ascii="Times New Roman" w:hAnsi="Times New Roman" w:eastAsia="宋体" w:cs="Times New Roman"/>
                      <w:color w:val="auto"/>
                      <w:spacing w:val="-2"/>
                      <w:sz w:val="21"/>
                      <w:szCs w:val="21"/>
                      <w:u w:val="none" w:color="auto"/>
                    </w:rPr>
                    <w:t>插入损</w:t>
                  </w:r>
                  <w:r>
                    <w:rPr>
                      <w:rFonts w:hint="default" w:ascii="Times New Roman" w:hAnsi="Times New Roman" w:eastAsia="宋体" w:cs="Times New Roman"/>
                      <w:color w:val="auto"/>
                      <w:spacing w:val="50"/>
                      <w:sz w:val="21"/>
                      <w:szCs w:val="21"/>
                      <w:u w:val="none" w:color="auto"/>
                    </w:rPr>
                    <w:t>失</w:t>
                  </w:r>
                  <w:r>
                    <w:rPr>
                      <w:rFonts w:hint="default" w:ascii="Times New Roman" w:hAnsi="Times New Roman" w:eastAsia="宋体" w:cs="Times New Roman"/>
                      <w:color w:val="auto"/>
                      <w:spacing w:val="-46"/>
                      <w:sz w:val="21"/>
                      <w:szCs w:val="21"/>
                      <w:u w:val="none" w:color="auto"/>
                    </w:rPr>
                    <w:t xml:space="preserve"> </w:t>
                  </w:r>
                  <w:r>
                    <w:rPr>
                      <w:rFonts w:hint="default" w:ascii="Times New Roman" w:hAnsi="Times New Roman" w:eastAsia="宋体" w:cs="Times New Roman"/>
                      <w:color w:val="auto"/>
                      <w:sz w:val="21"/>
                      <w:szCs w:val="21"/>
                      <w:u w:val="none" w:color="auto"/>
                    </w:rPr>
                    <w:t>dB</w:t>
                  </w:r>
                  <w:r>
                    <w:rPr>
                      <w:rFonts w:hint="default" w:ascii="Times New Roman" w:hAnsi="Times New Roman" w:eastAsia="宋体" w:cs="Times New Roman"/>
                      <w:color w:val="auto"/>
                      <w:spacing w:val="8"/>
                      <w:sz w:val="21"/>
                      <w:szCs w:val="21"/>
                      <w:u w:val="none" w:color="auto"/>
                    </w:rPr>
                    <w:t>（A）</w:t>
                  </w:r>
                </w:p>
              </w:tc>
              <w:tc>
                <w:tcPr>
                  <w:tcW w:w="360" w:type="pct"/>
                  <w:vMerge w:val="restart"/>
                  <w:tcBorders>
                    <w:bottom w:val="nil"/>
                  </w:tcBorders>
                  <w:vAlign w:val="center"/>
                </w:tcPr>
                <w:p w14:paraId="621780F4">
                  <w:pPr>
                    <w:pStyle w:val="170"/>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运行时段</w:t>
                  </w:r>
                </w:p>
              </w:tc>
            </w:tr>
            <w:tr w14:paraId="2CF719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67" w:type="pct"/>
                  <w:vMerge w:val="continue"/>
                  <w:tcBorders>
                    <w:top w:val="nil"/>
                  </w:tcBorders>
                  <w:vAlign w:val="center"/>
                </w:tcPr>
                <w:p w14:paraId="37797EBC">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rPr>
                  </w:pPr>
                </w:p>
              </w:tc>
              <w:tc>
                <w:tcPr>
                  <w:tcW w:w="534" w:type="pct"/>
                  <w:vMerge w:val="continue"/>
                  <w:tcBorders>
                    <w:top w:val="nil"/>
                  </w:tcBorders>
                  <w:vAlign w:val="center"/>
                </w:tcPr>
                <w:p w14:paraId="6B6749CC">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rPr>
                  </w:pPr>
                </w:p>
              </w:tc>
              <w:tc>
                <w:tcPr>
                  <w:tcW w:w="128" w:type="pct"/>
                  <w:vAlign w:val="center"/>
                </w:tcPr>
                <w:p w14:paraId="5D39552A">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X</w:t>
                  </w:r>
                </w:p>
              </w:tc>
              <w:tc>
                <w:tcPr>
                  <w:tcW w:w="176" w:type="pct"/>
                  <w:vAlign w:val="center"/>
                </w:tcPr>
                <w:p w14:paraId="50D72AD2">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Y</w:t>
                  </w:r>
                </w:p>
              </w:tc>
              <w:tc>
                <w:tcPr>
                  <w:tcW w:w="262" w:type="pct"/>
                  <w:vAlign w:val="center"/>
                </w:tcPr>
                <w:p w14:paraId="5031C48C">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Z</w:t>
                  </w:r>
                </w:p>
              </w:tc>
              <w:tc>
                <w:tcPr>
                  <w:tcW w:w="898" w:type="pct"/>
                  <w:vAlign w:val="center"/>
                </w:tcPr>
                <w:p w14:paraId="1E449A42">
                  <w:pPr>
                    <w:pStyle w:val="170"/>
                    <w:keepNext w:val="0"/>
                    <w:keepLines w:val="0"/>
                    <w:pageBreakBefore w:val="0"/>
                    <w:tabs>
                      <w:tab w:val="left" w:pos="419"/>
                    </w:tabs>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pacing w:val="-6"/>
                      <w:sz w:val="21"/>
                      <w:szCs w:val="21"/>
                      <w:u w:val="none" w:color="auto"/>
                      <w:lang w:eastAsia="zh-CN"/>
                    </w:rPr>
                    <w:t>（声压级/距声源距离）/（dB（A）/m）</w:t>
                  </w:r>
                </w:p>
              </w:tc>
              <w:tc>
                <w:tcPr>
                  <w:tcW w:w="571" w:type="pct"/>
                  <w:vMerge w:val="continue"/>
                  <w:tcBorders>
                    <w:top w:val="nil"/>
                  </w:tcBorders>
                  <w:vAlign w:val="center"/>
                </w:tcPr>
                <w:p w14:paraId="5E9900D8">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rPr>
                  </w:pPr>
                </w:p>
              </w:tc>
              <w:tc>
                <w:tcPr>
                  <w:tcW w:w="1900" w:type="pct"/>
                  <w:vMerge w:val="continue"/>
                  <w:vAlign w:val="center"/>
                </w:tcPr>
                <w:p w14:paraId="0C1D6025">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rPr>
                  </w:pPr>
                </w:p>
              </w:tc>
              <w:tc>
                <w:tcPr>
                  <w:tcW w:w="360" w:type="pct"/>
                  <w:vMerge w:val="continue"/>
                  <w:tcBorders>
                    <w:top w:val="nil"/>
                  </w:tcBorders>
                  <w:vAlign w:val="center"/>
                </w:tcPr>
                <w:p w14:paraId="776F832A">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rPr>
                  </w:pPr>
                </w:p>
              </w:tc>
            </w:tr>
            <w:tr w14:paraId="7C573C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67" w:type="pct"/>
                  <w:vAlign w:val="center"/>
                </w:tcPr>
                <w:p w14:paraId="36EF7D32">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w:t>
                  </w:r>
                </w:p>
              </w:tc>
              <w:tc>
                <w:tcPr>
                  <w:tcW w:w="534" w:type="pct"/>
                  <w:vAlign w:val="center"/>
                </w:tcPr>
                <w:p w14:paraId="20BB4C2E">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TA001配套风机</w:t>
                  </w:r>
                </w:p>
              </w:tc>
              <w:tc>
                <w:tcPr>
                  <w:tcW w:w="128" w:type="pct"/>
                  <w:vAlign w:val="center"/>
                </w:tcPr>
                <w:p w14:paraId="0CB9CEB8">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val="en-US" w:eastAsia="zh-CN"/>
                    </w:rPr>
                    <w:t>9</w:t>
                  </w:r>
                </w:p>
              </w:tc>
              <w:tc>
                <w:tcPr>
                  <w:tcW w:w="176" w:type="pct"/>
                  <w:vAlign w:val="center"/>
                </w:tcPr>
                <w:p w14:paraId="48AB5F0F">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27</w:t>
                  </w:r>
                </w:p>
              </w:tc>
              <w:tc>
                <w:tcPr>
                  <w:tcW w:w="262" w:type="pct"/>
                  <w:vAlign w:val="center"/>
                </w:tcPr>
                <w:p w14:paraId="768C2B9C">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210</w:t>
                  </w:r>
                </w:p>
              </w:tc>
              <w:tc>
                <w:tcPr>
                  <w:tcW w:w="898" w:type="pct"/>
                  <w:vAlign w:val="center"/>
                </w:tcPr>
                <w:p w14:paraId="161C25FD">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lang w:val="en-US" w:eastAsia="zh-CN"/>
                    </w:rPr>
                    <w:t>80</w:t>
                  </w:r>
                  <w:r>
                    <w:rPr>
                      <w:rFonts w:hint="default" w:ascii="Times New Roman" w:hAnsi="Times New Roman" w:eastAsia="宋体" w:cs="Times New Roman"/>
                      <w:color w:val="auto"/>
                      <w:spacing w:val="-2"/>
                      <w:sz w:val="21"/>
                      <w:szCs w:val="21"/>
                      <w:u w:val="none" w:color="auto"/>
                    </w:rPr>
                    <w:t>/1</w:t>
                  </w:r>
                </w:p>
              </w:tc>
              <w:tc>
                <w:tcPr>
                  <w:tcW w:w="571" w:type="pct"/>
                  <w:vAlign w:val="center"/>
                </w:tcPr>
                <w:p w14:paraId="723BF3AB">
                  <w:pPr>
                    <w:pStyle w:val="170"/>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pacing w:val="-2"/>
                      <w:sz w:val="21"/>
                      <w:szCs w:val="21"/>
                      <w:u w:val="none" w:color="auto"/>
                      <w:lang w:eastAsia="zh-CN"/>
                    </w:rPr>
                    <w:t>基础减振、</w:t>
                  </w:r>
                  <w:r>
                    <w:rPr>
                      <w:rFonts w:hint="default" w:ascii="Times New Roman" w:hAnsi="Times New Roman" w:eastAsia="宋体" w:cs="Times New Roman"/>
                      <w:color w:val="auto"/>
                      <w:spacing w:val="-2"/>
                      <w:sz w:val="21"/>
                      <w:szCs w:val="21"/>
                      <w:u w:val="none" w:color="auto"/>
                      <w:lang w:val="en-US" w:eastAsia="zh-CN"/>
                    </w:rPr>
                    <w:t>设置隔声间</w:t>
                  </w:r>
                </w:p>
              </w:tc>
              <w:tc>
                <w:tcPr>
                  <w:tcW w:w="1900" w:type="pct"/>
                  <w:vAlign w:val="center"/>
                </w:tcPr>
                <w:p w14:paraId="2D3A0BF6">
                  <w:pPr>
                    <w:pStyle w:val="170"/>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pacing w:val="-2"/>
                      <w:sz w:val="21"/>
                      <w:szCs w:val="21"/>
                      <w:u w:val="none" w:color="auto"/>
                      <w:lang w:eastAsia="zh-CN"/>
                    </w:rPr>
                  </w:pPr>
                  <w:r>
                    <w:rPr>
                      <w:rFonts w:hint="default" w:ascii="Times New Roman" w:hAnsi="Times New Roman" w:eastAsia="宋体" w:cs="Times New Roman"/>
                      <w:color w:val="auto"/>
                      <w:spacing w:val="-2"/>
                      <w:sz w:val="21"/>
                      <w:szCs w:val="21"/>
                      <w:u w:val="none" w:color="auto"/>
                      <w:lang w:eastAsia="zh-CN"/>
                    </w:rPr>
                    <w:t>经过基础减振、</w:t>
                  </w:r>
                  <w:r>
                    <w:rPr>
                      <w:rFonts w:hint="default" w:ascii="Times New Roman" w:hAnsi="Times New Roman" w:eastAsia="宋体" w:cs="Times New Roman"/>
                      <w:color w:val="auto"/>
                      <w:spacing w:val="-2"/>
                      <w:sz w:val="21"/>
                      <w:szCs w:val="21"/>
                      <w:u w:val="none" w:color="auto"/>
                      <w:lang w:val="en-US" w:eastAsia="zh-CN"/>
                    </w:rPr>
                    <w:t>设置隔声间</w:t>
                  </w:r>
                  <w:r>
                    <w:rPr>
                      <w:rFonts w:hint="default" w:ascii="Times New Roman" w:hAnsi="Times New Roman" w:eastAsia="宋体" w:cs="Times New Roman"/>
                      <w:color w:val="auto"/>
                      <w:spacing w:val="-2"/>
                      <w:sz w:val="21"/>
                      <w:szCs w:val="21"/>
                      <w:u w:val="none" w:color="auto"/>
                      <w:lang w:eastAsia="zh-CN"/>
                    </w:rPr>
                    <w:t>等降噪措施；设备定期维修，保证正常运转，声源降低</w:t>
                  </w:r>
                  <w:r>
                    <w:rPr>
                      <w:rFonts w:hint="default" w:ascii="Times New Roman" w:hAnsi="Times New Roman" w:eastAsia="宋体" w:cs="Times New Roman"/>
                      <w:color w:val="auto"/>
                      <w:spacing w:val="-2"/>
                      <w:sz w:val="21"/>
                      <w:szCs w:val="21"/>
                      <w:u w:val="none" w:color="auto"/>
                      <w:lang w:val="en-US" w:eastAsia="zh-CN"/>
                    </w:rPr>
                    <w:t>10</w:t>
                  </w:r>
                  <w:r>
                    <w:rPr>
                      <w:rFonts w:hint="default" w:ascii="Times New Roman" w:hAnsi="Times New Roman" w:eastAsia="宋体" w:cs="Times New Roman"/>
                      <w:color w:val="auto"/>
                      <w:spacing w:val="-2"/>
                      <w:sz w:val="21"/>
                      <w:szCs w:val="21"/>
                      <w:u w:val="none" w:color="auto"/>
                      <w:lang w:eastAsia="zh-CN"/>
                    </w:rPr>
                    <w:t>dB（A）</w:t>
                  </w:r>
                </w:p>
              </w:tc>
              <w:tc>
                <w:tcPr>
                  <w:tcW w:w="360" w:type="pct"/>
                  <w:vAlign w:val="center"/>
                </w:tcPr>
                <w:p w14:paraId="1175FCFD">
                  <w:pPr>
                    <w:pStyle w:val="170"/>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pacing w:val="-5"/>
                      <w:sz w:val="21"/>
                      <w:szCs w:val="21"/>
                      <w:u w:val="none" w:color="auto"/>
                      <w:lang w:eastAsia="zh-CN"/>
                    </w:rPr>
                    <w:t>昼间、夜间</w:t>
                  </w:r>
                </w:p>
              </w:tc>
            </w:tr>
            <w:tr w14:paraId="62A67B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000" w:type="pct"/>
                  <w:gridSpan w:val="9"/>
                  <w:vAlign w:val="center"/>
                </w:tcPr>
                <w:p w14:paraId="1914DA3C">
                  <w:pPr>
                    <w:pStyle w:val="170"/>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pacing w:val="-5"/>
                      <w:sz w:val="21"/>
                      <w:szCs w:val="21"/>
                      <w:u w:val="none" w:color="auto"/>
                      <w:lang w:eastAsia="zh-CN"/>
                    </w:rPr>
                  </w:pPr>
                  <w:r>
                    <w:rPr>
                      <w:rFonts w:hint="default" w:ascii="Times New Roman" w:hAnsi="Times New Roman" w:eastAsia="宋体" w:cs="Times New Roman"/>
                      <w:color w:val="auto"/>
                      <w:sz w:val="21"/>
                      <w:szCs w:val="21"/>
                      <w:u w:val="none" w:color="auto"/>
                      <w:lang w:eastAsia="zh-CN"/>
                    </w:rPr>
                    <w:t>注：以</w:t>
                  </w:r>
                  <w:r>
                    <w:rPr>
                      <w:rFonts w:hint="default" w:ascii="Times New Roman" w:hAnsi="Times New Roman" w:eastAsia="宋体" w:cs="Times New Roman"/>
                      <w:color w:val="auto"/>
                      <w:sz w:val="21"/>
                      <w:szCs w:val="21"/>
                      <w:u w:val="none" w:color="auto"/>
                      <w:lang w:val="en-US" w:eastAsia="zh-CN"/>
                    </w:rPr>
                    <w:t>实验楼西南角</w:t>
                  </w:r>
                  <w:r>
                    <w:rPr>
                      <w:rFonts w:hint="default" w:ascii="Times New Roman" w:hAnsi="Times New Roman" w:eastAsia="宋体" w:cs="Times New Roman"/>
                      <w:color w:val="auto"/>
                      <w:sz w:val="21"/>
                      <w:szCs w:val="21"/>
                      <w:u w:val="none" w:color="auto"/>
                      <w:lang w:eastAsia="zh-CN"/>
                    </w:rPr>
                    <w:t>为（0 ，0）点，正东为 X 轴正方向，正北为Y轴正方向</w:t>
                  </w:r>
                </w:p>
              </w:tc>
            </w:tr>
          </w:tbl>
          <w:p w14:paraId="30CB4E42">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为进一步降低人工操作产生的噪声对环境的影响，建议建设单位应做好噪声防治措施，具体措施如下：</w:t>
            </w:r>
          </w:p>
          <w:p w14:paraId="15C18E15">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①选购设备时购置符合国家颁布的各类机械噪声标准的低噪声设备，选用低噪声工艺；</w:t>
            </w:r>
          </w:p>
          <w:p w14:paraId="313FFD91">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②对高噪声设备采取声学控制措施，如对声源采用隔声、减振、消声、吸声</w:t>
            </w:r>
            <w:r>
              <w:rPr>
                <w:rFonts w:hint="eastAsia"/>
                <w:color w:val="auto"/>
                <w:sz w:val="24"/>
                <w:u w:val="none" w:color="auto"/>
                <w:lang w:eastAsia="zh-CN"/>
              </w:rPr>
              <w:t>、废气治理设施风机设置隔声间</w:t>
            </w:r>
            <w:r>
              <w:rPr>
                <w:color w:val="auto"/>
                <w:sz w:val="24"/>
                <w:u w:val="none" w:color="auto"/>
              </w:rPr>
              <w:t>等措施；</w:t>
            </w:r>
          </w:p>
          <w:p w14:paraId="0C5D2E7D">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③合理布局高噪声设备，各高噪声设备在密闭车间内作业同时采用隔声、减振、消声、吸声等措施。</w:t>
            </w:r>
          </w:p>
          <w:p w14:paraId="198A9D1B">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④加强管理，机械设备定期维护及保养，防止设备故障形成的非正常生产噪声，同时确保环保措施发挥最佳有效的功能；加强人员环保意识教育，防止人为噪声。</w:t>
            </w:r>
          </w:p>
          <w:p w14:paraId="4BEBD397">
            <w:pPr>
              <w:keepNext w:val="0"/>
              <w:keepLines w:val="0"/>
              <w:pageBreakBefore w:val="0"/>
              <w:kinsoku/>
              <w:wordWrap/>
              <w:overflowPunct/>
              <w:topLinePunct w:val="0"/>
              <w:autoSpaceDE/>
              <w:autoSpaceDN/>
              <w:bidi w:val="0"/>
              <w:spacing w:line="360" w:lineRule="auto"/>
              <w:ind w:firstLine="480" w:firstLineChars="200"/>
              <w:textAlignment w:val="auto"/>
              <w:rPr>
                <w:color w:val="auto"/>
                <w:sz w:val="24"/>
                <w:u w:val="none" w:color="auto"/>
              </w:rPr>
            </w:pPr>
            <w:r>
              <w:rPr>
                <w:color w:val="auto"/>
                <w:sz w:val="24"/>
                <w:u w:val="none" w:color="auto"/>
              </w:rPr>
              <w:t>⑤制定噪声监测计划，对噪声进行定期监测，用于判定</w:t>
            </w:r>
            <w:r>
              <w:rPr>
                <w:rFonts w:hint="eastAsia"/>
                <w:color w:val="auto"/>
                <w:sz w:val="24"/>
                <w:u w:val="none" w:color="auto"/>
                <w:lang w:eastAsia="zh-CN"/>
              </w:rPr>
              <w:t>校界</w:t>
            </w:r>
            <w:r>
              <w:rPr>
                <w:color w:val="auto"/>
                <w:sz w:val="24"/>
                <w:u w:val="none" w:color="auto"/>
              </w:rPr>
              <w:t>的噪声是否达标，若不达标，排查出高噪声污染源，指定针对性整改方案。</w:t>
            </w:r>
          </w:p>
          <w:p w14:paraId="59E49A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4"/>
                <w:szCs w:val="24"/>
                <w:highlight w:val="none"/>
                <w:u w:val="none" w:color="auto"/>
                <w:lang w:val="en-US" w:eastAsia="zh-CN" w:bidi="ar-SA"/>
              </w:rPr>
            </w:pPr>
            <w:r>
              <w:rPr>
                <w:rFonts w:hint="default" w:ascii="Times New Roman" w:hAnsi="Times New Roman" w:eastAsia="宋体" w:cs="Times New Roman"/>
                <w:b/>
                <w:bCs/>
                <w:color w:val="auto"/>
                <w:kern w:val="2"/>
                <w:sz w:val="24"/>
                <w:szCs w:val="24"/>
                <w:highlight w:val="none"/>
                <w:u w:val="none" w:color="auto"/>
                <w:lang w:val="en-US" w:eastAsia="zh-CN" w:bidi="ar-SA"/>
              </w:rPr>
              <w:t>表</w:t>
            </w:r>
            <w:r>
              <w:rPr>
                <w:rFonts w:hint="eastAsia" w:ascii="Times New Roman" w:hAnsi="Times New Roman" w:eastAsia="宋体" w:cs="Times New Roman"/>
                <w:b/>
                <w:bCs/>
                <w:color w:val="auto"/>
                <w:kern w:val="2"/>
                <w:sz w:val="24"/>
                <w:szCs w:val="24"/>
                <w:highlight w:val="none"/>
                <w:u w:val="none" w:color="auto"/>
                <w:lang w:val="en-US" w:eastAsia="zh-CN" w:bidi="ar-SA"/>
              </w:rPr>
              <w:t>4-16</w:t>
            </w:r>
            <w:r>
              <w:rPr>
                <w:rFonts w:hint="default" w:ascii="Times New Roman" w:hAnsi="Times New Roman" w:eastAsia="宋体" w:cs="Times New Roman"/>
                <w:b/>
                <w:bCs/>
                <w:color w:val="auto"/>
                <w:kern w:val="2"/>
                <w:sz w:val="24"/>
                <w:szCs w:val="24"/>
                <w:highlight w:val="none"/>
                <w:u w:val="none" w:color="auto"/>
                <w:lang w:val="en-US" w:eastAsia="zh-CN" w:bidi="ar-SA"/>
              </w:rPr>
              <w:t xml:space="preserve">   降噪后</w:t>
            </w:r>
            <w:r>
              <w:rPr>
                <w:rFonts w:hint="eastAsia" w:ascii="Times New Roman" w:hAnsi="Times New Roman" w:eastAsia="宋体" w:cs="Times New Roman"/>
                <w:b/>
                <w:bCs/>
                <w:color w:val="auto"/>
                <w:kern w:val="2"/>
                <w:sz w:val="24"/>
                <w:szCs w:val="24"/>
                <w:highlight w:val="none"/>
                <w:u w:val="none" w:color="auto"/>
                <w:lang w:val="en-US" w:eastAsia="zh-CN" w:bidi="ar-SA"/>
              </w:rPr>
              <w:t>风机</w:t>
            </w:r>
            <w:r>
              <w:rPr>
                <w:rFonts w:hint="default" w:ascii="Times New Roman" w:hAnsi="Times New Roman" w:eastAsia="宋体" w:cs="Times New Roman"/>
                <w:b/>
                <w:bCs/>
                <w:color w:val="auto"/>
                <w:kern w:val="2"/>
                <w:sz w:val="24"/>
                <w:szCs w:val="24"/>
                <w:highlight w:val="none"/>
                <w:u w:val="none" w:color="auto"/>
                <w:lang w:val="en-US" w:eastAsia="zh-CN" w:bidi="ar-SA"/>
              </w:rPr>
              <w:t>噪声源强一览表</w:t>
            </w:r>
          </w:p>
          <w:tbl>
            <w:tblPr>
              <w:tblStyle w:val="172"/>
              <w:tblW w:w="500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554"/>
              <w:gridCol w:w="4566"/>
            </w:tblGrid>
            <w:tr w14:paraId="40DDE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2496" w:type="pct"/>
                  <w:vAlign w:val="center"/>
                </w:tcPr>
                <w:p w14:paraId="7BA9AA1C">
                  <w:pPr>
                    <w:pStyle w:val="170"/>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cs="Times New Roman"/>
                      <w:color w:val="auto"/>
                      <w:spacing w:val="-2"/>
                      <w:sz w:val="21"/>
                      <w:szCs w:val="21"/>
                      <w:u w:val="none" w:color="auto"/>
                      <w:lang w:val="en-US" w:eastAsia="zh-CN"/>
                    </w:rPr>
                    <w:t>点源</w:t>
                  </w:r>
                </w:p>
              </w:tc>
              <w:tc>
                <w:tcPr>
                  <w:tcW w:w="2503" w:type="pct"/>
                  <w:vAlign w:val="center"/>
                </w:tcPr>
                <w:p w14:paraId="620675DB">
                  <w:pPr>
                    <w:pStyle w:val="170"/>
                    <w:keepNext w:val="0"/>
                    <w:keepLines w:val="0"/>
                    <w:pageBreakBefore w:val="0"/>
                    <w:kinsoku/>
                    <w:wordWrap/>
                    <w:overflowPunct/>
                    <w:topLinePunct w:val="0"/>
                    <w:autoSpaceDE/>
                    <w:autoSpaceDN/>
                    <w:bidi w:val="0"/>
                    <w:adjustRightInd/>
                    <w:snapToGrid/>
                    <w:jc w:val="center"/>
                    <w:rPr>
                      <w:rFonts w:ascii="Times New Roman" w:hAnsi="Times New Roman" w:cs="Times New Roman"/>
                      <w:color w:val="auto"/>
                      <w:sz w:val="21"/>
                      <w:szCs w:val="21"/>
                      <w:u w:val="none" w:color="auto"/>
                      <w:lang w:eastAsia="zh-CN"/>
                    </w:rPr>
                  </w:pPr>
                  <w:r>
                    <w:rPr>
                      <w:rFonts w:ascii="Times New Roman" w:hAnsi="Times New Roman" w:cs="Times New Roman"/>
                      <w:color w:val="auto"/>
                      <w:sz w:val="21"/>
                      <w:szCs w:val="21"/>
                      <w:u w:val="none" w:color="auto"/>
                      <w:lang w:eastAsia="zh-CN"/>
                    </w:rPr>
                    <w:t>降噪后</w:t>
                  </w:r>
                  <w:r>
                    <w:rPr>
                      <w:rFonts w:hint="eastAsia" w:ascii="Times New Roman" w:hAnsi="Times New Roman" w:cs="Times New Roman"/>
                      <w:color w:val="auto"/>
                      <w:sz w:val="21"/>
                      <w:szCs w:val="21"/>
                      <w:u w:val="none" w:color="auto"/>
                      <w:lang w:val="en-US" w:eastAsia="zh-CN"/>
                    </w:rPr>
                    <w:t>风机</w:t>
                  </w:r>
                  <w:r>
                    <w:rPr>
                      <w:rFonts w:ascii="Times New Roman" w:hAnsi="Times New Roman" w:cs="Times New Roman"/>
                      <w:color w:val="auto"/>
                      <w:sz w:val="21"/>
                      <w:szCs w:val="21"/>
                      <w:u w:val="none" w:color="auto"/>
                      <w:lang w:eastAsia="zh-CN"/>
                    </w:rPr>
                    <w:t>dB（A）</w:t>
                  </w:r>
                </w:p>
              </w:tc>
            </w:tr>
            <w:tr w14:paraId="00024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496" w:type="pct"/>
                  <w:vAlign w:val="center"/>
                </w:tcPr>
                <w:p w14:paraId="4F266534">
                  <w:pPr>
                    <w:keepNext w:val="0"/>
                    <w:keepLines w:val="0"/>
                    <w:pageBreakBefore w:val="0"/>
                    <w:widowControl/>
                    <w:kinsoku/>
                    <w:wordWrap/>
                    <w:overflowPunct/>
                    <w:topLinePunct w:val="0"/>
                    <w:autoSpaceDE/>
                    <w:autoSpaceDN/>
                    <w:bidi w:val="0"/>
                    <w:adjustRightInd/>
                    <w:snapToGrid/>
                    <w:jc w:val="center"/>
                    <w:textAlignment w:val="center"/>
                    <w:rPr>
                      <w:rFonts w:ascii="Times New Roman" w:hAnsi="Times New Roman" w:cs="Times New Roman"/>
                      <w:color w:val="auto"/>
                      <w:sz w:val="21"/>
                      <w:szCs w:val="21"/>
                      <w:u w:val="none" w:color="auto"/>
                      <w:lang w:eastAsia="zh-CN"/>
                    </w:rPr>
                  </w:pPr>
                  <w:r>
                    <w:rPr>
                      <w:color w:val="auto"/>
                      <w:kern w:val="0"/>
                      <w:szCs w:val="21"/>
                      <w:u w:val="none" w:color="auto"/>
                      <w:lang w:bidi="ar"/>
                    </w:rPr>
                    <w:t>TA001配套风机</w:t>
                  </w:r>
                </w:p>
              </w:tc>
              <w:tc>
                <w:tcPr>
                  <w:tcW w:w="2503" w:type="pct"/>
                  <w:vAlign w:val="center"/>
                </w:tcPr>
                <w:p w14:paraId="76A53F3F">
                  <w:pPr>
                    <w:keepNext w:val="0"/>
                    <w:keepLines w:val="0"/>
                    <w:pageBreakBefore w:val="0"/>
                    <w:kinsoku/>
                    <w:wordWrap/>
                    <w:overflowPunct/>
                    <w:topLinePunct w:val="0"/>
                    <w:autoSpaceDE/>
                    <w:autoSpaceDN/>
                    <w:bidi w:val="0"/>
                    <w:adjustRightInd/>
                    <w:snapToGrid/>
                    <w:jc w:val="center"/>
                    <w:rPr>
                      <w:rFonts w:hint="default" w:eastAsia="宋体"/>
                      <w:color w:val="auto"/>
                      <w:szCs w:val="21"/>
                      <w:u w:val="none" w:color="auto"/>
                      <w:lang w:val="en-US" w:eastAsia="zh-CN"/>
                    </w:rPr>
                  </w:pPr>
                  <w:r>
                    <w:rPr>
                      <w:rFonts w:hint="eastAsia"/>
                      <w:color w:val="auto"/>
                      <w:szCs w:val="21"/>
                      <w:u w:val="none" w:color="auto"/>
                      <w:lang w:val="en-US" w:eastAsia="zh-CN"/>
                    </w:rPr>
                    <w:t>70</w:t>
                  </w:r>
                </w:p>
              </w:tc>
            </w:tr>
          </w:tbl>
          <w:p w14:paraId="39E688F3">
            <w:pPr>
              <w:keepNext w:val="0"/>
              <w:keepLines w:val="0"/>
              <w:pageBreakBefore w:val="0"/>
              <w:widowControl/>
              <w:kinsoku/>
              <w:wordWrap/>
              <w:overflowPunct/>
              <w:topLinePunct w:val="0"/>
              <w:autoSpaceDE/>
              <w:autoSpaceDN/>
              <w:bidi w:val="0"/>
              <w:adjustRightInd w:val="0"/>
              <w:snapToGrid w:val="0"/>
              <w:spacing w:line="360" w:lineRule="auto"/>
              <w:ind w:firstLine="476" w:firstLineChars="200"/>
              <w:textAlignment w:val="auto"/>
              <w:rPr>
                <w:color w:val="auto"/>
                <w:sz w:val="24"/>
                <w:u w:val="none" w:color="auto"/>
              </w:rPr>
            </w:pPr>
            <w:r>
              <w:rPr>
                <w:color w:val="auto"/>
                <w:spacing w:val="-1"/>
                <w:sz w:val="24"/>
                <w:u w:val="none" w:color="auto"/>
              </w:rPr>
              <w:t>根据本项目主要高噪声设备的分布状况和源</w:t>
            </w:r>
            <w:r>
              <w:rPr>
                <w:color w:val="auto"/>
                <w:spacing w:val="-2"/>
                <w:sz w:val="24"/>
                <w:u w:val="none" w:color="auto"/>
              </w:rPr>
              <w:t>强，按经验法推算其衰减量；计算出各声源对</w:t>
            </w:r>
            <w:r>
              <w:rPr>
                <w:rFonts w:hint="eastAsia"/>
                <w:color w:val="auto"/>
                <w:spacing w:val="-2"/>
                <w:sz w:val="24"/>
                <w:u w:val="none" w:color="auto"/>
                <w:lang w:eastAsia="zh-CN"/>
              </w:rPr>
              <w:t>校界</w:t>
            </w:r>
            <w:r>
              <w:rPr>
                <w:color w:val="auto"/>
                <w:spacing w:val="-2"/>
                <w:sz w:val="24"/>
                <w:u w:val="none" w:color="auto"/>
              </w:rPr>
              <w:t>的噪声贡献值，然后采</w:t>
            </w:r>
            <w:r>
              <w:rPr>
                <w:color w:val="auto"/>
                <w:spacing w:val="-4"/>
                <w:sz w:val="24"/>
                <w:u w:val="none" w:color="auto"/>
              </w:rPr>
              <w:t>用噪声叠加模式进行预测，公式如下：</w:t>
            </w:r>
          </w:p>
          <w:p w14:paraId="46249B24">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①点声源衰减公式</w:t>
            </w:r>
          </w:p>
          <w:p w14:paraId="405F190A">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L2 = L1 - 20lg（r2 / r1）</w:t>
            </w:r>
          </w:p>
          <w:p w14:paraId="32305663">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式中：</w:t>
            </w:r>
          </w:p>
          <w:p w14:paraId="14B6A546">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r2 、r1——距声源的距离，m；</w:t>
            </w:r>
          </w:p>
          <w:p w14:paraId="799594AE">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L2 、L1——r2 、r1处的声级强度，dB（A）。</w:t>
            </w:r>
          </w:p>
          <w:p w14:paraId="182B25FC">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②噪声源叠加公式</w:t>
            </w:r>
          </w:p>
          <w:p w14:paraId="2B850DB8">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drawing>
                <wp:inline distT="0" distB="0" distL="114300" distR="114300">
                  <wp:extent cx="1889125" cy="447675"/>
                  <wp:effectExtent l="0" t="0" r="15875" b="9525"/>
                  <wp:docPr id="64" name="图片 2"/>
                  <wp:cNvGraphicFramePr/>
                  <a:graphic xmlns:a="http://schemas.openxmlformats.org/drawingml/2006/main">
                    <a:graphicData uri="http://schemas.openxmlformats.org/drawingml/2006/picture">
                      <pic:pic xmlns:pic="http://schemas.openxmlformats.org/drawingml/2006/picture">
                        <pic:nvPicPr>
                          <pic:cNvPr id="64" name="图片 2"/>
                          <pic:cNvPicPr/>
                        </pic:nvPicPr>
                        <pic:blipFill>
                          <a:blip r:embed="rId16"/>
                          <a:stretch>
                            <a:fillRect/>
                          </a:stretch>
                        </pic:blipFill>
                        <pic:spPr>
                          <a:xfrm>
                            <a:off x="0" y="0"/>
                            <a:ext cx="1889125" cy="447675"/>
                          </a:xfrm>
                          <a:prstGeom prst="rect">
                            <a:avLst/>
                          </a:prstGeom>
                          <a:noFill/>
                          <a:ln>
                            <a:noFill/>
                          </a:ln>
                        </pic:spPr>
                      </pic:pic>
                    </a:graphicData>
                  </a:graphic>
                </wp:inline>
              </w:drawing>
            </w:r>
          </w:p>
          <w:p w14:paraId="75443616">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式中：</w:t>
            </w:r>
          </w:p>
          <w:p w14:paraId="335D37CB">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L——总声压级，dB（A）；</w:t>
            </w:r>
          </w:p>
          <w:p w14:paraId="2E372554">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Li——第i个声源的声压级，dB（A）；n——声源个数</w:t>
            </w:r>
          </w:p>
          <w:p w14:paraId="20CD2168">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根据上述公式以及项目的平面布置进行预测计算，本项目噪声对</w:t>
            </w:r>
            <w:r>
              <w:rPr>
                <w:rFonts w:hint="eastAsia"/>
                <w:color w:val="auto"/>
                <w:sz w:val="24"/>
                <w:u w:val="none" w:color="auto"/>
                <w:lang w:val="en-US" w:eastAsia="zh-CN"/>
              </w:rPr>
              <w:t>校</w:t>
            </w:r>
            <w:r>
              <w:rPr>
                <w:color w:val="auto"/>
                <w:sz w:val="24"/>
                <w:u w:val="none" w:color="auto"/>
              </w:rPr>
              <w:t>界的贡献综合评价值见下表。</w:t>
            </w:r>
          </w:p>
          <w:p w14:paraId="3C29FF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4"/>
                <w:szCs w:val="24"/>
                <w:highlight w:val="none"/>
                <w:u w:val="none" w:color="auto"/>
                <w:lang w:val="en-US" w:eastAsia="zh-CN" w:bidi="ar-SA"/>
              </w:rPr>
            </w:pPr>
            <w:r>
              <w:rPr>
                <w:rFonts w:hint="default" w:ascii="Times New Roman" w:hAnsi="Times New Roman" w:eastAsia="宋体" w:cs="Times New Roman"/>
                <w:b/>
                <w:bCs/>
                <w:color w:val="auto"/>
                <w:kern w:val="2"/>
                <w:sz w:val="24"/>
                <w:szCs w:val="24"/>
                <w:highlight w:val="none"/>
                <w:u w:val="none" w:color="auto"/>
                <w:lang w:val="en-US" w:eastAsia="zh-CN" w:bidi="ar-SA"/>
              </w:rPr>
              <w:t>表4-</w:t>
            </w:r>
            <w:r>
              <w:rPr>
                <w:rFonts w:hint="eastAsia" w:ascii="Times New Roman" w:hAnsi="Times New Roman" w:eastAsia="宋体" w:cs="Times New Roman"/>
                <w:b/>
                <w:bCs/>
                <w:color w:val="auto"/>
                <w:kern w:val="2"/>
                <w:sz w:val="24"/>
                <w:szCs w:val="24"/>
                <w:highlight w:val="none"/>
                <w:u w:val="none" w:color="auto"/>
                <w:lang w:val="en-US" w:eastAsia="zh-CN" w:bidi="ar-SA"/>
              </w:rPr>
              <w:t>17</w:t>
            </w:r>
            <w:r>
              <w:rPr>
                <w:rFonts w:hint="default" w:ascii="Times New Roman" w:hAnsi="Times New Roman" w:eastAsia="宋体" w:cs="Times New Roman"/>
                <w:b/>
                <w:bCs/>
                <w:color w:val="auto"/>
                <w:kern w:val="2"/>
                <w:sz w:val="24"/>
                <w:szCs w:val="24"/>
                <w:highlight w:val="none"/>
                <w:u w:val="none" w:color="auto"/>
                <w:lang w:val="en-US" w:eastAsia="zh-CN" w:bidi="ar-SA"/>
              </w:rPr>
              <w:t xml:space="preserve">  </w:t>
            </w:r>
            <w:r>
              <w:rPr>
                <w:rFonts w:hint="eastAsia" w:cs="Times New Roman"/>
                <w:b/>
                <w:bCs/>
                <w:color w:val="auto"/>
                <w:kern w:val="2"/>
                <w:sz w:val="24"/>
                <w:szCs w:val="24"/>
                <w:highlight w:val="none"/>
                <w:u w:val="none" w:color="auto"/>
                <w:lang w:val="en-US" w:eastAsia="zh-CN" w:bidi="ar-SA"/>
              </w:rPr>
              <w:t>校</w:t>
            </w:r>
            <w:r>
              <w:rPr>
                <w:rFonts w:hint="default" w:ascii="Times New Roman" w:hAnsi="Times New Roman" w:eastAsia="宋体" w:cs="Times New Roman"/>
                <w:b/>
                <w:bCs/>
                <w:color w:val="auto"/>
                <w:kern w:val="2"/>
                <w:sz w:val="24"/>
                <w:szCs w:val="24"/>
                <w:highlight w:val="none"/>
                <w:u w:val="none" w:color="auto"/>
                <w:lang w:val="en-US" w:eastAsia="zh-CN" w:bidi="ar-SA"/>
              </w:rPr>
              <w:t>区营运期各评价点声环境预测结果一览表</w:t>
            </w:r>
          </w:p>
          <w:tbl>
            <w:tblPr>
              <w:tblStyle w:val="35"/>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0"/>
              <w:gridCol w:w="1271"/>
              <w:gridCol w:w="1054"/>
              <w:gridCol w:w="1050"/>
              <w:gridCol w:w="1447"/>
              <w:gridCol w:w="1119"/>
              <w:gridCol w:w="1509"/>
              <w:gridCol w:w="936"/>
            </w:tblGrid>
            <w:tr w14:paraId="7D7B6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5" w:type="pct"/>
                  <w:noWrap w:val="0"/>
                  <w:vAlign w:val="center"/>
                </w:tcPr>
                <w:p w14:paraId="78BADA73">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评价点</w:t>
                  </w:r>
                </w:p>
              </w:tc>
              <w:tc>
                <w:tcPr>
                  <w:tcW w:w="697" w:type="pct"/>
                  <w:noWrap w:val="0"/>
                  <w:vAlign w:val="center"/>
                </w:tcPr>
                <w:p w14:paraId="10E0A4CE">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污染源名称</w:t>
                  </w:r>
                </w:p>
              </w:tc>
              <w:tc>
                <w:tcPr>
                  <w:tcW w:w="578" w:type="pct"/>
                  <w:noWrap w:val="0"/>
                  <w:vAlign w:val="center"/>
                </w:tcPr>
                <w:p w14:paraId="6E4E224D">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spacing w:val="-20"/>
                      <w:sz w:val="21"/>
                      <w:szCs w:val="21"/>
                      <w:highlight w:val="none"/>
                      <w:u w:val="none" w:color="auto"/>
                    </w:rPr>
                  </w:pPr>
                  <w:r>
                    <w:rPr>
                      <w:rFonts w:hint="default" w:ascii="Times New Roman" w:hAnsi="Times New Roman" w:eastAsia="宋体" w:cs="Times New Roman"/>
                      <w:color w:val="auto"/>
                      <w:spacing w:val="-20"/>
                      <w:sz w:val="21"/>
                      <w:szCs w:val="21"/>
                      <w:highlight w:val="none"/>
                      <w:u w:val="none" w:color="auto"/>
                    </w:rPr>
                    <w:t>源强dB（A）</w:t>
                  </w:r>
                </w:p>
              </w:tc>
              <w:tc>
                <w:tcPr>
                  <w:tcW w:w="576" w:type="pct"/>
                  <w:noWrap w:val="0"/>
                  <w:vAlign w:val="center"/>
                </w:tcPr>
                <w:p w14:paraId="5FCA12AC">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spacing w:val="-20"/>
                      <w:sz w:val="21"/>
                      <w:szCs w:val="21"/>
                      <w:highlight w:val="none"/>
                      <w:u w:val="none" w:color="auto"/>
                    </w:rPr>
                  </w:pPr>
                  <w:r>
                    <w:rPr>
                      <w:rFonts w:hint="default" w:ascii="Times New Roman" w:hAnsi="Times New Roman" w:eastAsia="宋体" w:cs="Times New Roman"/>
                      <w:color w:val="auto"/>
                      <w:sz w:val="21"/>
                      <w:szCs w:val="21"/>
                      <w:highlight w:val="none"/>
                      <w:u w:val="none" w:color="auto"/>
                    </w:rPr>
                    <w:t>衰减距离</w:t>
                  </w:r>
                  <w:r>
                    <w:rPr>
                      <w:rFonts w:hint="default" w:ascii="Times New Roman" w:hAnsi="Times New Roman" w:eastAsia="宋体" w:cs="Times New Roman"/>
                      <w:color w:val="auto"/>
                      <w:spacing w:val="-20"/>
                      <w:sz w:val="21"/>
                      <w:szCs w:val="21"/>
                      <w:highlight w:val="none"/>
                      <w:u w:val="none" w:color="auto"/>
                    </w:rPr>
                    <w:t>（m</w:t>
                  </w:r>
                  <w:r>
                    <w:rPr>
                      <w:rFonts w:hint="default" w:ascii="Times New Roman" w:hAnsi="Times New Roman" w:eastAsia="宋体" w:cs="Times New Roman"/>
                      <w:color w:val="auto"/>
                      <w:sz w:val="21"/>
                      <w:szCs w:val="21"/>
                      <w:highlight w:val="none"/>
                      <w:u w:val="none" w:color="auto"/>
                    </w:rPr>
                    <w:t>）</w:t>
                  </w:r>
                </w:p>
              </w:tc>
              <w:tc>
                <w:tcPr>
                  <w:tcW w:w="794" w:type="pct"/>
                  <w:noWrap w:val="0"/>
                  <w:vAlign w:val="center"/>
                </w:tcPr>
                <w:p w14:paraId="2A0D8644">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预测点位影响值</w:t>
                  </w:r>
                  <w:r>
                    <w:rPr>
                      <w:rFonts w:hint="default" w:ascii="Times New Roman" w:hAnsi="Times New Roman" w:eastAsia="宋体" w:cs="Times New Roman"/>
                      <w:color w:val="auto"/>
                      <w:spacing w:val="-20"/>
                      <w:sz w:val="21"/>
                      <w:szCs w:val="21"/>
                      <w:highlight w:val="none"/>
                      <w:u w:val="none" w:color="auto"/>
                    </w:rPr>
                    <w:t>dB（A）</w:t>
                  </w:r>
                </w:p>
              </w:tc>
              <w:tc>
                <w:tcPr>
                  <w:tcW w:w="614" w:type="pct"/>
                  <w:noWrap w:val="0"/>
                  <w:vAlign w:val="center"/>
                </w:tcPr>
                <w:p w14:paraId="16E8BB6D">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eastAsia"/>
                      <w:color w:val="auto"/>
                      <w:szCs w:val="21"/>
                      <w:highlight w:val="none"/>
                      <w:u w:val="none" w:color="auto"/>
                    </w:rPr>
                  </w:pPr>
                  <w:r>
                    <w:rPr>
                      <w:rFonts w:hint="eastAsia"/>
                      <w:color w:val="auto"/>
                      <w:szCs w:val="21"/>
                      <w:highlight w:val="none"/>
                      <w:u w:val="none" w:color="auto"/>
                    </w:rPr>
                    <w:t>现状值</w:t>
                  </w:r>
                </w:p>
                <w:p w14:paraId="6457D6A6">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color w:val="auto"/>
                      <w:szCs w:val="21"/>
                      <w:highlight w:val="none"/>
                      <w:u w:val="none" w:color="auto"/>
                    </w:rPr>
                  </w:pPr>
                  <w:r>
                    <w:rPr>
                      <w:rFonts w:hint="default" w:ascii="Times New Roman" w:hAnsi="Times New Roman" w:eastAsia="宋体" w:cs="Times New Roman"/>
                      <w:color w:val="auto"/>
                      <w:sz w:val="21"/>
                      <w:szCs w:val="21"/>
                      <w:highlight w:val="none"/>
                      <w:u w:val="none" w:color="auto"/>
                    </w:rPr>
                    <w:t>dB（A）</w:t>
                  </w:r>
                </w:p>
              </w:tc>
              <w:tc>
                <w:tcPr>
                  <w:tcW w:w="828" w:type="pct"/>
                  <w:noWrap w:val="0"/>
                  <w:vAlign w:val="center"/>
                </w:tcPr>
                <w:p w14:paraId="512686D2">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贡献叠加值</w:t>
                  </w:r>
                </w:p>
                <w:p w14:paraId="76CAD4F4">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dB（A）</w:t>
                  </w:r>
                </w:p>
              </w:tc>
              <w:tc>
                <w:tcPr>
                  <w:tcW w:w="513" w:type="pct"/>
                  <w:noWrap w:val="0"/>
                  <w:vAlign w:val="center"/>
                </w:tcPr>
                <w:p w14:paraId="661D1373">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标准值</w:t>
                  </w:r>
                </w:p>
              </w:tc>
            </w:tr>
            <w:tr w14:paraId="4D79C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5" w:type="pct"/>
                  <w:noWrap w:val="0"/>
                  <w:vAlign w:val="center"/>
                </w:tcPr>
                <w:p w14:paraId="3A6DB8CF">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highlight w:val="none"/>
                      <w:u w:val="none" w:color="auto"/>
                      <w:lang w:val="zh-CN"/>
                    </w:rPr>
                    <w:t>东</w:t>
                  </w:r>
                </w:p>
                <w:p w14:paraId="12FF3AD4">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highlight w:val="none"/>
                      <w:u w:val="none" w:color="auto"/>
                      <w:lang w:val="zh-CN"/>
                    </w:rPr>
                    <w:t>厂</w:t>
                  </w:r>
                </w:p>
                <w:p w14:paraId="38A56040">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zh-CN"/>
                    </w:rPr>
                    <w:t>界</w:t>
                  </w:r>
                </w:p>
              </w:tc>
              <w:tc>
                <w:tcPr>
                  <w:tcW w:w="697" w:type="pct"/>
                  <w:noWrap w:val="0"/>
                  <w:vAlign w:val="center"/>
                </w:tcPr>
                <w:p w14:paraId="19024CC7">
                  <w:pPr>
                    <w:keepNext w:val="0"/>
                    <w:keepLines w:val="0"/>
                    <w:pageBreakBefore w:val="0"/>
                    <w:widowControl/>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color w:val="auto"/>
                      <w:kern w:val="0"/>
                      <w:szCs w:val="21"/>
                      <w:highlight w:val="none"/>
                      <w:u w:val="none" w:color="auto"/>
                      <w:lang w:bidi="ar"/>
                    </w:rPr>
                    <w:t>TA001配套风机</w:t>
                  </w:r>
                </w:p>
              </w:tc>
              <w:tc>
                <w:tcPr>
                  <w:tcW w:w="578" w:type="pct"/>
                  <w:noWrap w:val="0"/>
                  <w:vAlign w:val="center"/>
                </w:tcPr>
                <w:p w14:paraId="1F21F99E">
                  <w:pPr>
                    <w:keepNext w:val="0"/>
                    <w:keepLines w:val="0"/>
                    <w:pageBreakBefore w:val="0"/>
                    <w:widowControl/>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70</w:t>
                  </w:r>
                </w:p>
              </w:tc>
              <w:tc>
                <w:tcPr>
                  <w:tcW w:w="576" w:type="pct"/>
                  <w:noWrap w:val="0"/>
                  <w:vAlign w:val="center"/>
                </w:tcPr>
                <w:p w14:paraId="0F5FA9F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251</w:t>
                  </w:r>
                </w:p>
              </w:tc>
              <w:tc>
                <w:tcPr>
                  <w:tcW w:w="1353" w:type="dxa"/>
                  <w:noWrap w:val="0"/>
                  <w:vAlign w:val="center"/>
                </w:tcPr>
                <w:p w14:paraId="46524B16">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i w:val="0"/>
                      <w:iCs w:val="0"/>
                      <w:color w:val="auto"/>
                      <w:kern w:val="0"/>
                      <w:sz w:val="22"/>
                      <w:szCs w:val="22"/>
                      <w:highlight w:val="none"/>
                      <w:u w:val="none" w:color="auto"/>
                      <w:lang w:val="en-US" w:eastAsia="zh-CN" w:bidi="ar"/>
                    </w:rPr>
                    <w:t xml:space="preserve">22.0 </w:t>
                  </w:r>
                </w:p>
              </w:tc>
              <w:tc>
                <w:tcPr>
                  <w:tcW w:w="614" w:type="pct"/>
                  <w:noWrap w:val="0"/>
                  <w:vAlign w:val="center"/>
                </w:tcPr>
                <w:p w14:paraId="6C8ACC2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highlight w:val="none"/>
                      <w:u w:val="none" w:color="auto"/>
                      <w:lang w:val="en-US" w:eastAsia="zh-CN" w:bidi="ar"/>
                    </w:rPr>
                  </w:pPr>
                  <w:r>
                    <w:rPr>
                      <w:rFonts w:hint="eastAsia" w:cs="Times New Roman"/>
                      <w:i w:val="0"/>
                      <w:iCs w:val="0"/>
                      <w:color w:val="auto"/>
                      <w:kern w:val="0"/>
                      <w:sz w:val="22"/>
                      <w:szCs w:val="22"/>
                      <w:highlight w:val="none"/>
                      <w:u w:val="none" w:color="auto"/>
                      <w:lang w:val="en-US" w:eastAsia="zh-CN" w:bidi="ar"/>
                    </w:rPr>
                    <w:t>53/45</w:t>
                  </w:r>
                </w:p>
              </w:tc>
              <w:tc>
                <w:tcPr>
                  <w:tcW w:w="828" w:type="pct"/>
                  <w:noWrap w:val="0"/>
                  <w:vAlign w:val="center"/>
                </w:tcPr>
                <w:p w14:paraId="027A2B88">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u w:val="none" w:color="auto"/>
                      <w:lang w:val="en-US" w:eastAsia="zh-CN"/>
                    </w:rPr>
                  </w:pPr>
                  <w:r>
                    <w:rPr>
                      <w:rFonts w:hint="eastAsia" w:cs="Times New Roman"/>
                      <w:bCs/>
                      <w:color w:val="auto"/>
                      <w:sz w:val="21"/>
                      <w:szCs w:val="21"/>
                      <w:highlight w:val="none"/>
                      <w:u w:val="none" w:color="auto"/>
                      <w:lang w:val="en-US" w:eastAsia="zh-CN"/>
                    </w:rPr>
                    <w:t>53/45</w:t>
                  </w:r>
                </w:p>
              </w:tc>
              <w:tc>
                <w:tcPr>
                  <w:tcW w:w="513" w:type="pct"/>
                  <w:noWrap w:val="0"/>
                  <w:vAlign w:val="center"/>
                </w:tcPr>
                <w:p w14:paraId="7E5B199D">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rPr>
                    <w:t>60</w:t>
                  </w:r>
                  <w:r>
                    <w:rPr>
                      <w:rFonts w:hint="eastAsia" w:cs="Times New Roman"/>
                      <w:bCs/>
                      <w:color w:val="auto"/>
                      <w:sz w:val="21"/>
                      <w:szCs w:val="21"/>
                      <w:highlight w:val="none"/>
                      <w:u w:val="none" w:color="auto"/>
                      <w:lang w:val="en-US" w:eastAsia="zh-CN"/>
                    </w:rPr>
                    <w:t>/50</w:t>
                  </w:r>
                </w:p>
              </w:tc>
            </w:tr>
            <w:tr w14:paraId="1A272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5" w:type="pct"/>
                  <w:noWrap w:val="0"/>
                  <w:vAlign w:val="center"/>
                </w:tcPr>
                <w:p w14:paraId="11DDA700">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highlight w:val="none"/>
                      <w:u w:val="none" w:color="auto"/>
                      <w:lang w:val="zh-CN"/>
                    </w:rPr>
                    <w:t>南</w:t>
                  </w:r>
                </w:p>
                <w:p w14:paraId="18226474">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highlight w:val="none"/>
                      <w:u w:val="none" w:color="auto"/>
                      <w:lang w:val="zh-CN"/>
                    </w:rPr>
                    <w:t>厂</w:t>
                  </w:r>
                </w:p>
                <w:p w14:paraId="2ACBFAC0">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zh-CN"/>
                    </w:rPr>
                    <w:t>界</w:t>
                  </w:r>
                </w:p>
              </w:tc>
              <w:tc>
                <w:tcPr>
                  <w:tcW w:w="697" w:type="pct"/>
                  <w:noWrap w:val="0"/>
                  <w:vAlign w:val="center"/>
                </w:tcPr>
                <w:p w14:paraId="1D0483D9">
                  <w:pPr>
                    <w:keepNext w:val="0"/>
                    <w:keepLines w:val="0"/>
                    <w:pageBreakBefore w:val="0"/>
                    <w:widowControl/>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color w:val="auto"/>
                      <w:kern w:val="0"/>
                      <w:szCs w:val="21"/>
                      <w:highlight w:val="none"/>
                      <w:u w:val="none" w:color="auto"/>
                      <w:lang w:bidi="ar"/>
                    </w:rPr>
                    <w:t>TA001配套风机</w:t>
                  </w:r>
                </w:p>
              </w:tc>
              <w:tc>
                <w:tcPr>
                  <w:tcW w:w="578" w:type="pct"/>
                  <w:noWrap w:val="0"/>
                  <w:vAlign w:val="center"/>
                </w:tcPr>
                <w:p w14:paraId="412DD07F">
                  <w:pPr>
                    <w:keepNext w:val="0"/>
                    <w:keepLines w:val="0"/>
                    <w:pageBreakBefore w:val="0"/>
                    <w:widowControl/>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sz w:val="21"/>
                      <w:szCs w:val="21"/>
                      <w:highlight w:val="none"/>
                      <w:u w:val="none" w:color="auto"/>
                      <w:lang w:val="en-US" w:eastAsia="zh-CN"/>
                    </w:rPr>
                    <w:t>70</w:t>
                  </w:r>
                </w:p>
              </w:tc>
              <w:tc>
                <w:tcPr>
                  <w:tcW w:w="576" w:type="pct"/>
                  <w:noWrap w:val="0"/>
                  <w:vAlign w:val="center"/>
                </w:tcPr>
                <w:p w14:paraId="35446C1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27</w:t>
                  </w:r>
                </w:p>
              </w:tc>
              <w:tc>
                <w:tcPr>
                  <w:tcW w:w="1353" w:type="dxa"/>
                  <w:noWrap w:val="0"/>
                  <w:vAlign w:val="center"/>
                </w:tcPr>
                <w:p w14:paraId="344A16B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2"/>
                      <w:szCs w:val="22"/>
                      <w:highlight w:val="none"/>
                      <w:u w:val="none" w:color="auto"/>
                      <w:lang w:val="en-US" w:eastAsia="zh-CN" w:bidi="ar"/>
                    </w:rPr>
                    <w:t xml:space="preserve">41.4 </w:t>
                  </w:r>
                </w:p>
              </w:tc>
              <w:tc>
                <w:tcPr>
                  <w:tcW w:w="614" w:type="pct"/>
                  <w:noWrap w:val="0"/>
                  <w:vAlign w:val="center"/>
                </w:tcPr>
                <w:p w14:paraId="4178EA9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highlight w:val="none"/>
                      <w:u w:val="none" w:color="auto"/>
                      <w:lang w:val="en-US" w:eastAsia="zh-CN" w:bidi="ar"/>
                    </w:rPr>
                  </w:pPr>
                  <w:r>
                    <w:rPr>
                      <w:rFonts w:hint="eastAsia" w:cs="Times New Roman"/>
                      <w:i w:val="0"/>
                      <w:iCs w:val="0"/>
                      <w:color w:val="auto"/>
                      <w:kern w:val="0"/>
                      <w:sz w:val="22"/>
                      <w:szCs w:val="22"/>
                      <w:highlight w:val="none"/>
                      <w:u w:val="none" w:color="auto"/>
                      <w:lang w:val="en-US" w:eastAsia="zh-CN" w:bidi="ar"/>
                    </w:rPr>
                    <w:t>56/45</w:t>
                  </w:r>
                </w:p>
              </w:tc>
              <w:tc>
                <w:tcPr>
                  <w:tcW w:w="828" w:type="pct"/>
                  <w:noWrap w:val="0"/>
                  <w:vAlign w:val="center"/>
                </w:tcPr>
                <w:p w14:paraId="02191A0C">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u w:val="none" w:color="auto"/>
                      <w:lang w:val="en-US" w:eastAsia="zh-CN"/>
                    </w:rPr>
                  </w:pPr>
                  <w:r>
                    <w:rPr>
                      <w:rFonts w:hint="eastAsia" w:cs="Times New Roman"/>
                      <w:bCs/>
                      <w:color w:val="auto"/>
                      <w:sz w:val="21"/>
                      <w:szCs w:val="21"/>
                      <w:highlight w:val="none"/>
                      <w:u w:val="none" w:color="auto"/>
                      <w:lang w:val="en-US" w:eastAsia="zh-CN"/>
                    </w:rPr>
                    <w:t>56.1/46.6</w:t>
                  </w:r>
                </w:p>
              </w:tc>
              <w:tc>
                <w:tcPr>
                  <w:tcW w:w="513" w:type="pct"/>
                  <w:noWrap w:val="0"/>
                  <w:vAlign w:val="center"/>
                </w:tcPr>
                <w:p w14:paraId="00FFD3A6">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rPr>
                    <w:t>60</w:t>
                  </w:r>
                  <w:r>
                    <w:rPr>
                      <w:rFonts w:hint="eastAsia" w:cs="Times New Roman"/>
                      <w:bCs/>
                      <w:color w:val="auto"/>
                      <w:sz w:val="21"/>
                      <w:szCs w:val="21"/>
                      <w:highlight w:val="none"/>
                      <w:u w:val="none" w:color="auto"/>
                      <w:lang w:val="en-US" w:eastAsia="zh-CN"/>
                    </w:rPr>
                    <w:t>/50</w:t>
                  </w:r>
                </w:p>
              </w:tc>
            </w:tr>
            <w:tr w14:paraId="3C2CC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5" w:type="pct"/>
                  <w:noWrap w:val="0"/>
                  <w:vAlign w:val="center"/>
                </w:tcPr>
                <w:p w14:paraId="1DAB4A35">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highlight w:val="none"/>
                      <w:u w:val="none" w:color="auto"/>
                      <w:lang w:val="zh-CN"/>
                    </w:rPr>
                    <w:t>西</w:t>
                  </w:r>
                </w:p>
                <w:p w14:paraId="11D33A69">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highlight w:val="none"/>
                      <w:u w:val="none" w:color="auto"/>
                      <w:lang w:val="zh-CN"/>
                    </w:rPr>
                    <w:t>厂</w:t>
                  </w:r>
                </w:p>
                <w:p w14:paraId="6C9DB58B">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zh-CN"/>
                    </w:rPr>
                    <w:t>界</w:t>
                  </w:r>
                </w:p>
              </w:tc>
              <w:tc>
                <w:tcPr>
                  <w:tcW w:w="697" w:type="pct"/>
                  <w:noWrap w:val="0"/>
                  <w:vAlign w:val="center"/>
                </w:tcPr>
                <w:p w14:paraId="61DD453B">
                  <w:pPr>
                    <w:keepNext w:val="0"/>
                    <w:keepLines w:val="0"/>
                    <w:pageBreakBefore w:val="0"/>
                    <w:widowControl/>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TA001配套风机</w:t>
                  </w:r>
                </w:p>
              </w:tc>
              <w:tc>
                <w:tcPr>
                  <w:tcW w:w="578" w:type="pct"/>
                  <w:noWrap w:val="0"/>
                  <w:vAlign w:val="center"/>
                </w:tcPr>
                <w:p w14:paraId="743B6AE2">
                  <w:pPr>
                    <w:keepNext w:val="0"/>
                    <w:keepLines w:val="0"/>
                    <w:pageBreakBefore w:val="0"/>
                    <w:widowControl/>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sz w:val="21"/>
                      <w:szCs w:val="21"/>
                      <w:highlight w:val="none"/>
                      <w:u w:val="none" w:color="auto"/>
                      <w:lang w:val="en-US" w:eastAsia="zh-CN"/>
                    </w:rPr>
                    <w:t>70</w:t>
                  </w:r>
                </w:p>
              </w:tc>
              <w:tc>
                <w:tcPr>
                  <w:tcW w:w="576" w:type="pct"/>
                  <w:noWrap w:val="0"/>
                  <w:vAlign w:val="center"/>
                </w:tcPr>
                <w:p w14:paraId="6004401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18</w:t>
                  </w:r>
                </w:p>
              </w:tc>
              <w:tc>
                <w:tcPr>
                  <w:tcW w:w="1353" w:type="dxa"/>
                  <w:noWrap w:val="0"/>
                  <w:vAlign w:val="center"/>
                </w:tcPr>
                <w:p w14:paraId="735020C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2"/>
                      <w:szCs w:val="22"/>
                      <w:highlight w:val="none"/>
                      <w:u w:val="none" w:color="auto"/>
                      <w:lang w:val="en-US" w:eastAsia="zh-CN" w:bidi="ar"/>
                    </w:rPr>
                    <w:t xml:space="preserve">44.9 </w:t>
                  </w:r>
                </w:p>
              </w:tc>
              <w:tc>
                <w:tcPr>
                  <w:tcW w:w="614" w:type="pct"/>
                  <w:noWrap w:val="0"/>
                  <w:vAlign w:val="center"/>
                </w:tcPr>
                <w:p w14:paraId="028FBED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highlight w:val="none"/>
                      <w:u w:val="none" w:color="auto"/>
                      <w:lang w:val="en-US" w:eastAsia="zh-CN" w:bidi="ar"/>
                    </w:rPr>
                  </w:pPr>
                  <w:r>
                    <w:rPr>
                      <w:rFonts w:hint="eastAsia" w:cs="Times New Roman"/>
                      <w:i w:val="0"/>
                      <w:iCs w:val="0"/>
                      <w:color w:val="auto"/>
                      <w:kern w:val="0"/>
                      <w:sz w:val="22"/>
                      <w:szCs w:val="22"/>
                      <w:highlight w:val="none"/>
                      <w:u w:val="none" w:color="auto"/>
                      <w:lang w:val="en-US" w:eastAsia="zh-CN" w:bidi="ar"/>
                    </w:rPr>
                    <w:t>53/41</w:t>
                  </w:r>
                </w:p>
              </w:tc>
              <w:tc>
                <w:tcPr>
                  <w:tcW w:w="828" w:type="pct"/>
                  <w:noWrap w:val="0"/>
                  <w:vAlign w:val="center"/>
                </w:tcPr>
                <w:p w14:paraId="26AB96BA">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u w:val="none" w:color="auto"/>
                      <w:lang w:val="en-US" w:eastAsia="zh-CN"/>
                    </w:rPr>
                  </w:pPr>
                  <w:r>
                    <w:rPr>
                      <w:rFonts w:hint="eastAsia" w:cs="Times New Roman"/>
                      <w:bCs/>
                      <w:color w:val="auto"/>
                      <w:sz w:val="21"/>
                      <w:szCs w:val="21"/>
                      <w:highlight w:val="none"/>
                      <w:u w:val="none" w:color="auto"/>
                      <w:lang w:val="en-US" w:eastAsia="zh-CN"/>
                    </w:rPr>
                    <w:t>53.6/46.4</w:t>
                  </w:r>
                </w:p>
              </w:tc>
              <w:tc>
                <w:tcPr>
                  <w:tcW w:w="513" w:type="pct"/>
                  <w:noWrap w:val="0"/>
                  <w:vAlign w:val="center"/>
                </w:tcPr>
                <w:p w14:paraId="546C20A1">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rPr>
                    <w:t>60</w:t>
                  </w:r>
                  <w:r>
                    <w:rPr>
                      <w:rFonts w:hint="eastAsia" w:cs="Times New Roman"/>
                      <w:bCs/>
                      <w:color w:val="auto"/>
                      <w:sz w:val="21"/>
                      <w:szCs w:val="21"/>
                      <w:highlight w:val="none"/>
                      <w:u w:val="none" w:color="auto"/>
                      <w:lang w:val="en-US" w:eastAsia="zh-CN"/>
                    </w:rPr>
                    <w:t>/50</w:t>
                  </w:r>
                </w:p>
              </w:tc>
            </w:tr>
            <w:tr w14:paraId="23E06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5" w:type="pct"/>
                  <w:noWrap w:val="0"/>
                  <w:vAlign w:val="center"/>
                </w:tcPr>
                <w:p w14:paraId="3D5C505B">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highlight w:val="none"/>
                      <w:u w:val="none" w:color="auto"/>
                      <w:lang w:val="zh-CN"/>
                    </w:rPr>
                    <w:t>北</w:t>
                  </w:r>
                </w:p>
                <w:p w14:paraId="2A5EF1AD">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zh-CN"/>
                    </w:rPr>
                  </w:pPr>
                  <w:r>
                    <w:rPr>
                      <w:rFonts w:hint="default" w:ascii="Times New Roman" w:hAnsi="Times New Roman" w:eastAsia="宋体" w:cs="Times New Roman"/>
                      <w:color w:val="auto"/>
                      <w:sz w:val="21"/>
                      <w:szCs w:val="21"/>
                      <w:highlight w:val="none"/>
                      <w:u w:val="none" w:color="auto"/>
                      <w:lang w:val="zh-CN"/>
                    </w:rPr>
                    <w:t>厂</w:t>
                  </w:r>
                </w:p>
                <w:p w14:paraId="5C4E61E0">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zh-CN"/>
                    </w:rPr>
                    <w:t>界</w:t>
                  </w:r>
                </w:p>
              </w:tc>
              <w:tc>
                <w:tcPr>
                  <w:tcW w:w="697" w:type="pct"/>
                  <w:noWrap w:val="0"/>
                  <w:vAlign w:val="center"/>
                </w:tcPr>
                <w:p w14:paraId="0B52B3C2">
                  <w:pPr>
                    <w:keepNext w:val="0"/>
                    <w:keepLines w:val="0"/>
                    <w:pageBreakBefore w:val="0"/>
                    <w:widowControl/>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2"/>
                      <w:sz w:val="21"/>
                      <w:szCs w:val="21"/>
                      <w:highlight w:val="none"/>
                      <w:u w:val="none" w:color="auto"/>
                      <w:lang w:val="en-US" w:eastAsia="zh-CN" w:bidi="ar-SA"/>
                    </w:rPr>
                    <w:t>TA001配套风机</w:t>
                  </w:r>
                </w:p>
              </w:tc>
              <w:tc>
                <w:tcPr>
                  <w:tcW w:w="578" w:type="pct"/>
                  <w:noWrap w:val="0"/>
                  <w:vAlign w:val="center"/>
                </w:tcPr>
                <w:p w14:paraId="0605EA33">
                  <w:pPr>
                    <w:keepNext w:val="0"/>
                    <w:keepLines w:val="0"/>
                    <w:pageBreakBefore w:val="0"/>
                    <w:widowControl/>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sz w:val="21"/>
                      <w:szCs w:val="21"/>
                      <w:highlight w:val="none"/>
                      <w:u w:val="none" w:color="auto"/>
                      <w:lang w:val="en-US" w:eastAsia="zh-CN"/>
                    </w:rPr>
                    <w:t>70</w:t>
                  </w:r>
                </w:p>
              </w:tc>
              <w:tc>
                <w:tcPr>
                  <w:tcW w:w="576" w:type="pct"/>
                  <w:noWrap w:val="0"/>
                  <w:vAlign w:val="center"/>
                </w:tcPr>
                <w:p w14:paraId="3CC034A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138</w:t>
                  </w:r>
                </w:p>
              </w:tc>
              <w:tc>
                <w:tcPr>
                  <w:tcW w:w="1353" w:type="dxa"/>
                  <w:noWrap w:val="0"/>
                  <w:vAlign w:val="center"/>
                </w:tcPr>
                <w:p w14:paraId="422B8CB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auto"/>
                      <w:kern w:val="0"/>
                      <w:sz w:val="22"/>
                      <w:szCs w:val="22"/>
                      <w:highlight w:val="none"/>
                      <w:u w:val="none" w:color="auto"/>
                      <w:lang w:val="en-US" w:eastAsia="zh-CN" w:bidi="ar"/>
                    </w:rPr>
                    <w:t xml:space="preserve">27.2 </w:t>
                  </w:r>
                </w:p>
              </w:tc>
              <w:tc>
                <w:tcPr>
                  <w:tcW w:w="614" w:type="pct"/>
                  <w:noWrap w:val="0"/>
                  <w:vAlign w:val="center"/>
                </w:tcPr>
                <w:p w14:paraId="2293F7A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highlight w:val="none"/>
                      <w:u w:val="none" w:color="auto"/>
                      <w:lang w:val="en-US" w:eastAsia="zh-CN" w:bidi="ar"/>
                    </w:rPr>
                  </w:pPr>
                  <w:r>
                    <w:rPr>
                      <w:rFonts w:hint="eastAsia" w:cs="Times New Roman"/>
                      <w:i w:val="0"/>
                      <w:iCs w:val="0"/>
                      <w:color w:val="auto"/>
                      <w:kern w:val="0"/>
                      <w:sz w:val="22"/>
                      <w:szCs w:val="22"/>
                      <w:highlight w:val="none"/>
                      <w:u w:val="none" w:color="auto"/>
                      <w:lang w:val="en-US" w:eastAsia="zh-CN" w:bidi="ar"/>
                    </w:rPr>
                    <w:t>53/42</w:t>
                  </w:r>
                </w:p>
              </w:tc>
              <w:tc>
                <w:tcPr>
                  <w:tcW w:w="828" w:type="pct"/>
                  <w:noWrap w:val="0"/>
                  <w:vAlign w:val="center"/>
                </w:tcPr>
                <w:p w14:paraId="084A841E">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u w:val="none" w:color="auto"/>
                      <w:lang w:val="en-US" w:eastAsia="zh-CN"/>
                    </w:rPr>
                  </w:pPr>
                  <w:r>
                    <w:rPr>
                      <w:rFonts w:hint="eastAsia" w:cs="Times New Roman"/>
                      <w:bCs/>
                      <w:color w:val="auto"/>
                      <w:sz w:val="21"/>
                      <w:szCs w:val="21"/>
                      <w:highlight w:val="none"/>
                      <w:u w:val="none" w:color="auto"/>
                      <w:lang w:val="en-US" w:eastAsia="zh-CN"/>
                    </w:rPr>
                    <w:t>53/42.1</w:t>
                  </w:r>
                </w:p>
              </w:tc>
              <w:tc>
                <w:tcPr>
                  <w:tcW w:w="513" w:type="pct"/>
                  <w:noWrap w:val="0"/>
                  <w:vAlign w:val="center"/>
                </w:tcPr>
                <w:p w14:paraId="2942A4E1">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rPr>
                    <w:t>60</w:t>
                  </w:r>
                  <w:r>
                    <w:rPr>
                      <w:rFonts w:hint="eastAsia" w:cs="Times New Roman"/>
                      <w:bCs/>
                      <w:color w:val="auto"/>
                      <w:sz w:val="21"/>
                      <w:szCs w:val="21"/>
                      <w:highlight w:val="none"/>
                      <w:u w:val="none" w:color="auto"/>
                      <w:lang w:val="en-US" w:eastAsia="zh-CN"/>
                    </w:rPr>
                    <w:t>/50</w:t>
                  </w:r>
                </w:p>
              </w:tc>
            </w:tr>
            <w:tr w14:paraId="0D424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5" w:type="pct"/>
                  <w:noWrap w:val="0"/>
                  <w:vAlign w:val="center"/>
                </w:tcPr>
                <w:p w14:paraId="090DC230">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lang w:val="en-US" w:eastAsia="zh-CN"/>
                    </w:rPr>
                    <w:t>镇平县项目西侧居民点</w:t>
                  </w:r>
                </w:p>
              </w:tc>
              <w:tc>
                <w:tcPr>
                  <w:tcW w:w="697" w:type="pct"/>
                  <w:noWrap w:val="0"/>
                  <w:vAlign w:val="center"/>
                </w:tcPr>
                <w:p w14:paraId="0BAE0F19">
                  <w:pPr>
                    <w:keepNext w:val="0"/>
                    <w:keepLines w:val="0"/>
                    <w:pageBreakBefore w:val="0"/>
                    <w:widowControl/>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TA001配套风机</w:t>
                  </w:r>
                </w:p>
              </w:tc>
              <w:tc>
                <w:tcPr>
                  <w:tcW w:w="578" w:type="pct"/>
                  <w:noWrap w:val="0"/>
                  <w:vAlign w:val="center"/>
                </w:tcPr>
                <w:p w14:paraId="73732647">
                  <w:pPr>
                    <w:keepNext w:val="0"/>
                    <w:keepLines w:val="0"/>
                    <w:pageBreakBefore w:val="0"/>
                    <w:widowControl/>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sz w:val="21"/>
                      <w:szCs w:val="21"/>
                      <w:highlight w:val="none"/>
                      <w:u w:val="none" w:color="auto"/>
                      <w:lang w:val="en-US" w:eastAsia="zh-CN"/>
                    </w:rPr>
                    <w:t>70</w:t>
                  </w:r>
                </w:p>
              </w:tc>
              <w:tc>
                <w:tcPr>
                  <w:tcW w:w="576" w:type="pct"/>
                  <w:noWrap w:val="0"/>
                  <w:vAlign w:val="center"/>
                </w:tcPr>
                <w:p w14:paraId="0CE5EEC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42</w:t>
                  </w:r>
                </w:p>
              </w:tc>
              <w:tc>
                <w:tcPr>
                  <w:tcW w:w="1353" w:type="dxa"/>
                  <w:noWrap w:val="0"/>
                  <w:vAlign w:val="center"/>
                </w:tcPr>
                <w:p w14:paraId="79E7128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2"/>
                      <w:szCs w:val="22"/>
                      <w:highlight w:val="none"/>
                      <w:u w:val="none" w:color="auto"/>
                      <w:lang w:val="en-US" w:eastAsia="zh-CN" w:bidi="ar"/>
                    </w:rPr>
                    <w:t xml:space="preserve">37.5 </w:t>
                  </w:r>
                </w:p>
              </w:tc>
              <w:tc>
                <w:tcPr>
                  <w:tcW w:w="614" w:type="pct"/>
                  <w:noWrap w:val="0"/>
                  <w:vAlign w:val="center"/>
                </w:tcPr>
                <w:p w14:paraId="18CC702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highlight w:val="none"/>
                      <w:u w:val="none" w:color="auto"/>
                      <w:lang w:val="en-US" w:eastAsia="zh-CN" w:bidi="ar"/>
                    </w:rPr>
                  </w:pPr>
                  <w:r>
                    <w:rPr>
                      <w:rFonts w:hint="eastAsia" w:cs="Times New Roman"/>
                      <w:i w:val="0"/>
                      <w:iCs w:val="0"/>
                      <w:color w:val="auto"/>
                      <w:kern w:val="0"/>
                      <w:sz w:val="22"/>
                      <w:szCs w:val="22"/>
                      <w:highlight w:val="none"/>
                      <w:u w:val="none" w:color="auto"/>
                      <w:lang w:val="en-US" w:eastAsia="zh-CN" w:bidi="ar"/>
                    </w:rPr>
                    <w:t>52/44</w:t>
                  </w:r>
                </w:p>
              </w:tc>
              <w:tc>
                <w:tcPr>
                  <w:tcW w:w="828" w:type="pct"/>
                  <w:noWrap w:val="0"/>
                  <w:vAlign w:val="center"/>
                </w:tcPr>
                <w:p w14:paraId="1E93F67A">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u w:val="none" w:color="auto"/>
                      <w:lang w:val="en-US" w:eastAsia="zh-CN"/>
                    </w:rPr>
                  </w:pPr>
                  <w:r>
                    <w:rPr>
                      <w:rFonts w:hint="eastAsia" w:cs="Times New Roman"/>
                      <w:bCs/>
                      <w:color w:val="auto"/>
                      <w:sz w:val="21"/>
                      <w:szCs w:val="21"/>
                      <w:highlight w:val="none"/>
                      <w:u w:val="none" w:color="auto"/>
                      <w:lang w:val="en-US" w:eastAsia="zh-CN"/>
                    </w:rPr>
                    <w:t>52.2/44.9</w:t>
                  </w:r>
                </w:p>
              </w:tc>
              <w:tc>
                <w:tcPr>
                  <w:tcW w:w="513" w:type="pct"/>
                  <w:noWrap w:val="0"/>
                  <w:vAlign w:val="center"/>
                </w:tcPr>
                <w:p w14:paraId="0328D6C6">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rPr>
                    <w:t>60</w:t>
                  </w:r>
                  <w:r>
                    <w:rPr>
                      <w:rFonts w:hint="eastAsia" w:cs="Times New Roman"/>
                      <w:bCs/>
                      <w:color w:val="auto"/>
                      <w:sz w:val="21"/>
                      <w:szCs w:val="21"/>
                      <w:highlight w:val="none"/>
                      <w:u w:val="none" w:color="auto"/>
                      <w:lang w:val="en-US" w:eastAsia="zh-CN"/>
                    </w:rPr>
                    <w:t>/50</w:t>
                  </w:r>
                </w:p>
              </w:tc>
            </w:tr>
            <w:tr w14:paraId="5345F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5" w:type="pct"/>
                  <w:noWrap w:val="0"/>
                  <w:vAlign w:val="center"/>
                </w:tcPr>
                <w:p w14:paraId="68050982">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镇平县项目北侧居民点</w:t>
                  </w:r>
                </w:p>
              </w:tc>
              <w:tc>
                <w:tcPr>
                  <w:tcW w:w="697" w:type="pct"/>
                  <w:noWrap w:val="0"/>
                  <w:vAlign w:val="center"/>
                </w:tcPr>
                <w:p w14:paraId="46D8BBE1">
                  <w:pPr>
                    <w:keepNext w:val="0"/>
                    <w:keepLines w:val="0"/>
                    <w:pageBreakBefore w:val="0"/>
                    <w:widowControl/>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auto"/>
                      <w:sz w:val="21"/>
                      <w:szCs w:val="21"/>
                      <w:highlight w:val="none"/>
                      <w:u w:val="none" w:color="auto"/>
                      <w:lang w:val="en-US" w:eastAsia="zh-CN"/>
                    </w:rPr>
                  </w:pPr>
                  <w:r>
                    <w:rPr>
                      <w:color w:val="auto"/>
                      <w:kern w:val="0"/>
                      <w:szCs w:val="21"/>
                      <w:highlight w:val="none"/>
                      <w:u w:val="none" w:color="auto"/>
                      <w:lang w:bidi="ar"/>
                    </w:rPr>
                    <w:t>TA001配套风机</w:t>
                  </w:r>
                </w:p>
              </w:tc>
              <w:tc>
                <w:tcPr>
                  <w:tcW w:w="578" w:type="pct"/>
                  <w:noWrap w:val="0"/>
                  <w:vAlign w:val="center"/>
                </w:tcPr>
                <w:p w14:paraId="1F80AFBC">
                  <w:pPr>
                    <w:keepNext w:val="0"/>
                    <w:keepLines w:val="0"/>
                    <w:pageBreakBefore w:val="0"/>
                    <w:widowControl/>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70</w:t>
                  </w:r>
                </w:p>
              </w:tc>
              <w:tc>
                <w:tcPr>
                  <w:tcW w:w="576" w:type="pct"/>
                  <w:noWrap w:val="0"/>
                  <w:vAlign w:val="center"/>
                </w:tcPr>
                <w:p w14:paraId="49F9CA8B">
                  <w:pPr>
                    <w:keepNext w:val="0"/>
                    <w:keepLines w:val="0"/>
                    <w:widowControl/>
                    <w:suppressLineNumbers w:val="0"/>
                    <w:spacing w:before="0" w:beforeAutospacing="0" w:after="0" w:afterAutospacing="0"/>
                    <w:ind w:left="0" w:leftChars="0" w:right="0" w:rightChars="0"/>
                    <w:jc w:val="center"/>
                    <w:textAlignment w:val="center"/>
                    <w:rPr>
                      <w:rFonts w:hint="default"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143</w:t>
                  </w:r>
                </w:p>
              </w:tc>
              <w:tc>
                <w:tcPr>
                  <w:tcW w:w="1353" w:type="dxa"/>
                  <w:noWrap w:val="0"/>
                  <w:vAlign w:val="center"/>
                </w:tcPr>
                <w:p w14:paraId="76328C9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2"/>
                      <w:szCs w:val="22"/>
                      <w:highlight w:val="none"/>
                      <w:u w:val="none" w:color="auto"/>
                      <w:lang w:val="en-US" w:eastAsia="zh-CN" w:bidi="ar"/>
                    </w:rPr>
                    <w:t xml:space="preserve">26.9 </w:t>
                  </w:r>
                </w:p>
              </w:tc>
              <w:tc>
                <w:tcPr>
                  <w:tcW w:w="1047" w:type="dxa"/>
                  <w:noWrap w:val="0"/>
                  <w:vAlign w:val="center"/>
                </w:tcPr>
                <w:p w14:paraId="63616500">
                  <w:pPr>
                    <w:keepNext w:val="0"/>
                    <w:keepLines w:val="0"/>
                    <w:widowControl/>
                    <w:suppressLineNumbers w:val="0"/>
                    <w:jc w:val="center"/>
                    <w:textAlignment w:val="center"/>
                    <w:rPr>
                      <w:rFonts w:hint="default" w:cs="Times New Roman"/>
                      <w:i w:val="0"/>
                      <w:iCs w:val="0"/>
                      <w:color w:val="auto"/>
                      <w:kern w:val="0"/>
                      <w:sz w:val="22"/>
                      <w:szCs w:val="22"/>
                      <w:highlight w:val="none"/>
                      <w:u w:val="none" w:color="auto"/>
                      <w:lang w:val="en-US" w:eastAsia="zh-CN" w:bidi="ar"/>
                    </w:rPr>
                  </w:pPr>
                  <w:r>
                    <w:rPr>
                      <w:rFonts w:hint="eastAsia" w:cs="Times New Roman"/>
                      <w:i w:val="0"/>
                      <w:iCs w:val="0"/>
                      <w:color w:val="auto"/>
                      <w:kern w:val="0"/>
                      <w:sz w:val="22"/>
                      <w:szCs w:val="22"/>
                      <w:highlight w:val="none"/>
                      <w:u w:val="none" w:color="auto"/>
                      <w:lang w:val="en-US" w:eastAsia="zh-CN" w:bidi="ar"/>
                    </w:rPr>
                    <w:t>51/42</w:t>
                  </w:r>
                </w:p>
              </w:tc>
              <w:tc>
                <w:tcPr>
                  <w:tcW w:w="1411" w:type="dxa"/>
                  <w:noWrap w:val="0"/>
                  <w:vAlign w:val="center"/>
                </w:tcPr>
                <w:p w14:paraId="74E42635">
                  <w:pPr>
                    <w:keepNext w:val="0"/>
                    <w:keepLines w:val="0"/>
                    <w:pageBreakBefore w:val="0"/>
                    <w:suppressLineNumbers w:val="0"/>
                    <w:kinsoku/>
                    <w:wordWrap/>
                    <w:overflowPunct/>
                    <w:topLinePunct w:val="0"/>
                    <w:bidi w:val="0"/>
                    <w:snapToGrid/>
                    <w:spacing w:before="0" w:beforeAutospacing="0" w:after="0" w:afterAutospacing="0" w:line="240" w:lineRule="auto"/>
                    <w:ind w:left="0" w:leftChars="0" w:right="0" w:rightChars="0"/>
                    <w:jc w:val="center"/>
                    <w:rPr>
                      <w:rFonts w:hint="default" w:cs="Times New Roman"/>
                      <w:bCs/>
                      <w:color w:val="auto"/>
                      <w:sz w:val="21"/>
                      <w:szCs w:val="21"/>
                      <w:highlight w:val="none"/>
                      <w:u w:val="none" w:color="auto"/>
                      <w:lang w:val="en-US" w:eastAsia="zh-CN"/>
                    </w:rPr>
                  </w:pPr>
                  <w:r>
                    <w:rPr>
                      <w:rFonts w:hint="eastAsia" w:cs="Times New Roman"/>
                      <w:bCs/>
                      <w:color w:val="auto"/>
                      <w:sz w:val="21"/>
                      <w:szCs w:val="21"/>
                      <w:highlight w:val="none"/>
                      <w:u w:val="none" w:color="auto"/>
                      <w:lang w:val="en-US" w:eastAsia="zh-CN"/>
                    </w:rPr>
                    <w:t>51.0/42.1</w:t>
                  </w:r>
                </w:p>
              </w:tc>
              <w:tc>
                <w:tcPr>
                  <w:tcW w:w="513" w:type="pct"/>
                  <w:noWrap w:val="0"/>
                  <w:vAlign w:val="center"/>
                </w:tcPr>
                <w:p w14:paraId="0BAF17EA">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eastAsia"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rPr>
                    <w:t>60</w:t>
                  </w:r>
                  <w:r>
                    <w:rPr>
                      <w:rFonts w:hint="eastAsia" w:cs="Times New Roman"/>
                      <w:bCs/>
                      <w:color w:val="auto"/>
                      <w:sz w:val="21"/>
                      <w:szCs w:val="21"/>
                      <w:highlight w:val="none"/>
                      <w:u w:val="none" w:color="auto"/>
                      <w:lang w:val="en-US" w:eastAsia="zh-CN"/>
                    </w:rPr>
                    <w:t>/50</w:t>
                  </w:r>
                </w:p>
              </w:tc>
            </w:tr>
            <w:tr w14:paraId="7AFC4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5" w:type="pct"/>
                  <w:noWrap w:val="0"/>
                  <w:vAlign w:val="center"/>
                </w:tcPr>
                <w:p w14:paraId="6E15103A">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lang w:val="en-US" w:eastAsia="zh-CN"/>
                    </w:rPr>
                    <w:t>镇平县项目南侧居民点</w:t>
                  </w:r>
                </w:p>
              </w:tc>
              <w:tc>
                <w:tcPr>
                  <w:tcW w:w="697" w:type="pct"/>
                  <w:noWrap w:val="0"/>
                  <w:vAlign w:val="center"/>
                </w:tcPr>
                <w:p w14:paraId="6EC1AB61">
                  <w:pPr>
                    <w:keepNext w:val="0"/>
                    <w:keepLines w:val="0"/>
                    <w:pageBreakBefore w:val="0"/>
                    <w:widowControl/>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auto"/>
                      <w:sz w:val="21"/>
                      <w:szCs w:val="21"/>
                      <w:highlight w:val="none"/>
                      <w:u w:val="none" w:color="auto"/>
                      <w:lang w:val="en-US" w:eastAsia="zh-CN"/>
                    </w:rPr>
                  </w:pPr>
                  <w:r>
                    <w:rPr>
                      <w:color w:val="auto"/>
                      <w:kern w:val="0"/>
                      <w:szCs w:val="21"/>
                      <w:highlight w:val="none"/>
                      <w:u w:val="none" w:color="auto"/>
                      <w:lang w:bidi="ar"/>
                    </w:rPr>
                    <w:t>TA001配套风机</w:t>
                  </w:r>
                </w:p>
              </w:tc>
              <w:tc>
                <w:tcPr>
                  <w:tcW w:w="578" w:type="pct"/>
                  <w:noWrap w:val="0"/>
                  <w:vAlign w:val="center"/>
                </w:tcPr>
                <w:p w14:paraId="49337A2E">
                  <w:pPr>
                    <w:keepNext w:val="0"/>
                    <w:keepLines w:val="0"/>
                    <w:pageBreakBefore w:val="0"/>
                    <w:widowControl/>
                    <w:suppressLineNumbers w:val="0"/>
                    <w:kinsoku/>
                    <w:wordWrap/>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70</w:t>
                  </w:r>
                </w:p>
              </w:tc>
              <w:tc>
                <w:tcPr>
                  <w:tcW w:w="576" w:type="pct"/>
                  <w:noWrap w:val="0"/>
                  <w:vAlign w:val="center"/>
                </w:tcPr>
                <w:p w14:paraId="5F9F1083">
                  <w:pPr>
                    <w:keepNext w:val="0"/>
                    <w:keepLines w:val="0"/>
                    <w:widowControl/>
                    <w:suppressLineNumbers w:val="0"/>
                    <w:spacing w:before="0" w:beforeAutospacing="0" w:after="0" w:afterAutospacing="0"/>
                    <w:ind w:left="0" w:leftChars="0" w:right="0" w:rightChars="0"/>
                    <w:jc w:val="center"/>
                    <w:textAlignment w:val="center"/>
                    <w:rPr>
                      <w:rFonts w:hint="default"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30</w:t>
                  </w:r>
                </w:p>
              </w:tc>
              <w:tc>
                <w:tcPr>
                  <w:tcW w:w="1353" w:type="dxa"/>
                  <w:noWrap w:val="0"/>
                  <w:vAlign w:val="center"/>
                </w:tcPr>
                <w:p w14:paraId="31881D4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color="auto"/>
                      <w:lang w:val="en-US" w:eastAsia="zh-CN" w:bidi="ar"/>
                    </w:rPr>
                  </w:pPr>
                  <w:r>
                    <w:rPr>
                      <w:rFonts w:hint="default" w:ascii="Times New Roman" w:hAnsi="Times New Roman" w:eastAsia="宋体" w:cs="Times New Roman"/>
                      <w:i w:val="0"/>
                      <w:iCs w:val="0"/>
                      <w:color w:val="auto"/>
                      <w:kern w:val="0"/>
                      <w:sz w:val="22"/>
                      <w:szCs w:val="22"/>
                      <w:highlight w:val="none"/>
                      <w:u w:val="none" w:color="auto"/>
                      <w:lang w:val="en-US" w:eastAsia="zh-CN" w:bidi="ar"/>
                    </w:rPr>
                    <w:t xml:space="preserve">40.5 </w:t>
                  </w:r>
                </w:p>
              </w:tc>
              <w:tc>
                <w:tcPr>
                  <w:tcW w:w="1047" w:type="dxa"/>
                  <w:noWrap w:val="0"/>
                  <w:vAlign w:val="center"/>
                </w:tcPr>
                <w:p w14:paraId="074336FE">
                  <w:pPr>
                    <w:keepNext w:val="0"/>
                    <w:keepLines w:val="0"/>
                    <w:widowControl/>
                    <w:suppressLineNumbers w:val="0"/>
                    <w:jc w:val="center"/>
                    <w:textAlignment w:val="center"/>
                    <w:rPr>
                      <w:rFonts w:hint="default" w:cs="Times New Roman"/>
                      <w:i w:val="0"/>
                      <w:iCs w:val="0"/>
                      <w:color w:val="auto"/>
                      <w:kern w:val="0"/>
                      <w:sz w:val="22"/>
                      <w:szCs w:val="22"/>
                      <w:highlight w:val="none"/>
                      <w:u w:val="none" w:color="auto"/>
                      <w:lang w:val="en-US" w:eastAsia="zh-CN" w:bidi="ar"/>
                    </w:rPr>
                  </w:pPr>
                  <w:r>
                    <w:rPr>
                      <w:rFonts w:hint="eastAsia" w:cs="Times New Roman"/>
                      <w:i w:val="0"/>
                      <w:iCs w:val="0"/>
                      <w:color w:val="auto"/>
                      <w:kern w:val="0"/>
                      <w:sz w:val="22"/>
                      <w:szCs w:val="22"/>
                      <w:highlight w:val="none"/>
                      <w:u w:val="none" w:color="auto"/>
                      <w:lang w:val="en-US" w:eastAsia="zh-CN" w:bidi="ar"/>
                    </w:rPr>
                    <w:t>53/44</w:t>
                  </w:r>
                </w:p>
              </w:tc>
              <w:tc>
                <w:tcPr>
                  <w:tcW w:w="1411" w:type="dxa"/>
                  <w:noWrap w:val="0"/>
                  <w:vAlign w:val="center"/>
                </w:tcPr>
                <w:p w14:paraId="3C7CB75C">
                  <w:pPr>
                    <w:keepNext w:val="0"/>
                    <w:keepLines w:val="0"/>
                    <w:pageBreakBefore w:val="0"/>
                    <w:suppressLineNumbers w:val="0"/>
                    <w:kinsoku/>
                    <w:wordWrap/>
                    <w:overflowPunct/>
                    <w:topLinePunct w:val="0"/>
                    <w:bidi w:val="0"/>
                    <w:snapToGrid/>
                    <w:spacing w:before="0" w:beforeAutospacing="0" w:after="0" w:afterAutospacing="0" w:line="240" w:lineRule="auto"/>
                    <w:ind w:left="0" w:leftChars="0" w:right="0" w:rightChars="0"/>
                    <w:jc w:val="center"/>
                    <w:rPr>
                      <w:rFonts w:hint="default" w:cs="Times New Roman"/>
                      <w:bCs/>
                      <w:color w:val="auto"/>
                      <w:sz w:val="21"/>
                      <w:szCs w:val="21"/>
                      <w:highlight w:val="none"/>
                      <w:u w:val="none" w:color="auto"/>
                      <w:lang w:val="en-US" w:eastAsia="zh-CN"/>
                    </w:rPr>
                  </w:pPr>
                  <w:r>
                    <w:rPr>
                      <w:rFonts w:hint="eastAsia" w:cs="Times New Roman"/>
                      <w:bCs/>
                      <w:color w:val="auto"/>
                      <w:sz w:val="21"/>
                      <w:szCs w:val="21"/>
                      <w:highlight w:val="none"/>
                      <w:u w:val="none" w:color="auto"/>
                      <w:lang w:val="en-US" w:eastAsia="zh-CN"/>
                    </w:rPr>
                    <w:t>53.2/45.6</w:t>
                  </w:r>
                </w:p>
              </w:tc>
              <w:tc>
                <w:tcPr>
                  <w:tcW w:w="513" w:type="pct"/>
                  <w:noWrap w:val="0"/>
                  <w:vAlign w:val="center"/>
                </w:tcPr>
                <w:p w14:paraId="6430EE25">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eastAsia" w:cs="Times New Roman"/>
                      <w:bCs/>
                      <w:color w:val="auto"/>
                      <w:sz w:val="21"/>
                      <w:szCs w:val="21"/>
                      <w:highlight w:val="none"/>
                      <w:u w:val="none" w:color="auto"/>
                      <w:lang w:val="en-US" w:eastAsia="zh-CN"/>
                    </w:rPr>
                  </w:pPr>
                  <w:r>
                    <w:rPr>
                      <w:rFonts w:hint="default" w:ascii="Times New Roman" w:hAnsi="Times New Roman" w:eastAsia="宋体" w:cs="Times New Roman"/>
                      <w:bCs/>
                      <w:color w:val="auto"/>
                      <w:sz w:val="21"/>
                      <w:szCs w:val="21"/>
                      <w:highlight w:val="none"/>
                      <w:u w:val="none" w:color="auto"/>
                    </w:rPr>
                    <w:t>60</w:t>
                  </w:r>
                  <w:r>
                    <w:rPr>
                      <w:rFonts w:hint="eastAsia" w:cs="Times New Roman"/>
                      <w:bCs/>
                      <w:color w:val="auto"/>
                      <w:sz w:val="21"/>
                      <w:szCs w:val="21"/>
                      <w:highlight w:val="none"/>
                      <w:u w:val="none" w:color="auto"/>
                      <w:lang w:val="en-US" w:eastAsia="zh-CN"/>
                    </w:rPr>
                    <w:t>/50</w:t>
                  </w:r>
                </w:p>
              </w:tc>
            </w:tr>
          </w:tbl>
          <w:p w14:paraId="0DC390A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highlight w:val="none"/>
                <w:u w:val="none" w:color="auto"/>
                <w:lang w:val="en-US" w:eastAsia="zh-CN"/>
              </w:rPr>
            </w:pPr>
            <w:r>
              <w:rPr>
                <w:rFonts w:hint="default"/>
                <w:color w:val="auto"/>
                <w:sz w:val="24"/>
                <w:szCs w:val="24"/>
                <w:highlight w:val="none"/>
                <w:u w:val="none" w:color="auto"/>
                <w:lang w:val="en-US" w:eastAsia="zh-CN"/>
              </w:rPr>
              <w:t>由上表预测结果可知，本项目营运期生产噪声对东、南、西、北</w:t>
            </w:r>
            <w:r>
              <w:rPr>
                <w:rFonts w:hint="eastAsia"/>
                <w:color w:val="auto"/>
                <w:sz w:val="24"/>
                <w:szCs w:val="24"/>
                <w:highlight w:val="none"/>
                <w:u w:val="none" w:color="auto"/>
                <w:lang w:val="en-US" w:eastAsia="zh-CN"/>
              </w:rPr>
              <w:t>校</w:t>
            </w:r>
            <w:r>
              <w:rPr>
                <w:rFonts w:hint="default"/>
                <w:color w:val="auto"/>
                <w:sz w:val="24"/>
                <w:szCs w:val="24"/>
                <w:highlight w:val="none"/>
                <w:u w:val="none" w:color="auto"/>
                <w:lang w:val="en-US" w:eastAsia="zh-CN"/>
              </w:rPr>
              <w:t>界的贡献值可以满足《工业企业厂界环境噪声排放标准》（GB12348-2008）中2类标准要求，对</w:t>
            </w:r>
            <w:r>
              <w:rPr>
                <w:rFonts w:hint="eastAsia"/>
                <w:color w:val="auto"/>
                <w:sz w:val="24"/>
                <w:szCs w:val="24"/>
                <w:highlight w:val="none"/>
                <w:u w:val="none" w:color="auto"/>
                <w:lang w:val="en-US" w:eastAsia="zh-CN"/>
              </w:rPr>
              <w:t>校区敏感点</w:t>
            </w:r>
            <w:r>
              <w:rPr>
                <w:rFonts w:hint="default"/>
                <w:color w:val="auto"/>
                <w:sz w:val="24"/>
                <w:szCs w:val="24"/>
                <w:highlight w:val="none"/>
                <w:u w:val="none" w:color="auto"/>
                <w:lang w:val="en-US" w:eastAsia="zh-CN"/>
              </w:rPr>
              <w:t>的噪声预测值可以满足《声环境质量标准》（GB3096-2008）2类区标准要求。因此项目产生的噪声对周围环境的影响在可接受范围内。</w:t>
            </w:r>
          </w:p>
          <w:p w14:paraId="7E595246">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color w:val="auto"/>
                <w:kern w:val="0"/>
                <w:sz w:val="24"/>
                <w:szCs w:val="21"/>
                <w:u w:val="none" w:color="auto"/>
              </w:rPr>
            </w:pPr>
            <w:r>
              <w:rPr>
                <w:rFonts w:hint="eastAsia"/>
                <w:color w:val="auto"/>
                <w:kern w:val="0"/>
                <w:sz w:val="24"/>
                <w:szCs w:val="21"/>
                <w:u w:val="none" w:color="auto"/>
              </w:rPr>
              <w:t>3.4声环境监测计划</w:t>
            </w:r>
          </w:p>
          <w:p w14:paraId="3232F77C">
            <w:pPr>
              <w:keepNext w:val="0"/>
              <w:keepLines w:val="0"/>
              <w:pageBreakBefore w:val="0"/>
              <w:widowControl w:val="0"/>
              <w:suppressLineNumbers w:val="0"/>
              <w:tabs>
                <w:tab w:val="left" w:pos="1081"/>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color w:val="auto"/>
                <w:sz w:val="24"/>
                <w:szCs w:val="24"/>
                <w:u w:val="none" w:color="auto"/>
              </w:rPr>
            </w:pPr>
            <w:r>
              <w:rPr>
                <w:rFonts w:hint="eastAsia"/>
                <w:color w:val="auto"/>
                <w:sz w:val="24"/>
                <w:szCs w:val="24"/>
                <w:u w:val="none" w:color="auto"/>
              </w:rPr>
              <w:t>根据</w:t>
            </w:r>
            <w:r>
              <w:rPr>
                <w:rFonts w:hint="default" w:ascii="Times New Roman" w:hAnsi="Times New Roman" w:eastAsia="宋体" w:cs="Times New Roman"/>
                <w:color w:val="auto"/>
                <w:sz w:val="24"/>
                <w:szCs w:val="24"/>
                <w:u w:val="none" w:color="auto"/>
              </w:rPr>
              <w:t>《排污单位自行监测技术指南 总则》 （HJ819-2017）、排污许可证申请与核发技术规范 工业噪声（HJ 1301—2023）</w:t>
            </w:r>
            <w:r>
              <w:rPr>
                <w:rFonts w:hint="eastAsia"/>
                <w:color w:val="auto"/>
                <w:sz w:val="24"/>
                <w:szCs w:val="24"/>
                <w:u w:val="none" w:color="auto"/>
              </w:rPr>
              <w:t>自行监测计划，项目</w:t>
            </w:r>
            <w:r>
              <w:rPr>
                <w:rFonts w:hint="eastAsia"/>
                <w:color w:val="auto"/>
                <w:sz w:val="24"/>
                <w:szCs w:val="24"/>
                <w:u w:val="none" w:color="auto"/>
                <w:lang w:val="en-US" w:eastAsia="zh-CN"/>
              </w:rPr>
              <w:t>噪声</w:t>
            </w:r>
            <w:r>
              <w:rPr>
                <w:rFonts w:hint="eastAsia"/>
                <w:color w:val="auto"/>
                <w:sz w:val="24"/>
                <w:szCs w:val="24"/>
                <w:u w:val="none" w:color="auto"/>
              </w:rPr>
              <w:t>自行监测计划如下：</w:t>
            </w:r>
          </w:p>
          <w:p w14:paraId="796506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4"/>
                <w:szCs w:val="24"/>
                <w:highlight w:val="none"/>
                <w:u w:val="none" w:color="auto"/>
                <w:lang w:val="en-US" w:eastAsia="zh-CN" w:bidi="ar-SA"/>
              </w:rPr>
            </w:pPr>
            <w:r>
              <w:rPr>
                <w:rFonts w:hint="default" w:ascii="Times New Roman" w:hAnsi="Times New Roman" w:eastAsia="宋体" w:cs="Times New Roman"/>
                <w:b/>
                <w:bCs/>
                <w:color w:val="auto"/>
                <w:kern w:val="2"/>
                <w:sz w:val="24"/>
                <w:szCs w:val="24"/>
                <w:highlight w:val="none"/>
                <w:u w:val="none" w:color="auto"/>
                <w:lang w:val="en-US" w:eastAsia="zh-CN" w:bidi="ar-SA"/>
              </w:rPr>
              <w:t>表4-1</w:t>
            </w:r>
            <w:r>
              <w:rPr>
                <w:rFonts w:hint="eastAsia" w:ascii="Times New Roman" w:hAnsi="Times New Roman" w:eastAsia="宋体" w:cs="Times New Roman"/>
                <w:b/>
                <w:bCs/>
                <w:color w:val="auto"/>
                <w:kern w:val="2"/>
                <w:sz w:val="24"/>
                <w:szCs w:val="24"/>
                <w:highlight w:val="none"/>
                <w:u w:val="none" w:color="auto"/>
                <w:lang w:val="en-US" w:eastAsia="zh-CN" w:bidi="ar-SA"/>
              </w:rPr>
              <w:t>8</w:t>
            </w:r>
            <w:r>
              <w:rPr>
                <w:rFonts w:hint="default" w:ascii="Times New Roman" w:hAnsi="Times New Roman" w:eastAsia="宋体" w:cs="Times New Roman"/>
                <w:b/>
                <w:bCs/>
                <w:color w:val="auto"/>
                <w:kern w:val="2"/>
                <w:sz w:val="24"/>
                <w:szCs w:val="24"/>
                <w:highlight w:val="none"/>
                <w:u w:val="none" w:color="auto"/>
                <w:lang w:val="en-US" w:eastAsia="zh-CN" w:bidi="ar-SA"/>
              </w:rPr>
              <w:t xml:space="preserve"> </w:t>
            </w:r>
            <w:r>
              <w:rPr>
                <w:rFonts w:hint="eastAsia" w:ascii="Times New Roman" w:hAnsi="Times New Roman" w:eastAsia="宋体" w:cs="Times New Roman"/>
                <w:b/>
                <w:bCs/>
                <w:color w:val="auto"/>
                <w:kern w:val="2"/>
                <w:sz w:val="24"/>
                <w:szCs w:val="24"/>
                <w:highlight w:val="none"/>
                <w:u w:val="none" w:color="auto"/>
                <w:lang w:val="en-US" w:eastAsia="zh-CN" w:bidi="ar-SA"/>
              </w:rPr>
              <w:t xml:space="preserve"> </w:t>
            </w:r>
            <w:r>
              <w:rPr>
                <w:rFonts w:hint="default" w:ascii="Times New Roman" w:hAnsi="Times New Roman" w:eastAsia="宋体" w:cs="Times New Roman"/>
                <w:b/>
                <w:bCs/>
                <w:color w:val="auto"/>
                <w:kern w:val="2"/>
                <w:sz w:val="24"/>
                <w:szCs w:val="24"/>
                <w:highlight w:val="none"/>
                <w:u w:val="none" w:color="auto"/>
                <w:lang w:val="en-US" w:eastAsia="zh-CN" w:bidi="ar-SA"/>
              </w:rPr>
              <w:t>声环境监测计划一览表</w:t>
            </w:r>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785"/>
              <w:gridCol w:w="2000"/>
              <w:gridCol w:w="1231"/>
              <w:gridCol w:w="919"/>
              <w:gridCol w:w="1119"/>
              <w:gridCol w:w="3057"/>
            </w:tblGrid>
            <w:tr w14:paraId="6D74562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31" w:type="pct"/>
                  <w:noWrap w:val="0"/>
                  <w:vAlign w:val="center"/>
                </w:tcPr>
                <w:p w14:paraId="59C37704">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序号</w:t>
                  </w:r>
                </w:p>
              </w:tc>
              <w:tc>
                <w:tcPr>
                  <w:tcW w:w="1097" w:type="pct"/>
                  <w:noWrap w:val="0"/>
                  <w:vAlign w:val="center"/>
                </w:tcPr>
                <w:p w14:paraId="463E118B">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监测点位</w:t>
                  </w:r>
                </w:p>
              </w:tc>
              <w:tc>
                <w:tcPr>
                  <w:tcW w:w="675" w:type="pct"/>
                  <w:noWrap w:val="0"/>
                  <w:vAlign w:val="center"/>
                </w:tcPr>
                <w:p w14:paraId="6C4C907D">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监测项目</w:t>
                  </w:r>
                </w:p>
              </w:tc>
              <w:tc>
                <w:tcPr>
                  <w:tcW w:w="504" w:type="pct"/>
                  <w:noWrap w:val="0"/>
                  <w:vAlign w:val="center"/>
                </w:tcPr>
                <w:p w14:paraId="470C92A7">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频率</w:t>
                  </w:r>
                </w:p>
              </w:tc>
              <w:tc>
                <w:tcPr>
                  <w:tcW w:w="614" w:type="pct"/>
                  <w:tcBorders>
                    <w:bottom w:val="single" w:color="auto" w:sz="4" w:space="0"/>
                  </w:tcBorders>
                  <w:noWrap w:val="0"/>
                  <w:vAlign w:val="center"/>
                </w:tcPr>
                <w:p w14:paraId="12E4523D">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实施单位</w:t>
                  </w:r>
                </w:p>
              </w:tc>
              <w:tc>
                <w:tcPr>
                  <w:tcW w:w="1677" w:type="pct"/>
                  <w:tcBorders>
                    <w:bottom w:val="single" w:color="auto" w:sz="4" w:space="0"/>
                  </w:tcBorders>
                  <w:noWrap w:val="0"/>
                  <w:vAlign w:val="center"/>
                </w:tcPr>
                <w:p w14:paraId="7942113C">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执行标准</w:t>
                  </w:r>
                </w:p>
              </w:tc>
            </w:tr>
            <w:tr w14:paraId="00FF0DD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31" w:type="pct"/>
                  <w:noWrap w:val="0"/>
                  <w:vAlign w:val="center"/>
                </w:tcPr>
                <w:p w14:paraId="362390AB">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1</w:t>
                  </w:r>
                </w:p>
              </w:tc>
              <w:tc>
                <w:tcPr>
                  <w:tcW w:w="1097" w:type="pct"/>
                  <w:noWrap w:val="0"/>
                  <w:vAlign w:val="center"/>
                </w:tcPr>
                <w:p w14:paraId="3B8C5B65">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textAlignment w:val="auto"/>
                    <w:rPr>
                      <w:rStyle w:val="42"/>
                      <w:rFonts w:hint="default" w:ascii="Times New Roman" w:hAnsi="Times New Roman" w:eastAsia="宋体" w:cs="Times New Roman"/>
                      <w:color w:val="auto"/>
                      <w:sz w:val="21"/>
                      <w:szCs w:val="21"/>
                      <w:u w:val="none" w:color="auto"/>
                      <w:lang w:val="en-US" w:eastAsia="zh-CN"/>
                    </w:rPr>
                  </w:pPr>
                  <w:r>
                    <w:rPr>
                      <w:rStyle w:val="42"/>
                      <w:rFonts w:hint="default" w:ascii="Times New Roman" w:hAnsi="Times New Roman" w:eastAsia="宋体" w:cs="Times New Roman"/>
                      <w:color w:val="auto"/>
                      <w:sz w:val="21"/>
                      <w:szCs w:val="21"/>
                      <w:u w:val="none" w:color="auto"/>
                    </w:rPr>
                    <w:t>项目</w:t>
                  </w:r>
                  <w:r>
                    <w:rPr>
                      <w:rStyle w:val="42"/>
                      <w:rFonts w:hint="eastAsia" w:cs="Times New Roman"/>
                      <w:color w:val="auto"/>
                      <w:sz w:val="21"/>
                      <w:szCs w:val="21"/>
                      <w:u w:val="none" w:color="auto"/>
                      <w:lang w:val="en-US" w:eastAsia="zh-CN"/>
                    </w:rPr>
                    <w:t>东、南、西、北四校界</w:t>
                  </w:r>
                </w:p>
              </w:tc>
              <w:tc>
                <w:tcPr>
                  <w:tcW w:w="675" w:type="pct"/>
                  <w:noWrap w:val="0"/>
                  <w:vAlign w:val="center"/>
                </w:tcPr>
                <w:p w14:paraId="2810F519">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u w:val="none" w:color="auto"/>
                      <w:lang w:val="en-US" w:eastAsia="zh-CN"/>
                    </w:rPr>
                  </w:pPr>
                  <w:r>
                    <w:rPr>
                      <w:rFonts w:hint="eastAsia" w:cs="Times New Roman"/>
                      <w:bCs/>
                      <w:color w:val="auto"/>
                      <w:sz w:val="21"/>
                      <w:szCs w:val="21"/>
                      <w:u w:val="none" w:color="auto"/>
                      <w:lang w:val="en-US" w:eastAsia="zh-CN"/>
                    </w:rPr>
                    <w:t>等效连续A声级</w:t>
                  </w:r>
                </w:p>
              </w:tc>
              <w:tc>
                <w:tcPr>
                  <w:tcW w:w="504" w:type="pct"/>
                  <w:noWrap w:val="0"/>
                  <w:vAlign w:val="center"/>
                </w:tcPr>
                <w:p w14:paraId="34031260">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u w:val="none" w:color="auto"/>
                      <w:lang w:eastAsia="zh-CN"/>
                    </w:rPr>
                  </w:pPr>
                  <w:r>
                    <w:rPr>
                      <w:rFonts w:hint="default" w:ascii="Times New Roman" w:hAnsi="Times New Roman" w:eastAsia="宋体" w:cs="Times New Roman"/>
                      <w:bCs/>
                      <w:color w:val="auto"/>
                      <w:sz w:val="21"/>
                      <w:szCs w:val="21"/>
                      <w:u w:val="none" w:color="auto"/>
                    </w:rPr>
                    <w:t>1次/</w:t>
                  </w:r>
                  <w:r>
                    <w:rPr>
                      <w:rFonts w:hint="default" w:ascii="Times New Roman" w:hAnsi="Times New Roman" w:eastAsia="宋体" w:cs="Times New Roman"/>
                      <w:bCs/>
                      <w:color w:val="auto"/>
                      <w:sz w:val="21"/>
                      <w:szCs w:val="21"/>
                      <w:u w:val="none" w:color="auto"/>
                      <w:lang w:val="en-US" w:eastAsia="zh-CN"/>
                    </w:rPr>
                    <w:t>季度</w:t>
                  </w:r>
                </w:p>
              </w:tc>
              <w:tc>
                <w:tcPr>
                  <w:tcW w:w="614" w:type="pct"/>
                  <w:noWrap w:val="0"/>
                  <w:vAlign w:val="center"/>
                </w:tcPr>
                <w:p w14:paraId="0FC39EC2">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有资质的监测单位</w:t>
                  </w:r>
                </w:p>
              </w:tc>
              <w:tc>
                <w:tcPr>
                  <w:tcW w:w="1677" w:type="pct"/>
                  <w:noWrap w:val="0"/>
                  <w:vAlign w:val="center"/>
                </w:tcPr>
                <w:p w14:paraId="0BCE5707">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color w:val="auto"/>
                      <w:sz w:val="21"/>
                      <w:szCs w:val="21"/>
                      <w:u w:val="none" w:color="auto"/>
                    </w:rPr>
                    <w:t>《工业企业厂界环境噪声排放标准》（GB12348-2008）2类标准</w:t>
                  </w:r>
                </w:p>
              </w:tc>
            </w:tr>
          </w:tbl>
          <w:p w14:paraId="3DBB7C5A">
            <w:pPr>
              <w:keepNext w:val="0"/>
              <w:keepLines w:val="0"/>
              <w:pageBreakBefore w:val="0"/>
              <w:widowControl/>
              <w:kinsoku w:val="0"/>
              <w:wordWrap/>
              <w:overflowPunct/>
              <w:topLinePunct w:val="0"/>
              <w:autoSpaceDE w:val="0"/>
              <w:autoSpaceDN w:val="0"/>
              <w:bidi w:val="0"/>
              <w:adjustRightInd w:val="0"/>
              <w:snapToGrid w:val="0"/>
              <w:spacing w:line="360" w:lineRule="auto"/>
              <w:ind w:firstLine="482" w:firstLineChars="200"/>
              <w:jc w:val="both"/>
              <w:textAlignment w:val="baseline"/>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四、运营期固体废物影响及防治措施</w:t>
            </w:r>
          </w:p>
          <w:p w14:paraId="57C4D16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本项目运营期固废主要来自教职工及学生日常生活垃圾、</w:t>
            </w:r>
            <w:r>
              <w:rPr>
                <w:rFonts w:hint="eastAsia" w:ascii="Times New Roman" w:hAnsi="Times New Roman" w:eastAsia="宋体" w:cs="Times New Roman"/>
                <w:color w:val="auto"/>
                <w:sz w:val="24"/>
                <w:szCs w:val="24"/>
                <w:u w:val="none" w:color="auto"/>
                <w:lang w:val="en-US" w:eastAsia="zh-CN"/>
              </w:rPr>
              <w:t>化粪池污泥、</w:t>
            </w:r>
            <w:r>
              <w:rPr>
                <w:rFonts w:hint="default" w:ascii="Times New Roman" w:hAnsi="Times New Roman" w:eastAsia="宋体" w:cs="Times New Roman"/>
                <w:color w:val="auto"/>
                <w:sz w:val="24"/>
                <w:szCs w:val="24"/>
                <w:u w:val="none" w:color="auto"/>
              </w:rPr>
              <w:t>餐饮垃圾、隔油池废</w:t>
            </w:r>
            <w:r>
              <w:rPr>
                <w:rFonts w:hint="eastAsia" w:ascii="Times New Roman" w:hAnsi="Times New Roman" w:eastAsia="宋体" w:cs="Times New Roman"/>
                <w:color w:val="auto"/>
                <w:sz w:val="24"/>
                <w:szCs w:val="24"/>
                <w:u w:val="none" w:color="auto"/>
                <w:lang w:val="en-US" w:eastAsia="zh-CN"/>
              </w:rPr>
              <w:t>油脂</w:t>
            </w:r>
            <w:r>
              <w:rPr>
                <w:rFonts w:hint="default" w:ascii="Times New Roman" w:hAnsi="Times New Roman" w:eastAsia="宋体" w:cs="Times New Roman"/>
                <w:color w:val="auto"/>
                <w:sz w:val="24"/>
                <w:szCs w:val="24"/>
                <w:u w:val="none" w:color="auto"/>
              </w:rPr>
              <w:t>和危险</w:t>
            </w:r>
            <w:r>
              <w:rPr>
                <w:rFonts w:hint="eastAsia" w:ascii="Times New Roman" w:hAnsi="Times New Roman" w:eastAsia="宋体" w:cs="Times New Roman"/>
                <w:color w:val="auto"/>
                <w:sz w:val="24"/>
                <w:szCs w:val="24"/>
                <w:u w:val="none" w:color="auto"/>
                <w:lang w:val="en-US" w:eastAsia="zh-CN"/>
              </w:rPr>
              <w:t>废物</w:t>
            </w:r>
            <w:r>
              <w:rPr>
                <w:rFonts w:hint="default"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废活性炭</w:t>
            </w:r>
            <w:r>
              <w:rPr>
                <w:rFonts w:hint="default" w:ascii="Times New Roman" w:hAnsi="Times New Roman" w:eastAsia="宋体" w:cs="Times New Roman"/>
                <w:color w:val="auto"/>
                <w:sz w:val="24"/>
                <w:szCs w:val="24"/>
                <w:u w:val="none" w:color="auto"/>
              </w:rPr>
              <w:t>、实验室固废</w:t>
            </w: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废柴油桶</w:t>
            </w:r>
            <w:r>
              <w:rPr>
                <w:rFonts w:hint="default" w:ascii="Times New Roman" w:hAnsi="Times New Roman" w:eastAsia="宋体" w:cs="Times New Roman"/>
                <w:color w:val="auto"/>
                <w:sz w:val="24"/>
                <w:szCs w:val="24"/>
                <w:u w:val="none" w:color="auto"/>
              </w:rPr>
              <w:t>）。</w:t>
            </w:r>
          </w:p>
          <w:p w14:paraId="571DE1BE">
            <w:pPr>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（1）</w:t>
            </w:r>
            <w:r>
              <w:rPr>
                <w:rFonts w:hint="eastAsia" w:ascii="Times New Roman" w:hAnsi="Times New Roman" w:eastAsia="宋体" w:cs="Times New Roman"/>
                <w:color w:val="auto"/>
                <w:sz w:val="24"/>
                <w:szCs w:val="24"/>
                <w:highlight w:val="none"/>
                <w:u w:val="none" w:color="auto"/>
                <w:lang w:val="en-US" w:eastAsia="zh-CN"/>
              </w:rPr>
              <w:t>教职工及学生日常</w:t>
            </w:r>
            <w:r>
              <w:rPr>
                <w:rFonts w:hint="default" w:ascii="Times New Roman" w:hAnsi="Times New Roman" w:eastAsia="宋体" w:cs="Times New Roman"/>
                <w:color w:val="auto"/>
                <w:sz w:val="24"/>
                <w:szCs w:val="24"/>
                <w:highlight w:val="none"/>
                <w:u w:val="none" w:color="auto"/>
              </w:rPr>
              <w:t>生活垃圾</w:t>
            </w:r>
          </w:p>
          <w:p w14:paraId="680C0A07">
            <w:pPr>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 xml:space="preserve"> 本项目</w:t>
            </w:r>
            <w:r>
              <w:rPr>
                <w:rFonts w:hint="eastAsia" w:ascii="Times New Roman" w:hAnsi="Times New Roman" w:eastAsia="宋体" w:cs="Times New Roman"/>
                <w:color w:val="auto"/>
                <w:sz w:val="24"/>
                <w:szCs w:val="24"/>
                <w:highlight w:val="none"/>
                <w:u w:val="none" w:color="auto"/>
                <w:lang w:val="en-US" w:eastAsia="zh-CN"/>
              </w:rPr>
              <w:t>新增学生人数</w:t>
            </w:r>
            <w:r>
              <w:rPr>
                <w:rFonts w:hint="default" w:ascii="Times New Roman" w:hAnsi="Times New Roman" w:eastAsia="宋体" w:cs="Times New Roman"/>
                <w:color w:val="auto"/>
                <w:sz w:val="24"/>
                <w:szCs w:val="24"/>
                <w:highlight w:val="none"/>
                <w:u w:val="none" w:color="auto"/>
              </w:rPr>
              <w:t>为</w:t>
            </w:r>
            <w:r>
              <w:rPr>
                <w:rFonts w:hint="eastAsia" w:ascii="Times New Roman" w:hAnsi="Times New Roman" w:eastAsia="宋体" w:cs="Times New Roman"/>
                <w:color w:val="auto"/>
                <w:sz w:val="24"/>
                <w:szCs w:val="24"/>
                <w:highlight w:val="none"/>
                <w:u w:val="none" w:color="auto"/>
                <w:lang w:val="en-US" w:eastAsia="zh-CN"/>
              </w:rPr>
              <w:t>16</w:t>
            </w:r>
            <w:r>
              <w:rPr>
                <w:rFonts w:hint="default" w:ascii="Times New Roman" w:hAnsi="Times New Roman" w:eastAsia="宋体" w:cs="Times New Roman"/>
                <w:color w:val="auto"/>
                <w:sz w:val="24"/>
                <w:szCs w:val="24"/>
                <w:highlight w:val="none"/>
                <w:u w:val="none" w:color="auto"/>
              </w:rPr>
              <w:t>人，均在</w:t>
            </w:r>
            <w:r>
              <w:rPr>
                <w:rFonts w:hint="eastAsia" w:ascii="Times New Roman" w:hAnsi="Times New Roman" w:eastAsia="宋体" w:cs="Times New Roman"/>
                <w:color w:val="auto"/>
                <w:sz w:val="24"/>
                <w:szCs w:val="24"/>
                <w:highlight w:val="none"/>
                <w:u w:val="none" w:color="auto"/>
                <w:lang w:val="en-US" w:eastAsia="zh-CN"/>
              </w:rPr>
              <w:t>校区内</w:t>
            </w:r>
            <w:r>
              <w:rPr>
                <w:rFonts w:hint="default" w:ascii="Times New Roman" w:hAnsi="Times New Roman" w:eastAsia="宋体" w:cs="Times New Roman"/>
                <w:color w:val="auto"/>
                <w:sz w:val="24"/>
                <w:szCs w:val="24"/>
                <w:highlight w:val="none"/>
                <w:u w:val="none" w:color="auto"/>
              </w:rPr>
              <w:t>食宿，生活垃圾产生量按0.5kg/人·d计算，年工作时间为</w:t>
            </w:r>
            <w:r>
              <w:rPr>
                <w:rFonts w:hint="eastAsia" w:ascii="Times New Roman" w:hAnsi="Times New Roman" w:eastAsia="宋体" w:cs="Times New Roman"/>
                <w:color w:val="auto"/>
                <w:sz w:val="24"/>
                <w:szCs w:val="24"/>
                <w:highlight w:val="none"/>
                <w:u w:val="none" w:color="auto"/>
                <w:lang w:val="en-US" w:eastAsia="zh-CN"/>
              </w:rPr>
              <w:t>200</w:t>
            </w:r>
            <w:r>
              <w:rPr>
                <w:rFonts w:hint="default" w:ascii="Times New Roman" w:hAnsi="Times New Roman" w:eastAsia="宋体" w:cs="Times New Roman"/>
                <w:color w:val="auto"/>
                <w:sz w:val="24"/>
                <w:szCs w:val="24"/>
                <w:highlight w:val="none"/>
                <w:u w:val="none" w:color="auto"/>
              </w:rPr>
              <w:t>天，则本项目</w:t>
            </w:r>
            <w:r>
              <w:rPr>
                <w:rFonts w:hint="eastAsia" w:ascii="Times New Roman" w:hAnsi="Times New Roman" w:eastAsia="宋体" w:cs="Times New Roman"/>
                <w:color w:val="auto"/>
                <w:sz w:val="24"/>
                <w:szCs w:val="24"/>
                <w:highlight w:val="none"/>
                <w:u w:val="none" w:color="auto"/>
                <w:lang w:val="en-US" w:eastAsia="zh-CN"/>
              </w:rPr>
              <w:t>新增教职工及学生日常</w:t>
            </w:r>
            <w:r>
              <w:rPr>
                <w:rFonts w:hint="default" w:ascii="Times New Roman" w:hAnsi="Times New Roman" w:eastAsia="宋体" w:cs="Times New Roman"/>
                <w:color w:val="auto"/>
                <w:sz w:val="24"/>
                <w:szCs w:val="24"/>
                <w:highlight w:val="none"/>
                <w:u w:val="none" w:color="auto"/>
              </w:rPr>
              <w:t>生活垃圾产生量为</w:t>
            </w:r>
            <w:r>
              <w:rPr>
                <w:rFonts w:hint="eastAsia" w:ascii="Times New Roman" w:hAnsi="Times New Roman" w:eastAsia="宋体" w:cs="Times New Roman"/>
                <w:color w:val="auto"/>
                <w:sz w:val="24"/>
                <w:szCs w:val="24"/>
                <w:highlight w:val="none"/>
                <w:u w:val="none" w:color="auto"/>
                <w:lang w:val="en-US" w:eastAsia="zh-CN"/>
              </w:rPr>
              <w:t>1.6</w:t>
            </w:r>
            <w:r>
              <w:rPr>
                <w:rFonts w:hint="default" w:ascii="Times New Roman" w:hAnsi="Times New Roman" w:eastAsia="宋体" w:cs="Times New Roman"/>
                <w:color w:val="auto"/>
                <w:sz w:val="24"/>
                <w:szCs w:val="24"/>
                <w:highlight w:val="none"/>
                <w:u w:val="none" w:color="auto"/>
              </w:rPr>
              <w:t>t/a。分类收集后交由环卫部门运至附近垃圾中转站处理。</w:t>
            </w:r>
          </w:p>
          <w:p w14:paraId="141D7237">
            <w:pPr>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（2）化粪池污泥</w:t>
            </w:r>
          </w:p>
          <w:p w14:paraId="2DE3AA1C">
            <w:pPr>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根据</w:t>
            </w:r>
            <w:r>
              <w:rPr>
                <w:rFonts w:hint="eastAsia" w:ascii="Times New Roman" w:hAnsi="Times New Roman" w:eastAsia="宋体" w:cs="Times New Roman"/>
                <w:color w:val="auto"/>
                <w:sz w:val="24"/>
                <w:szCs w:val="24"/>
                <w:highlight w:val="none"/>
                <w:u w:val="none" w:color="auto"/>
                <w:lang w:val="en-US" w:eastAsia="zh-CN"/>
              </w:rPr>
              <w:t>上文分析可知</w:t>
            </w:r>
            <w:r>
              <w:rPr>
                <w:rFonts w:hint="default"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本项目</w:t>
            </w:r>
            <w:r>
              <w:rPr>
                <w:rFonts w:hint="eastAsia" w:ascii="Times New Roman" w:hAnsi="Times New Roman" w:eastAsia="宋体" w:cs="Times New Roman"/>
                <w:color w:val="auto"/>
                <w:sz w:val="24"/>
                <w:szCs w:val="24"/>
                <w:highlight w:val="none"/>
                <w:u w:val="none" w:color="auto"/>
                <w:lang w:val="en-US" w:eastAsia="zh-CN"/>
              </w:rPr>
              <w:t>扩建完后</w:t>
            </w:r>
            <w:r>
              <w:rPr>
                <w:rFonts w:hint="default" w:ascii="Times New Roman" w:hAnsi="Times New Roman" w:eastAsia="宋体" w:cs="Times New Roman"/>
                <w:color w:val="auto"/>
                <w:sz w:val="24"/>
                <w:szCs w:val="24"/>
                <w:highlight w:val="none"/>
                <w:u w:val="none" w:color="auto"/>
              </w:rPr>
              <w:t>化粪池污泥产生量约为</w:t>
            </w:r>
            <w:r>
              <w:rPr>
                <w:rFonts w:hint="default" w:ascii="Times New Roman" w:hAnsi="Times New Roman" w:eastAsia="宋体" w:cs="Times New Roman"/>
                <w:color w:val="auto"/>
                <w:sz w:val="24"/>
                <w:szCs w:val="24"/>
                <w:u w:val="none" w:color="auto"/>
                <w:lang w:val="en-US" w:eastAsia="zh-CN"/>
              </w:rPr>
              <w:t>37510.92</w:t>
            </w:r>
            <w:r>
              <w:rPr>
                <w:rFonts w:hint="default" w:ascii="Times New Roman" w:hAnsi="Times New Roman" w:eastAsia="宋体" w:cs="Times New Roman"/>
                <w:color w:val="auto"/>
                <w:sz w:val="24"/>
                <w:szCs w:val="24"/>
                <w:u w:val="none" w:color="auto"/>
              </w:rPr>
              <w:t>m</w:t>
            </w:r>
            <w:r>
              <w:rPr>
                <w:rFonts w:hint="default" w:ascii="Times New Roman" w:hAnsi="Times New Roman" w:eastAsia="宋体" w:cs="Times New Roman"/>
                <w:color w:val="auto"/>
                <w:sz w:val="24"/>
                <w:szCs w:val="24"/>
                <w:u w:val="none" w:color="auto"/>
                <w:vertAlign w:val="superscript"/>
              </w:rPr>
              <w:t>3</w:t>
            </w:r>
            <w:r>
              <w:rPr>
                <w:rFonts w:hint="default" w:ascii="Times New Roman" w:hAnsi="Times New Roman" w:eastAsia="宋体" w:cs="Times New Roman"/>
                <w:color w:val="auto"/>
                <w:sz w:val="24"/>
                <w:szCs w:val="24"/>
                <w:u w:val="none" w:color="auto"/>
              </w:rPr>
              <w:t>/a</w:t>
            </w:r>
            <w:r>
              <w:rPr>
                <w:rFonts w:hint="eastAsia" w:ascii="Times New Roman" w:hAnsi="Times New Roman" w:eastAsia="宋体" w:cs="Times New Roman"/>
                <w:color w:val="auto"/>
                <w:sz w:val="24"/>
                <w:szCs w:val="24"/>
                <w:u w:val="none" w:color="auto"/>
                <w:lang w:val="en-US" w:eastAsia="zh-CN"/>
              </w:rPr>
              <w:t>×235.62mg/L=</w:t>
            </w:r>
            <w:r>
              <w:rPr>
                <w:rFonts w:hint="eastAsia" w:ascii="Times New Roman" w:hAnsi="Times New Roman" w:eastAsia="宋体" w:cs="Times New Roman"/>
                <w:color w:val="auto"/>
                <w:sz w:val="24"/>
                <w:szCs w:val="24"/>
                <w:highlight w:val="none"/>
                <w:u w:val="none" w:color="auto"/>
                <w:lang w:val="en-US" w:eastAsia="zh-CN"/>
              </w:rPr>
              <w:t>8.8</w:t>
            </w:r>
            <w:r>
              <w:rPr>
                <w:rFonts w:hint="default" w:ascii="Times New Roman" w:hAnsi="Times New Roman" w:eastAsia="宋体" w:cs="Times New Roman"/>
                <w:color w:val="auto"/>
                <w:sz w:val="24"/>
                <w:szCs w:val="24"/>
                <w:highlight w:val="none"/>
                <w:u w:val="none" w:color="auto"/>
              </w:rPr>
              <w:t>t/a，定期清掏交由环卫部门处理。</w:t>
            </w:r>
          </w:p>
          <w:p w14:paraId="1522095E">
            <w:pPr>
              <w:keepNext w:val="0"/>
              <w:keepLines w:val="0"/>
              <w:pageBreakBefore w:val="0"/>
              <w:widowControl/>
              <w:numPr>
                <w:ilvl w:val="0"/>
                <w:numId w:val="3"/>
              </w:numPr>
              <w:kinsoku/>
              <w:wordWrap/>
              <w:overflowPunct/>
              <w:topLinePunct w:val="0"/>
              <w:autoSpaceDE/>
              <w:autoSpaceDN/>
              <w:bidi w:val="0"/>
              <w:adjustRightInd w:val="0"/>
              <w:snapToGrid w:val="0"/>
              <w:spacing w:line="360" w:lineRule="auto"/>
              <w:ind w:left="0" w:leftChars="0" w:firstLine="480" w:firstLineChars="200"/>
              <w:jc w:val="both"/>
              <w:textAlignment w:val="auto"/>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一般固废</w:t>
            </w:r>
          </w:p>
          <w:p w14:paraId="15959BE3">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Chars="0" w:firstLine="480" w:firstLineChars="200"/>
              <w:jc w:val="both"/>
              <w:textAlignment w:val="auto"/>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①餐饮垃圾</w:t>
            </w:r>
          </w:p>
          <w:p w14:paraId="6E41251E">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Chars="0" w:firstLine="480" w:firstLineChars="200"/>
              <w:jc w:val="both"/>
              <w:textAlignment w:val="auto"/>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本项目餐厨垃圾按0.5kg/人•d 计，本项目新增就餐人数</w:t>
            </w:r>
            <w:r>
              <w:rPr>
                <w:rFonts w:hint="eastAsia" w:cs="Times New Roman"/>
                <w:color w:val="auto"/>
                <w:sz w:val="24"/>
                <w:szCs w:val="24"/>
                <w:highlight w:val="none"/>
                <w:u w:val="none" w:color="auto"/>
                <w:lang w:val="en-US" w:eastAsia="zh-CN"/>
              </w:rPr>
              <w:t>约</w:t>
            </w:r>
            <w:r>
              <w:rPr>
                <w:rFonts w:hint="eastAsia" w:ascii="Times New Roman" w:hAnsi="Times New Roman" w:eastAsia="宋体" w:cs="Times New Roman"/>
                <w:color w:val="auto"/>
                <w:sz w:val="24"/>
                <w:szCs w:val="24"/>
                <w:highlight w:val="none"/>
                <w:u w:val="none" w:color="auto"/>
                <w:lang w:val="en-US" w:eastAsia="zh-CN"/>
              </w:rPr>
              <w:t>为</w:t>
            </w:r>
            <w:r>
              <w:rPr>
                <w:rFonts w:hint="eastAsia" w:cs="Times New Roman"/>
                <w:color w:val="auto"/>
                <w:sz w:val="24"/>
                <w:szCs w:val="24"/>
                <w:highlight w:val="none"/>
                <w:u w:val="none" w:color="auto"/>
                <w:lang w:val="en-US" w:eastAsia="zh-CN"/>
              </w:rPr>
              <w:t>12</w:t>
            </w:r>
            <w:r>
              <w:rPr>
                <w:rFonts w:hint="eastAsia" w:ascii="Times New Roman" w:hAnsi="Times New Roman" w:eastAsia="宋体" w:cs="Times New Roman"/>
                <w:color w:val="auto"/>
                <w:sz w:val="24"/>
                <w:szCs w:val="24"/>
                <w:highlight w:val="none"/>
                <w:u w:val="none" w:color="auto"/>
                <w:lang w:val="en-US" w:eastAsia="zh-CN"/>
              </w:rPr>
              <w:t>人，则该项目新增餐厨垃圾产生量约1.</w:t>
            </w:r>
            <w:r>
              <w:rPr>
                <w:rFonts w:hint="eastAsia" w:cs="Times New Roman"/>
                <w:color w:val="auto"/>
                <w:sz w:val="24"/>
                <w:szCs w:val="24"/>
                <w:highlight w:val="none"/>
                <w:u w:val="none" w:color="auto"/>
                <w:lang w:val="en-US" w:eastAsia="zh-CN"/>
              </w:rPr>
              <w:t>2</w:t>
            </w:r>
            <w:r>
              <w:rPr>
                <w:rFonts w:hint="eastAsia" w:ascii="Times New Roman" w:hAnsi="Times New Roman" w:eastAsia="宋体" w:cs="Times New Roman"/>
                <w:color w:val="auto"/>
                <w:sz w:val="24"/>
                <w:szCs w:val="24"/>
                <w:highlight w:val="none"/>
                <w:u w:val="none" w:color="auto"/>
                <w:lang w:val="en-US" w:eastAsia="zh-CN"/>
              </w:rPr>
              <w:t>t/a。分类收集后交由环卫部门运至垃圾中转站进行处理。</w:t>
            </w:r>
          </w:p>
          <w:p w14:paraId="23AD1EF8">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Chars="0" w:firstLine="480" w:firstLineChars="200"/>
              <w:jc w:val="both"/>
              <w:textAlignment w:val="auto"/>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②隔油池废油脂</w:t>
            </w:r>
          </w:p>
          <w:p w14:paraId="27207E49">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Chars="0" w:firstLine="480" w:firstLineChars="200"/>
              <w:jc w:val="both"/>
              <w:textAlignment w:val="auto"/>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本项目隔油池废油脂产生量约为1t/a，及时清掏后交由环卫部门处理处理。</w:t>
            </w:r>
          </w:p>
          <w:p w14:paraId="1106B6F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4"/>
                <w:szCs w:val="24"/>
                <w:highlight w:val="none"/>
                <w:u w:val="none" w:color="auto"/>
                <w:lang w:val="en-US" w:eastAsia="zh-CN" w:bidi="ar-SA"/>
              </w:rPr>
            </w:pPr>
            <w:r>
              <w:rPr>
                <w:rFonts w:hint="default" w:ascii="Times New Roman" w:hAnsi="Times New Roman" w:eastAsia="宋体" w:cs="Times New Roman"/>
                <w:b/>
                <w:bCs/>
                <w:color w:val="auto"/>
                <w:kern w:val="2"/>
                <w:sz w:val="24"/>
                <w:szCs w:val="24"/>
                <w:highlight w:val="none"/>
                <w:u w:val="none" w:color="auto"/>
                <w:lang w:val="en-US" w:eastAsia="zh-CN" w:bidi="ar-SA"/>
              </w:rPr>
              <w:t>表4-</w:t>
            </w:r>
            <w:r>
              <w:rPr>
                <w:rFonts w:hint="eastAsia" w:ascii="Times New Roman" w:hAnsi="Times New Roman" w:eastAsia="宋体" w:cs="Times New Roman"/>
                <w:b/>
                <w:bCs/>
                <w:color w:val="auto"/>
                <w:kern w:val="2"/>
                <w:sz w:val="24"/>
                <w:szCs w:val="24"/>
                <w:highlight w:val="none"/>
                <w:u w:val="none" w:color="auto"/>
                <w:lang w:val="en-US" w:eastAsia="zh-CN" w:bidi="ar-SA"/>
              </w:rPr>
              <w:t>19</w:t>
            </w:r>
            <w:r>
              <w:rPr>
                <w:rFonts w:hint="default" w:ascii="Times New Roman" w:hAnsi="Times New Roman" w:eastAsia="宋体" w:cs="Times New Roman"/>
                <w:b/>
                <w:bCs/>
                <w:color w:val="auto"/>
                <w:kern w:val="2"/>
                <w:sz w:val="24"/>
                <w:szCs w:val="24"/>
                <w:highlight w:val="none"/>
                <w:u w:val="none" w:color="auto"/>
                <w:lang w:val="en-US" w:eastAsia="zh-CN" w:bidi="ar-SA"/>
              </w:rPr>
              <w:t xml:space="preserve"> </w:t>
            </w:r>
            <w:r>
              <w:rPr>
                <w:rFonts w:hint="eastAsia" w:ascii="Times New Roman" w:hAnsi="Times New Roman" w:eastAsia="宋体" w:cs="Times New Roman"/>
                <w:b/>
                <w:bCs/>
                <w:color w:val="auto"/>
                <w:kern w:val="2"/>
                <w:sz w:val="24"/>
                <w:szCs w:val="24"/>
                <w:highlight w:val="none"/>
                <w:u w:val="none" w:color="auto"/>
                <w:lang w:val="en-US" w:eastAsia="zh-CN" w:bidi="ar-SA"/>
              </w:rPr>
              <w:t xml:space="preserve">  </w:t>
            </w:r>
            <w:r>
              <w:rPr>
                <w:rFonts w:hint="default" w:ascii="Times New Roman" w:hAnsi="Times New Roman" w:eastAsia="宋体" w:cs="Times New Roman"/>
                <w:b/>
                <w:bCs/>
                <w:color w:val="auto"/>
                <w:kern w:val="2"/>
                <w:sz w:val="24"/>
                <w:szCs w:val="24"/>
                <w:highlight w:val="none"/>
                <w:u w:val="none" w:color="auto"/>
                <w:lang w:val="en-US" w:eastAsia="zh-CN" w:bidi="ar-SA"/>
              </w:rPr>
              <w:t>项目固废产排情况及处理措施一览表</w:t>
            </w:r>
          </w:p>
          <w:tbl>
            <w:tblPr>
              <w:tblStyle w:val="35"/>
              <w:tblW w:w="4997"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620"/>
              <w:gridCol w:w="591"/>
              <w:gridCol w:w="620"/>
              <w:gridCol w:w="499"/>
              <w:gridCol w:w="530"/>
              <w:gridCol w:w="747"/>
              <w:gridCol w:w="771"/>
              <w:gridCol w:w="899"/>
              <w:gridCol w:w="2424"/>
              <w:gridCol w:w="1404"/>
            </w:tblGrid>
            <w:tr w14:paraId="654C18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54" w:hRule="atLeast"/>
                <w:jc w:val="center"/>
              </w:trPr>
              <w:tc>
                <w:tcPr>
                  <w:tcW w:w="340" w:type="pct"/>
                  <w:vAlign w:val="center"/>
                </w:tcPr>
                <w:p w14:paraId="38E4ABB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固废名称</w:t>
                  </w:r>
                </w:p>
              </w:tc>
              <w:tc>
                <w:tcPr>
                  <w:tcW w:w="324" w:type="pct"/>
                  <w:vAlign w:val="center"/>
                </w:tcPr>
                <w:p w14:paraId="01157FB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产生点位</w:t>
                  </w:r>
                </w:p>
              </w:tc>
              <w:tc>
                <w:tcPr>
                  <w:tcW w:w="340" w:type="pct"/>
                  <w:vAlign w:val="center"/>
                </w:tcPr>
                <w:p w14:paraId="156A2C6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主要成分</w:t>
                  </w:r>
                </w:p>
              </w:tc>
              <w:tc>
                <w:tcPr>
                  <w:tcW w:w="274" w:type="pct"/>
                  <w:vAlign w:val="center"/>
                </w:tcPr>
                <w:p w14:paraId="129E928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物理性质</w:t>
                  </w:r>
                </w:p>
              </w:tc>
              <w:tc>
                <w:tcPr>
                  <w:tcW w:w="291" w:type="pct"/>
                  <w:vAlign w:val="center"/>
                </w:tcPr>
                <w:p w14:paraId="5ECF7FB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固废种类</w:t>
                  </w:r>
                </w:p>
              </w:tc>
              <w:tc>
                <w:tcPr>
                  <w:tcW w:w="410" w:type="pct"/>
                  <w:vAlign w:val="center"/>
                </w:tcPr>
                <w:p w14:paraId="7B15E00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产生量</w:t>
                  </w:r>
                </w:p>
              </w:tc>
              <w:tc>
                <w:tcPr>
                  <w:tcW w:w="423" w:type="pct"/>
                  <w:vAlign w:val="center"/>
                </w:tcPr>
                <w:p w14:paraId="0FC2ACE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利用处置方式和去向</w:t>
                  </w:r>
                </w:p>
              </w:tc>
              <w:tc>
                <w:tcPr>
                  <w:tcW w:w="493" w:type="pct"/>
                  <w:vAlign w:val="center"/>
                </w:tcPr>
                <w:p w14:paraId="0B0620C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利用或处置量</w:t>
                  </w:r>
                </w:p>
              </w:tc>
              <w:tc>
                <w:tcPr>
                  <w:tcW w:w="1330" w:type="pct"/>
                  <w:vAlign w:val="center"/>
                </w:tcPr>
                <w:p w14:paraId="2D9419E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环境管理要求</w:t>
                  </w:r>
                </w:p>
              </w:tc>
              <w:tc>
                <w:tcPr>
                  <w:tcW w:w="770" w:type="pct"/>
                  <w:vAlign w:val="center"/>
                </w:tcPr>
                <w:p w14:paraId="63E2E07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代码</w:t>
                  </w:r>
                </w:p>
              </w:tc>
            </w:tr>
            <w:tr w14:paraId="74289C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40" w:type="pct"/>
                  <w:vAlign w:val="center"/>
                </w:tcPr>
                <w:p w14:paraId="0ECE37C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lang w:val="en-US" w:eastAsia="zh-CN"/>
                    </w:rPr>
                    <w:t>教职工及学生日常</w:t>
                  </w:r>
                  <w:r>
                    <w:rPr>
                      <w:rFonts w:hint="default" w:ascii="Times New Roman" w:hAnsi="Times New Roman" w:eastAsia="宋体" w:cs="Times New Roman"/>
                      <w:bCs/>
                      <w:color w:val="auto"/>
                      <w:kern w:val="0"/>
                      <w:sz w:val="21"/>
                      <w:szCs w:val="21"/>
                      <w:u w:val="none" w:color="auto"/>
                    </w:rPr>
                    <w:t>生活垃圾</w:t>
                  </w:r>
                </w:p>
              </w:tc>
              <w:tc>
                <w:tcPr>
                  <w:tcW w:w="324" w:type="pct"/>
                  <w:vAlign w:val="center"/>
                </w:tcPr>
                <w:p w14:paraId="025DA2F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lang w:val="en-US" w:eastAsia="zh-CN"/>
                    </w:rPr>
                    <w:t>教职工及学生日常</w:t>
                  </w:r>
                  <w:r>
                    <w:rPr>
                      <w:rFonts w:hint="default" w:ascii="Times New Roman" w:hAnsi="Times New Roman" w:eastAsia="宋体" w:cs="Times New Roman"/>
                      <w:bCs/>
                      <w:color w:val="auto"/>
                      <w:kern w:val="0"/>
                      <w:sz w:val="21"/>
                      <w:szCs w:val="21"/>
                      <w:u w:val="none" w:color="auto"/>
                    </w:rPr>
                    <w:t>生活</w:t>
                  </w:r>
                </w:p>
              </w:tc>
              <w:tc>
                <w:tcPr>
                  <w:tcW w:w="340" w:type="pct"/>
                  <w:vAlign w:val="center"/>
                </w:tcPr>
                <w:p w14:paraId="73EEDA0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lang w:val="en-US" w:eastAsia="zh-CN"/>
                    </w:rPr>
                    <w:t>教职工及学生日常</w:t>
                  </w:r>
                  <w:r>
                    <w:rPr>
                      <w:rFonts w:hint="default" w:ascii="Times New Roman" w:hAnsi="Times New Roman" w:eastAsia="宋体" w:cs="Times New Roman"/>
                      <w:bCs/>
                      <w:color w:val="auto"/>
                      <w:kern w:val="0"/>
                      <w:sz w:val="21"/>
                      <w:szCs w:val="21"/>
                      <w:u w:val="none" w:color="auto"/>
                    </w:rPr>
                    <w:t>生活垃圾</w:t>
                  </w:r>
                </w:p>
              </w:tc>
              <w:tc>
                <w:tcPr>
                  <w:tcW w:w="274" w:type="pct"/>
                  <w:vAlign w:val="center"/>
                </w:tcPr>
                <w:p w14:paraId="2CB5DE3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固态</w:t>
                  </w:r>
                </w:p>
              </w:tc>
              <w:tc>
                <w:tcPr>
                  <w:tcW w:w="291" w:type="pct"/>
                  <w:vAlign w:val="center"/>
                </w:tcPr>
                <w:p w14:paraId="05E5A9B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一般工业固废</w:t>
                  </w:r>
                </w:p>
              </w:tc>
              <w:tc>
                <w:tcPr>
                  <w:tcW w:w="410" w:type="pct"/>
                  <w:vAlign w:val="center"/>
                </w:tcPr>
                <w:p w14:paraId="08DE014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lang w:val="en-US" w:eastAsia="zh-CN"/>
                    </w:rPr>
                    <w:t>1.6</w:t>
                  </w:r>
                  <w:r>
                    <w:rPr>
                      <w:rFonts w:hint="default" w:ascii="Times New Roman" w:hAnsi="Times New Roman" w:eastAsia="宋体" w:cs="Times New Roman"/>
                      <w:bCs/>
                      <w:color w:val="auto"/>
                      <w:kern w:val="0"/>
                      <w:sz w:val="21"/>
                      <w:szCs w:val="21"/>
                      <w:u w:val="none" w:color="auto"/>
                    </w:rPr>
                    <w:t>t/a</w:t>
                  </w:r>
                </w:p>
              </w:tc>
              <w:tc>
                <w:tcPr>
                  <w:tcW w:w="423" w:type="pct"/>
                  <w:vAlign w:val="center"/>
                </w:tcPr>
                <w:p w14:paraId="05D3CF0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分类收集后交由环卫部门运至垃圾中转站处理</w:t>
                  </w:r>
                </w:p>
              </w:tc>
              <w:tc>
                <w:tcPr>
                  <w:tcW w:w="493" w:type="pct"/>
                  <w:vAlign w:val="center"/>
                </w:tcPr>
                <w:p w14:paraId="0896050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lang w:val="en-US" w:eastAsia="zh-CN"/>
                    </w:rPr>
                    <w:t>1.6</w:t>
                  </w:r>
                  <w:r>
                    <w:rPr>
                      <w:rFonts w:hint="default" w:ascii="Times New Roman" w:hAnsi="Times New Roman" w:eastAsia="宋体" w:cs="Times New Roman"/>
                      <w:bCs/>
                      <w:color w:val="auto"/>
                      <w:kern w:val="0"/>
                      <w:sz w:val="21"/>
                      <w:szCs w:val="21"/>
                      <w:u w:val="none" w:color="auto"/>
                    </w:rPr>
                    <w:t>t/a</w:t>
                  </w:r>
                </w:p>
              </w:tc>
              <w:tc>
                <w:tcPr>
                  <w:tcW w:w="1330" w:type="pct"/>
                  <w:vMerge w:val="restart"/>
                  <w:vAlign w:val="center"/>
                </w:tcPr>
                <w:p w14:paraId="2650A12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执行《一般工业固体废物贮存和填埋污染控制标准》（GB18599-2020）</w:t>
                  </w:r>
                </w:p>
                <w:p w14:paraId="29D8113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p>
              </w:tc>
              <w:tc>
                <w:tcPr>
                  <w:tcW w:w="770" w:type="pct"/>
                  <w:vAlign w:val="center"/>
                </w:tcPr>
                <w:p w14:paraId="6C4F8A7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900-099-S64</w:t>
                  </w:r>
                </w:p>
              </w:tc>
            </w:tr>
            <w:tr w14:paraId="0335AB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40" w:type="pct"/>
                  <w:vAlign w:val="center"/>
                </w:tcPr>
                <w:p w14:paraId="62FA0A0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化粪池污泥</w:t>
                  </w:r>
                </w:p>
              </w:tc>
              <w:tc>
                <w:tcPr>
                  <w:tcW w:w="324" w:type="pct"/>
                  <w:vAlign w:val="center"/>
                </w:tcPr>
                <w:p w14:paraId="4FC2A10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化粪池</w:t>
                  </w:r>
                </w:p>
              </w:tc>
              <w:tc>
                <w:tcPr>
                  <w:tcW w:w="340" w:type="pct"/>
                  <w:vAlign w:val="center"/>
                </w:tcPr>
                <w:p w14:paraId="6702800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化粪池污泥</w:t>
                  </w:r>
                </w:p>
              </w:tc>
              <w:tc>
                <w:tcPr>
                  <w:tcW w:w="274" w:type="pct"/>
                  <w:vAlign w:val="center"/>
                </w:tcPr>
                <w:p w14:paraId="4DAE6A7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半固态</w:t>
                  </w:r>
                </w:p>
              </w:tc>
              <w:tc>
                <w:tcPr>
                  <w:tcW w:w="291" w:type="pct"/>
                  <w:vAlign w:val="center"/>
                </w:tcPr>
                <w:p w14:paraId="2BB1A10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一般工业固废</w:t>
                  </w:r>
                </w:p>
              </w:tc>
              <w:tc>
                <w:tcPr>
                  <w:tcW w:w="410" w:type="pct"/>
                  <w:vAlign w:val="center"/>
                </w:tcPr>
                <w:p w14:paraId="73CB2B5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color w:val="auto"/>
                      <w:sz w:val="21"/>
                      <w:szCs w:val="21"/>
                      <w:highlight w:val="none"/>
                      <w:u w:val="none" w:color="auto"/>
                      <w:lang w:val="en-US" w:eastAsia="zh-CN"/>
                    </w:rPr>
                    <w:t>8.8</w:t>
                  </w:r>
                  <w:r>
                    <w:rPr>
                      <w:rFonts w:hint="default" w:ascii="Times New Roman" w:hAnsi="Times New Roman" w:eastAsia="宋体" w:cs="Times New Roman"/>
                      <w:color w:val="auto"/>
                      <w:sz w:val="21"/>
                      <w:szCs w:val="21"/>
                      <w:highlight w:val="none"/>
                      <w:u w:val="none" w:color="auto"/>
                    </w:rPr>
                    <w:t>t/a</w:t>
                  </w:r>
                </w:p>
              </w:tc>
              <w:tc>
                <w:tcPr>
                  <w:tcW w:w="423" w:type="pct"/>
                  <w:vAlign w:val="center"/>
                </w:tcPr>
                <w:p w14:paraId="7D36CDE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定期清掏交由环卫部门处理</w:t>
                  </w:r>
                </w:p>
              </w:tc>
              <w:tc>
                <w:tcPr>
                  <w:tcW w:w="493" w:type="pct"/>
                  <w:vAlign w:val="center"/>
                </w:tcPr>
                <w:p w14:paraId="5E75506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color w:val="auto"/>
                      <w:sz w:val="21"/>
                      <w:szCs w:val="21"/>
                      <w:highlight w:val="none"/>
                      <w:u w:val="none" w:color="auto"/>
                      <w:lang w:val="en-US" w:eastAsia="zh-CN"/>
                    </w:rPr>
                    <w:t>8.8</w:t>
                  </w:r>
                  <w:r>
                    <w:rPr>
                      <w:rFonts w:hint="default" w:ascii="Times New Roman" w:hAnsi="Times New Roman" w:eastAsia="宋体" w:cs="Times New Roman"/>
                      <w:color w:val="auto"/>
                      <w:sz w:val="21"/>
                      <w:szCs w:val="21"/>
                      <w:highlight w:val="none"/>
                      <w:u w:val="none" w:color="auto"/>
                    </w:rPr>
                    <w:t>t/a</w:t>
                  </w:r>
                </w:p>
              </w:tc>
              <w:tc>
                <w:tcPr>
                  <w:tcW w:w="1330" w:type="pct"/>
                  <w:vMerge w:val="continue"/>
                  <w:vAlign w:val="center"/>
                </w:tcPr>
                <w:p w14:paraId="14D01BE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p>
              </w:tc>
              <w:tc>
                <w:tcPr>
                  <w:tcW w:w="770" w:type="pct"/>
                  <w:vAlign w:val="center"/>
                </w:tcPr>
                <w:p w14:paraId="7855632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900-099-S07</w:t>
                  </w:r>
                </w:p>
              </w:tc>
            </w:tr>
            <w:tr w14:paraId="407499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40" w:type="pct"/>
                  <w:vAlign w:val="center"/>
                </w:tcPr>
                <w:p w14:paraId="33075BCA">
                  <w:pPr>
                    <w:keepNext w:val="0"/>
                    <w:keepLines w:val="0"/>
                    <w:pageBreakBefore w:val="0"/>
                    <w:widowControl w:val="0"/>
                    <w:kinsoku/>
                    <w:wordWrap/>
                    <w:overflowPunct/>
                    <w:topLinePunct w:val="0"/>
                    <w:autoSpaceDE/>
                    <w:autoSpaceDN/>
                    <w:bidi w:val="0"/>
                    <w:adjustRightInd/>
                    <w:snapToGrid/>
                    <w:jc w:val="center"/>
                    <w:textAlignment w:val="auto"/>
                    <w:rPr>
                      <w:rStyle w:val="42"/>
                      <w:rFonts w:hint="default" w:ascii="Times New Roman" w:hAnsi="Times New Roman" w:eastAsia="宋体" w:cs="Times New Roman"/>
                      <w:color w:val="auto"/>
                      <w:kern w:val="0"/>
                      <w:sz w:val="21"/>
                      <w:szCs w:val="21"/>
                      <w:u w:val="none" w:color="auto"/>
                    </w:rPr>
                  </w:pPr>
                  <w:r>
                    <w:rPr>
                      <w:rStyle w:val="42"/>
                      <w:rFonts w:hint="default" w:ascii="Times New Roman" w:hAnsi="Times New Roman" w:eastAsia="宋体" w:cs="Times New Roman"/>
                      <w:color w:val="auto"/>
                      <w:kern w:val="0"/>
                      <w:sz w:val="21"/>
                      <w:szCs w:val="21"/>
                      <w:u w:val="none" w:color="auto"/>
                    </w:rPr>
                    <w:t>餐厨垃圾</w:t>
                  </w:r>
                </w:p>
              </w:tc>
              <w:tc>
                <w:tcPr>
                  <w:tcW w:w="324" w:type="pct"/>
                  <w:vAlign w:val="center"/>
                </w:tcPr>
                <w:p w14:paraId="26306AD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auto"/>
                      <w:kern w:val="0"/>
                      <w:sz w:val="21"/>
                      <w:szCs w:val="21"/>
                      <w:u w:val="none" w:color="auto"/>
                      <w:lang w:eastAsia="zh-CN"/>
                    </w:rPr>
                  </w:pPr>
                  <w:r>
                    <w:rPr>
                      <w:rFonts w:hint="eastAsia" w:cs="Times New Roman"/>
                      <w:color w:val="auto"/>
                      <w:sz w:val="21"/>
                      <w:szCs w:val="21"/>
                      <w:u w:val="none" w:color="auto"/>
                      <w:lang w:eastAsia="zh-CN"/>
                    </w:rPr>
                    <w:t>餐厅</w:t>
                  </w:r>
                </w:p>
              </w:tc>
              <w:tc>
                <w:tcPr>
                  <w:tcW w:w="340" w:type="pct"/>
                  <w:vAlign w:val="center"/>
                </w:tcPr>
                <w:p w14:paraId="71365FCB">
                  <w:pPr>
                    <w:keepNext w:val="0"/>
                    <w:keepLines w:val="0"/>
                    <w:pageBreakBefore w:val="0"/>
                    <w:widowControl w:val="0"/>
                    <w:kinsoku/>
                    <w:wordWrap/>
                    <w:overflowPunct/>
                    <w:topLinePunct w:val="0"/>
                    <w:autoSpaceDE/>
                    <w:autoSpaceDN/>
                    <w:bidi w:val="0"/>
                    <w:adjustRightInd/>
                    <w:snapToGrid/>
                    <w:jc w:val="center"/>
                    <w:textAlignment w:val="auto"/>
                    <w:rPr>
                      <w:rStyle w:val="42"/>
                      <w:rFonts w:hint="default" w:ascii="Times New Roman" w:hAnsi="Times New Roman" w:eastAsia="宋体" w:cs="Times New Roman"/>
                      <w:color w:val="auto"/>
                      <w:kern w:val="0"/>
                      <w:sz w:val="21"/>
                      <w:szCs w:val="21"/>
                      <w:u w:val="none" w:color="auto"/>
                    </w:rPr>
                  </w:pPr>
                  <w:r>
                    <w:rPr>
                      <w:rStyle w:val="42"/>
                      <w:rFonts w:hint="default" w:ascii="Times New Roman" w:hAnsi="Times New Roman" w:eastAsia="宋体" w:cs="Times New Roman"/>
                      <w:color w:val="auto"/>
                      <w:kern w:val="0"/>
                      <w:sz w:val="21"/>
                      <w:szCs w:val="21"/>
                      <w:u w:val="none" w:color="auto"/>
                    </w:rPr>
                    <w:t>餐厨垃圾</w:t>
                  </w:r>
                </w:p>
              </w:tc>
              <w:tc>
                <w:tcPr>
                  <w:tcW w:w="274" w:type="pct"/>
                  <w:vAlign w:val="center"/>
                </w:tcPr>
                <w:p w14:paraId="0183EEF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固态</w:t>
                  </w:r>
                </w:p>
              </w:tc>
              <w:tc>
                <w:tcPr>
                  <w:tcW w:w="291" w:type="pct"/>
                  <w:vAlign w:val="center"/>
                </w:tcPr>
                <w:p w14:paraId="5AFC790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一般工业固废</w:t>
                  </w:r>
                </w:p>
              </w:tc>
              <w:tc>
                <w:tcPr>
                  <w:tcW w:w="410" w:type="pct"/>
                  <w:vAlign w:val="center"/>
                </w:tcPr>
                <w:p w14:paraId="66F14EF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lang w:val="en-US" w:eastAsia="zh-CN"/>
                    </w:rPr>
                    <w:t>1.</w:t>
                  </w:r>
                  <w:r>
                    <w:rPr>
                      <w:rFonts w:hint="eastAsia" w:cs="Times New Roman"/>
                      <w:bCs/>
                      <w:color w:val="auto"/>
                      <w:kern w:val="0"/>
                      <w:sz w:val="21"/>
                      <w:szCs w:val="21"/>
                      <w:u w:val="none" w:color="auto"/>
                      <w:lang w:val="en-US" w:eastAsia="zh-CN"/>
                    </w:rPr>
                    <w:t>2</w:t>
                  </w:r>
                  <w:r>
                    <w:rPr>
                      <w:rFonts w:hint="default" w:ascii="Times New Roman" w:hAnsi="Times New Roman" w:eastAsia="宋体" w:cs="Times New Roman"/>
                      <w:bCs/>
                      <w:color w:val="auto"/>
                      <w:kern w:val="0"/>
                      <w:sz w:val="21"/>
                      <w:szCs w:val="21"/>
                      <w:u w:val="none" w:color="auto"/>
                    </w:rPr>
                    <w:t>t/a</w:t>
                  </w:r>
                </w:p>
              </w:tc>
              <w:tc>
                <w:tcPr>
                  <w:tcW w:w="423" w:type="pct"/>
                  <w:vAlign w:val="center"/>
                </w:tcPr>
                <w:p w14:paraId="721B2BB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分类收集后交由环卫部门运至垃圾中转站进行处理</w:t>
                  </w:r>
                </w:p>
              </w:tc>
              <w:tc>
                <w:tcPr>
                  <w:tcW w:w="493" w:type="pct"/>
                  <w:vAlign w:val="center"/>
                </w:tcPr>
                <w:p w14:paraId="25C614B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lang w:val="en-US" w:eastAsia="zh-CN"/>
                    </w:rPr>
                    <w:t>1.</w:t>
                  </w:r>
                  <w:r>
                    <w:rPr>
                      <w:rFonts w:hint="eastAsia" w:cs="Times New Roman"/>
                      <w:bCs/>
                      <w:color w:val="auto"/>
                      <w:kern w:val="0"/>
                      <w:sz w:val="21"/>
                      <w:szCs w:val="21"/>
                      <w:u w:val="none" w:color="auto"/>
                      <w:lang w:val="en-US" w:eastAsia="zh-CN"/>
                    </w:rPr>
                    <w:t>2</w:t>
                  </w:r>
                  <w:r>
                    <w:rPr>
                      <w:rFonts w:hint="default" w:ascii="Times New Roman" w:hAnsi="Times New Roman" w:eastAsia="宋体" w:cs="Times New Roman"/>
                      <w:bCs/>
                      <w:color w:val="auto"/>
                      <w:kern w:val="0"/>
                      <w:sz w:val="21"/>
                      <w:szCs w:val="21"/>
                      <w:u w:val="none" w:color="auto"/>
                    </w:rPr>
                    <w:t>t/a</w:t>
                  </w:r>
                </w:p>
              </w:tc>
              <w:tc>
                <w:tcPr>
                  <w:tcW w:w="1330" w:type="pct"/>
                  <w:vMerge w:val="continue"/>
                  <w:vAlign w:val="center"/>
                </w:tcPr>
                <w:p w14:paraId="10E8051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p>
              </w:tc>
              <w:tc>
                <w:tcPr>
                  <w:tcW w:w="770" w:type="pct"/>
                  <w:vAlign w:val="center"/>
                </w:tcPr>
                <w:p w14:paraId="6A66C3F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 xml:space="preserve">900-002-S61 </w:t>
                  </w:r>
                </w:p>
                <w:p w14:paraId="5411392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p>
              </w:tc>
            </w:tr>
            <w:tr w14:paraId="3128DE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40" w:type="pct"/>
                  <w:vAlign w:val="center"/>
                </w:tcPr>
                <w:p w14:paraId="0106B446">
                  <w:pPr>
                    <w:keepNext w:val="0"/>
                    <w:keepLines w:val="0"/>
                    <w:pageBreakBefore w:val="0"/>
                    <w:widowControl w:val="0"/>
                    <w:kinsoku/>
                    <w:wordWrap/>
                    <w:overflowPunct/>
                    <w:topLinePunct w:val="0"/>
                    <w:autoSpaceDE/>
                    <w:autoSpaceDN/>
                    <w:bidi w:val="0"/>
                    <w:adjustRightInd/>
                    <w:snapToGrid/>
                    <w:jc w:val="center"/>
                    <w:textAlignment w:val="auto"/>
                    <w:rPr>
                      <w:rStyle w:val="42"/>
                      <w:rFonts w:hint="default" w:ascii="Times New Roman" w:hAnsi="Times New Roman" w:eastAsia="宋体" w:cs="Times New Roman"/>
                      <w:color w:val="auto"/>
                      <w:kern w:val="0"/>
                      <w:sz w:val="21"/>
                      <w:szCs w:val="21"/>
                      <w:u w:val="none" w:color="auto"/>
                    </w:rPr>
                  </w:pPr>
                  <w:r>
                    <w:rPr>
                      <w:rStyle w:val="42"/>
                      <w:rFonts w:hint="default" w:ascii="Times New Roman" w:hAnsi="Times New Roman" w:eastAsia="宋体" w:cs="Times New Roman"/>
                      <w:color w:val="auto"/>
                      <w:kern w:val="0"/>
                      <w:sz w:val="21"/>
                      <w:szCs w:val="21"/>
                      <w:u w:val="none" w:color="auto"/>
                    </w:rPr>
                    <w:t>隔油池废油脂</w:t>
                  </w:r>
                </w:p>
              </w:tc>
              <w:tc>
                <w:tcPr>
                  <w:tcW w:w="324" w:type="pct"/>
                  <w:vAlign w:val="center"/>
                </w:tcPr>
                <w:p w14:paraId="4B7DBDA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隔油池</w:t>
                  </w:r>
                </w:p>
              </w:tc>
              <w:tc>
                <w:tcPr>
                  <w:tcW w:w="340" w:type="pct"/>
                  <w:vAlign w:val="center"/>
                </w:tcPr>
                <w:p w14:paraId="4FFC52A8">
                  <w:pPr>
                    <w:keepNext w:val="0"/>
                    <w:keepLines w:val="0"/>
                    <w:pageBreakBefore w:val="0"/>
                    <w:widowControl w:val="0"/>
                    <w:kinsoku/>
                    <w:wordWrap/>
                    <w:overflowPunct/>
                    <w:topLinePunct w:val="0"/>
                    <w:autoSpaceDE/>
                    <w:autoSpaceDN/>
                    <w:bidi w:val="0"/>
                    <w:adjustRightInd/>
                    <w:snapToGrid/>
                    <w:jc w:val="center"/>
                    <w:textAlignment w:val="auto"/>
                    <w:rPr>
                      <w:rStyle w:val="42"/>
                      <w:rFonts w:hint="default" w:ascii="Times New Roman" w:hAnsi="Times New Roman" w:eastAsia="宋体" w:cs="Times New Roman"/>
                      <w:color w:val="auto"/>
                      <w:kern w:val="0"/>
                      <w:sz w:val="21"/>
                      <w:szCs w:val="21"/>
                      <w:u w:val="none" w:color="auto"/>
                    </w:rPr>
                  </w:pPr>
                  <w:r>
                    <w:rPr>
                      <w:rStyle w:val="42"/>
                      <w:rFonts w:hint="default" w:ascii="Times New Roman" w:hAnsi="Times New Roman" w:eastAsia="宋体" w:cs="Times New Roman"/>
                      <w:color w:val="auto"/>
                      <w:kern w:val="0"/>
                      <w:sz w:val="21"/>
                      <w:szCs w:val="21"/>
                      <w:u w:val="none" w:color="auto"/>
                    </w:rPr>
                    <w:t>隔油池废油脂</w:t>
                  </w:r>
                </w:p>
              </w:tc>
              <w:tc>
                <w:tcPr>
                  <w:tcW w:w="274" w:type="pct"/>
                  <w:vAlign w:val="center"/>
                </w:tcPr>
                <w:p w14:paraId="0FC9137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半固态</w:t>
                  </w:r>
                </w:p>
              </w:tc>
              <w:tc>
                <w:tcPr>
                  <w:tcW w:w="291" w:type="pct"/>
                  <w:vAlign w:val="center"/>
                </w:tcPr>
                <w:p w14:paraId="5408D19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一般工业固废</w:t>
                  </w:r>
                </w:p>
              </w:tc>
              <w:tc>
                <w:tcPr>
                  <w:tcW w:w="410" w:type="pct"/>
                  <w:vAlign w:val="center"/>
                </w:tcPr>
                <w:p w14:paraId="077C58D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lang w:val="en-US" w:eastAsia="zh-CN"/>
                    </w:rPr>
                    <w:t>1</w:t>
                  </w:r>
                  <w:r>
                    <w:rPr>
                      <w:rFonts w:hint="default" w:ascii="Times New Roman" w:hAnsi="Times New Roman" w:eastAsia="宋体" w:cs="Times New Roman"/>
                      <w:bCs/>
                      <w:color w:val="auto"/>
                      <w:kern w:val="0"/>
                      <w:sz w:val="21"/>
                      <w:szCs w:val="21"/>
                      <w:u w:val="none" w:color="auto"/>
                    </w:rPr>
                    <w:t>t/a</w:t>
                  </w:r>
                </w:p>
              </w:tc>
              <w:tc>
                <w:tcPr>
                  <w:tcW w:w="423" w:type="pct"/>
                  <w:vAlign w:val="center"/>
                </w:tcPr>
                <w:p w14:paraId="746B057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及时清掏后交由环卫部门处理处理</w:t>
                  </w:r>
                </w:p>
              </w:tc>
              <w:tc>
                <w:tcPr>
                  <w:tcW w:w="493" w:type="pct"/>
                  <w:vAlign w:val="center"/>
                </w:tcPr>
                <w:p w14:paraId="477EA6B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lang w:val="en-US" w:eastAsia="zh-CN"/>
                    </w:rPr>
                    <w:t>1</w:t>
                  </w:r>
                  <w:r>
                    <w:rPr>
                      <w:rFonts w:hint="default" w:ascii="Times New Roman" w:hAnsi="Times New Roman" w:eastAsia="宋体" w:cs="Times New Roman"/>
                      <w:bCs/>
                      <w:color w:val="auto"/>
                      <w:kern w:val="0"/>
                      <w:sz w:val="21"/>
                      <w:szCs w:val="21"/>
                      <w:u w:val="none" w:color="auto"/>
                    </w:rPr>
                    <w:t>t/a</w:t>
                  </w:r>
                </w:p>
              </w:tc>
              <w:tc>
                <w:tcPr>
                  <w:tcW w:w="1330" w:type="pct"/>
                  <w:vMerge w:val="continue"/>
                  <w:vAlign w:val="center"/>
                </w:tcPr>
                <w:p w14:paraId="65F896D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p>
              </w:tc>
              <w:tc>
                <w:tcPr>
                  <w:tcW w:w="770" w:type="pct"/>
                  <w:vAlign w:val="center"/>
                </w:tcPr>
                <w:p w14:paraId="4225869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bCs/>
                      <w:color w:val="auto"/>
                      <w:kern w:val="0"/>
                      <w:sz w:val="21"/>
                      <w:szCs w:val="21"/>
                      <w:u w:val="none" w:color="auto"/>
                    </w:rPr>
                    <w:t xml:space="preserve">900-002-S61 </w:t>
                  </w:r>
                </w:p>
                <w:p w14:paraId="6181600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0"/>
                      <w:sz w:val="21"/>
                      <w:szCs w:val="21"/>
                      <w:u w:val="none" w:color="auto"/>
                    </w:rPr>
                  </w:pPr>
                </w:p>
              </w:tc>
            </w:tr>
          </w:tbl>
          <w:p w14:paraId="22439084">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（4）危险废物</w:t>
            </w:r>
          </w:p>
          <w:p w14:paraId="0204652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kern w:val="0"/>
                <w:sz w:val="24"/>
                <w:szCs w:val="24"/>
                <w:u w:val="none" w:color="auto"/>
              </w:rPr>
            </w:pPr>
            <w:r>
              <w:rPr>
                <w:rFonts w:hint="default" w:ascii="Times New Roman" w:hAnsi="Times New Roman" w:eastAsia="宋体" w:cs="Times New Roman"/>
                <w:color w:val="auto"/>
                <w:sz w:val="24"/>
                <w:szCs w:val="24"/>
                <w:u w:val="none" w:color="auto"/>
              </w:rPr>
              <w:t>①</w:t>
            </w:r>
            <w:r>
              <w:rPr>
                <w:rFonts w:hint="default" w:ascii="Times New Roman" w:hAnsi="Times New Roman" w:eastAsia="宋体" w:cs="Times New Roman"/>
                <w:color w:val="auto"/>
                <w:kern w:val="0"/>
                <w:sz w:val="24"/>
                <w:szCs w:val="24"/>
                <w:u w:val="none" w:color="auto"/>
              </w:rPr>
              <w:t>废活性炭</w:t>
            </w:r>
          </w:p>
          <w:p w14:paraId="194DBF85">
            <w:pPr>
              <w:pStyle w:val="170"/>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4" w:firstLineChars="200"/>
              <w:jc w:val="both"/>
              <w:textAlignment w:val="baseline"/>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1"/>
                <w:sz w:val="24"/>
                <w:szCs w:val="24"/>
                <w:u w:val="none" w:color="auto"/>
              </w:rPr>
              <w:t>本项目实验室废气吸附装置所使用活性炭需定期更换，根据《国家危险废物</w:t>
            </w:r>
            <w:r>
              <w:rPr>
                <w:rFonts w:hint="default" w:ascii="Times New Roman" w:hAnsi="Times New Roman" w:eastAsia="宋体" w:cs="Times New Roman"/>
                <w:color w:val="auto"/>
                <w:spacing w:val="-5"/>
                <w:sz w:val="24"/>
                <w:szCs w:val="24"/>
                <w:u w:val="none" w:color="auto"/>
              </w:rPr>
              <w:t>名录》（202</w:t>
            </w:r>
            <w:r>
              <w:rPr>
                <w:rFonts w:hint="default" w:ascii="Times New Roman" w:hAnsi="Times New Roman" w:eastAsia="宋体" w:cs="Times New Roman"/>
                <w:color w:val="auto"/>
                <w:spacing w:val="-5"/>
                <w:sz w:val="24"/>
                <w:szCs w:val="24"/>
                <w:u w:val="none" w:color="auto"/>
                <w:lang w:val="en-US" w:eastAsia="zh-CN"/>
              </w:rPr>
              <w:t>4</w:t>
            </w:r>
            <w:r>
              <w:rPr>
                <w:rFonts w:hint="default" w:ascii="Times New Roman" w:hAnsi="Times New Roman" w:eastAsia="宋体" w:cs="Times New Roman"/>
                <w:color w:val="auto"/>
                <w:spacing w:val="-5"/>
                <w:sz w:val="24"/>
                <w:szCs w:val="24"/>
                <w:u w:val="none" w:color="auto"/>
              </w:rPr>
              <w:t>年版</w:t>
            </w:r>
            <w:r>
              <w:rPr>
                <w:rFonts w:hint="default" w:ascii="Times New Roman" w:hAnsi="Times New Roman" w:eastAsia="宋体" w:cs="Times New Roman"/>
                <w:color w:val="auto"/>
                <w:spacing w:val="-56"/>
                <w:w w:val="89"/>
                <w:sz w:val="24"/>
                <w:szCs w:val="24"/>
                <w:u w:val="none" w:color="auto"/>
              </w:rPr>
              <w:t>），</w:t>
            </w:r>
            <w:r>
              <w:rPr>
                <w:rFonts w:hint="default" w:ascii="Times New Roman" w:hAnsi="Times New Roman" w:eastAsia="宋体" w:cs="Times New Roman"/>
                <w:color w:val="auto"/>
                <w:spacing w:val="-5"/>
                <w:sz w:val="24"/>
                <w:szCs w:val="24"/>
                <w:u w:val="none" w:color="auto"/>
              </w:rPr>
              <w:t>其属于</w:t>
            </w:r>
            <w:r>
              <w:rPr>
                <w:rFonts w:hint="default" w:ascii="Times New Roman" w:hAnsi="Times New Roman" w:eastAsia="宋体" w:cs="Times New Roman"/>
                <w:color w:val="auto"/>
                <w:spacing w:val="-5"/>
                <w:sz w:val="24"/>
                <w:szCs w:val="24"/>
                <w:u w:val="none" w:color="auto"/>
                <w:lang w:eastAsia="zh-CN"/>
              </w:rPr>
              <w:t>“</w:t>
            </w:r>
            <w:r>
              <w:rPr>
                <w:rFonts w:hint="default" w:ascii="Times New Roman" w:hAnsi="Times New Roman" w:eastAsia="宋体" w:cs="Times New Roman"/>
                <w:color w:val="auto"/>
                <w:spacing w:val="-5"/>
                <w:sz w:val="24"/>
                <w:szCs w:val="24"/>
                <w:u w:val="none" w:color="auto"/>
              </w:rPr>
              <w:t>HW49其他废物</w:t>
            </w:r>
            <w:r>
              <w:rPr>
                <w:rFonts w:hint="default" w:ascii="Times New Roman" w:hAnsi="Times New Roman" w:eastAsia="宋体" w:cs="Times New Roman"/>
                <w:color w:val="auto"/>
                <w:spacing w:val="-5"/>
                <w:sz w:val="24"/>
                <w:szCs w:val="24"/>
                <w:u w:val="none" w:color="auto"/>
                <w:lang w:eastAsia="zh-CN"/>
              </w:rPr>
              <w:t>”</w:t>
            </w:r>
            <w:r>
              <w:rPr>
                <w:rFonts w:hint="default" w:ascii="Times New Roman" w:hAnsi="Times New Roman" w:eastAsia="宋体" w:cs="Times New Roman"/>
                <w:color w:val="auto"/>
                <w:spacing w:val="-5"/>
                <w:sz w:val="24"/>
                <w:szCs w:val="24"/>
                <w:u w:val="none" w:color="auto"/>
              </w:rPr>
              <w:t>中代码为</w:t>
            </w:r>
            <w:r>
              <w:rPr>
                <w:rFonts w:hint="default" w:ascii="Times New Roman" w:hAnsi="Times New Roman" w:eastAsia="宋体" w:cs="Times New Roman"/>
                <w:color w:val="auto"/>
                <w:spacing w:val="-50"/>
                <w:sz w:val="24"/>
                <w:szCs w:val="24"/>
                <w:u w:val="none" w:color="auto"/>
              </w:rPr>
              <w:t xml:space="preserve"> </w:t>
            </w:r>
            <w:r>
              <w:rPr>
                <w:rFonts w:hint="default" w:ascii="Times New Roman" w:hAnsi="Times New Roman" w:eastAsia="宋体" w:cs="Times New Roman"/>
                <w:color w:val="auto"/>
                <w:spacing w:val="-5"/>
                <w:sz w:val="24"/>
                <w:szCs w:val="24"/>
                <w:u w:val="none" w:color="auto"/>
              </w:rPr>
              <w:t>900-0</w:t>
            </w:r>
            <w:r>
              <w:rPr>
                <w:rFonts w:hint="default" w:ascii="Times New Roman" w:hAnsi="Times New Roman" w:eastAsia="宋体" w:cs="Times New Roman"/>
                <w:color w:val="auto"/>
                <w:spacing w:val="-5"/>
                <w:sz w:val="24"/>
                <w:szCs w:val="24"/>
                <w:u w:val="none" w:color="auto"/>
                <w:lang w:val="en-US" w:eastAsia="zh-CN"/>
              </w:rPr>
              <w:t>39</w:t>
            </w:r>
            <w:r>
              <w:rPr>
                <w:rFonts w:hint="default" w:ascii="Times New Roman" w:hAnsi="Times New Roman" w:eastAsia="宋体" w:cs="Times New Roman"/>
                <w:color w:val="auto"/>
                <w:spacing w:val="-5"/>
                <w:sz w:val="24"/>
                <w:szCs w:val="24"/>
                <w:u w:val="none" w:color="auto"/>
              </w:rPr>
              <w:t>-49的</w:t>
            </w:r>
            <w:r>
              <w:rPr>
                <w:rFonts w:hint="default" w:ascii="Times New Roman" w:hAnsi="Times New Roman" w:eastAsia="宋体" w:cs="Times New Roman"/>
                <w:color w:val="auto"/>
                <w:spacing w:val="-5"/>
                <w:sz w:val="24"/>
                <w:szCs w:val="24"/>
                <w:u w:val="none" w:color="auto"/>
                <w:lang w:eastAsia="zh-CN"/>
              </w:rPr>
              <w:t>“</w:t>
            </w:r>
            <w:r>
              <w:rPr>
                <w:rFonts w:hint="default" w:ascii="Times New Roman" w:hAnsi="Times New Roman" w:eastAsia="宋体" w:cs="Times New Roman"/>
                <w:color w:val="auto"/>
                <w:spacing w:val="-5"/>
                <w:sz w:val="24"/>
                <w:szCs w:val="24"/>
                <w:u w:val="none" w:color="auto"/>
                <w:lang w:val="en-US" w:eastAsia="zh-CN"/>
              </w:rPr>
              <w:t>烟气、VOCs 治理过程（不包括餐饮行业油烟治理过程）产生的废活性炭，化学原料和化学制品脱色（不包括有机合成食品添加剂脱色）、除杂、净化过程产生的废活性炭（不包括 900-405-06、772-005-18、261-053-29、265-002-29、384-003-29、387-001-29 类危险废物）</w:t>
            </w:r>
            <w:r>
              <w:rPr>
                <w:rFonts w:hint="default" w:ascii="Times New Roman" w:hAnsi="Times New Roman" w:eastAsia="宋体" w:cs="Times New Roman"/>
                <w:color w:val="auto"/>
                <w:spacing w:val="-3"/>
                <w:sz w:val="24"/>
                <w:szCs w:val="24"/>
                <w:u w:val="none" w:color="auto"/>
                <w:lang w:eastAsia="zh-CN"/>
              </w:rPr>
              <w:t>”</w:t>
            </w:r>
            <w:r>
              <w:rPr>
                <w:rFonts w:hint="default" w:ascii="Times New Roman" w:hAnsi="Times New Roman" w:eastAsia="宋体" w:cs="Times New Roman"/>
                <w:color w:val="auto"/>
                <w:spacing w:val="-3"/>
                <w:sz w:val="24"/>
                <w:szCs w:val="24"/>
                <w:u w:val="none" w:color="auto"/>
              </w:rPr>
              <w:t>，考虑到实验室用具</w:t>
            </w:r>
            <w:r>
              <w:rPr>
                <w:rFonts w:hint="default" w:ascii="Times New Roman" w:hAnsi="Times New Roman" w:eastAsia="宋体" w:cs="Times New Roman"/>
                <w:color w:val="auto"/>
                <w:spacing w:val="-2"/>
                <w:sz w:val="24"/>
                <w:szCs w:val="24"/>
                <w:u w:val="none" w:color="auto"/>
              </w:rPr>
              <w:t>有挥发性的试剂用量较少（主要为稀盐酸、乙醇等</w:t>
            </w:r>
            <w:r>
              <w:rPr>
                <w:rFonts w:hint="default" w:ascii="Times New Roman" w:hAnsi="Times New Roman" w:eastAsia="宋体" w:cs="Times New Roman"/>
                <w:color w:val="auto"/>
                <w:spacing w:val="-63"/>
                <w:sz w:val="24"/>
                <w:szCs w:val="24"/>
                <w:u w:val="none" w:color="auto"/>
              </w:rPr>
              <w:t>），</w:t>
            </w:r>
            <w:r>
              <w:rPr>
                <w:rFonts w:hint="default" w:ascii="Times New Roman" w:hAnsi="Times New Roman" w:eastAsia="宋体" w:cs="Times New Roman"/>
                <w:color w:val="auto"/>
                <w:spacing w:val="-2"/>
                <w:sz w:val="24"/>
                <w:szCs w:val="24"/>
                <w:u w:val="none" w:color="auto"/>
              </w:rPr>
              <w:t>参考同类项目</w:t>
            </w:r>
            <w:r>
              <w:rPr>
                <w:rFonts w:hint="default" w:ascii="Times New Roman" w:hAnsi="Times New Roman" w:eastAsia="宋体" w:cs="Times New Roman"/>
                <w:color w:val="auto"/>
                <w:spacing w:val="-3"/>
                <w:sz w:val="24"/>
                <w:szCs w:val="24"/>
                <w:u w:val="none" w:color="auto"/>
              </w:rPr>
              <w:t>，环评建议实</w:t>
            </w:r>
            <w:r>
              <w:rPr>
                <w:rFonts w:hint="default" w:ascii="Times New Roman" w:hAnsi="Times New Roman" w:eastAsia="宋体" w:cs="Times New Roman"/>
                <w:color w:val="auto"/>
                <w:spacing w:val="-2"/>
                <w:sz w:val="24"/>
                <w:szCs w:val="24"/>
                <w:u w:val="none" w:color="auto"/>
              </w:rPr>
              <w:t>验室废气吸附装置用活性炭每学期更换一次，每个装置每次更换量为0.02t，废活性炭产生量约为0.04t/a</w:t>
            </w:r>
            <w:r>
              <w:rPr>
                <w:rFonts w:hint="default" w:ascii="Times New Roman" w:hAnsi="Times New Roman" w:eastAsia="宋体" w:cs="Times New Roman"/>
                <w:color w:val="auto"/>
                <w:sz w:val="24"/>
                <w:szCs w:val="24"/>
                <w:u w:val="none" w:color="auto"/>
              </w:rPr>
              <w:t>，废活性炭</w:t>
            </w:r>
            <w:r>
              <w:rPr>
                <w:rFonts w:hint="default" w:ascii="Times New Roman" w:hAnsi="Times New Roman" w:eastAsia="宋体" w:cs="Times New Roman"/>
                <w:color w:val="auto"/>
                <w:kern w:val="0"/>
                <w:sz w:val="24"/>
                <w:szCs w:val="24"/>
                <w:u w:val="none" w:color="auto"/>
              </w:rPr>
              <w:t>收集后暂存于危废暂存间（面积</w:t>
            </w:r>
            <w:r>
              <w:rPr>
                <w:rFonts w:hint="default" w:ascii="Times New Roman" w:hAnsi="Times New Roman" w:eastAsia="宋体" w:cs="Times New Roman"/>
                <w:color w:val="auto"/>
                <w:kern w:val="0"/>
                <w:sz w:val="24"/>
                <w:szCs w:val="24"/>
                <w:u w:val="none" w:color="auto"/>
                <w:lang w:val="en-US" w:eastAsia="zh-CN"/>
              </w:rPr>
              <w:t>10</w:t>
            </w:r>
            <w:r>
              <w:rPr>
                <w:rFonts w:hint="default" w:ascii="Times New Roman" w:hAnsi="Times New Roman" w:eastAsia="宋体" w:cs="Times New Roman"/>
                <w:color w:val="auto"/>
                <w:kern w:val="0"/>
                <w:sz w:val="24"/>
                <w:szCs w:val="24"/>
                <w:u w:val="none" w:color="auto"/>
              </w:rPr>
              <w:t>m</w:t>
            </w:r>
            <w:r>
              <w:rPr>
                <w:rFonts w:hint="default" w:ascii="Times New Roman" w:hAnsi="Times New Roman" w:eastAsia="宋体" w:cs="Times New Roman"/>
                <w:color w:val="auto"/>
                <w:kern w:val="0"/>
                <w:sz w:val="24"/>
                <w:szCs w:val="24"/>
                <w:u w:val="none" w:color="auto"/>
                <w:vertAlign w:val="superscript"/>
              </w:rPr>
              <w:t>2</w:t>
            </w:r>
            <w:r>
              <w:rPr>
                <w:rFonts w:hint="default" w:ascii="Times New Roman" w:hAnsi="Times New Roman" w:eastAsia="宋体" w:cs="Times New Roman"/>
                <w:color w:val="auto"/>
                <w:kern w:val="0"/>
                <w:sz w:val="24"/>
                <w:szCs w:val="24"/>
                <w:u w:val="none" w:color="auto"/>
              </w:rPr>
              <w:t>，六防措施）</w:t>
            </w:r>
            <w:r>
              <w:rPr>
                <w:rFonts w:hint="default" w:ascii="Times New Roman" w:hAnsi="Times New Roman" w:eastAsia="宋体" w:cs="Times New Roman"/>
                <w:color w:val="auto"/>
                <w:sz w:val="24"/>
                <w:szCs w:val="24"/>
                <w:u w:val="none" w:color="auto"/>
              </w:rPr>
              <w:t>，定期交给有资质的单位处理；由于活性炭到后期效率降低，在活性炭吸附饱和前要提前进行更换，每次更换要做好台账记录，方便查询。</w:t>
            </w:r>
          </w:p>
          <w:p w14:paraId="7B3F6A92">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kern w:val="0"/>
                <w:sz w:val="24"/>
                <w:szCs w:val="24"/>
                <w:u w:val="none" w:color="auto"/>
              </w:rPr>
              <w:t>②</w:t>
            </w:r>
            <w:r>
              <w:rPr>
                <w:rFonts w:hint="default" w:ascii="Times New Roman" w:hAnsi="Times New Roman" w:eastAsia="宋体" w:cs="Times New Roman"/>
                <w:color w:val="auto"/>
                <w:sz w:val="24"/>
                <w:szCs w:val="24"/>
                <w:u w:val="none" w:color="auto"/>
              </w:rPr>
              <w:t>废</w:t>
            </w:r>
            <w:r>
              <w:rPr>
                <w:rFonts w:hint="default" w:ascii="Times New Roman" w:hAnsi="Times New Roman" w:eastAsia="宋体" w:cs="Times New Roman"/>
                <w:color w:val="auto"/>
                <w:sz w:val="24"/>
                <w:szCs w:val="24"/>
                <w:u w:val="none" w:color="auto"/>
                <w:lang w:val="en-US" w:eastAsia="zh-CN"/>
              </w:rPr>
              <w:t>柴油</w:t>
            </w:r>
            <w:r>
              <w:rPr>
                <w:rFonts w:hint="default" w:ascii="Times New Roman" w:hAnsi="Times New Roman" w:eastAsia="宋体" w:cs="Times New Roman"/>
                <w:color w:val="auto"/>
                <w:sz w:val="24"/>
                <w:szCs w:val="24"/>
                <w:u w:val="none" w:color="auto"/>
              </w:rPr>
              <w:t>桶</w:t>
            </w:r>
          </w:p>
          <w:p w14:paraId="17A25A4A">
            <w:pPr>
              <w:pStyle w:val="34"/>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项目</w:t>
            </w:r>
            <w:r>
              <w:rPr>
                <w:rFonts w:hint="default" w:ascii="Times New Roman" w:hAnsi="Times New Roman" w:eastAsia="宋体" w:cs="Times New Roman"/>
                <w:color w:val="auto"/>
                <w:sz w:val="24"/>
                <w:szCs w:val="24"/>
                <w:u w:val="none" w:color="auto"/>
                <w:lang w:val="en-US" w:eastAsia="zh-CN"/>
              </w:rPr>
              <w:t>停电时会使用柴油发电机，使用</w:t>
            </w:r>
            <w:r>
              <w:rPr>
                <w:rFonts w:hint="default" w:ascii="Times New Roman" w:hAnsi="Times New Roman" w:eastAsia="宋体" w:cs="Times New Roman"/>
                <w:color w:val="auto"/>
                <w:sz w:val="24"/>
                <w:szCs w:val="24"/>
                <w:u w:val="none" w:color="auto"/>
              </w:rPr>
              <w:t>过程会产生废</w:t>
            </w:r>
            <w:r>
              <w:rPr>
                <w:rFonts w:hint="default" w:ascii="Times New Roman" w:hAnsi="Times New Roman" w:eastAsia="宋体" w:cs="Times New Roman"/>
                <w:color w:val="auto"/>
                <w:sz w:val="24"/>
                <w:szCs w:val="24"/>
                <w:u w:val="none" w:color="auto"/>
                <w:lang w:val="en-US" w:eastAsia="zh-CN"/>
              </w:rPr>
              <w:t>柴油</w:t>
            </w:r>
            <w:r>
              <w:rPr>
                <w:rFonts w:hint="default" w:ascii="Times New Roman" w:hAnsi="Times New Roman" w:eastAsia="宋体" w:cs="Times New Roman"/>
                <w:color w:val="auto"/>
                <w:sz w:val="24"/>
                <w:szCs w:val="24"/>
                <w:u w:val="none" w:color="auto"/>
              </w:rPr>
              <w:t>桶，</w:t>
            </w:r>
            <w:r>
              <w:rPr>
                <w:rFonts w:hint="default" w:ascii="Times New Roman" w:hAnsi="Times New Roman" w:eastAsia="宋体" w:cs="Times New Roman"/>
                <w:color w:val="auto"/>
                <w:sz w:val="24"/>
                <w:szCs w:val="24"/>
                <w:u w:val="none" w:color="auto"/>
                <w:lang w:val="en-US" w:eastAsia="zh-CN"/>
              </w:rPr>
              <w:t>柴油</w:t>
            </w:r>
            <w:r>
              <w:rPr>
                <w:rFonts w:hint="default" w:ascii="Times New Roman" w:hAnsi="Times New Roman" w:eastAsia="宋体" w:cs="Times New Roman"/>
                <w:color w:val="auto"/>
                <w:sz w:val="24"/>
                <w:szCs w:val="24"/>
                <w:u w:val="none" w:color="auto"/>
              </w:rPr>
              <w:t>年用量为</w:t>
            </w:r>
            <w:r>
              <w:rPr>
                <w:rFonts w:hint="default" w:ascii="Times New Roman" w:hAnsi="Times New Roman" w:eastAsia="宋体" w:cs="Times New Roman"/>
                <w:color w:val="auto"/>
                <w:sz w:val="24"/>
                <w:szCs w:val="24"/>
                <w:u w:val="none" w:color="auto"/>
                <w:lang w:val="en-US" w:eastAsia="zh-CN"/>
              </w:rPr>
              <w:t>1</w:t>
            </w:r>
            <w:r>
              <w:rPr>
                <w:rFonts w:hint="default" w:ascii="Times New Roman" w:hAnsi="Times New Roman" w:eastAsia="宋体" w:cs="Times New Roman"/>
                <w:color w:val="auto"/>
                <w:sz w:val="24"/>
                <w:szCs w:val="24"/>
                <w:u w:val="none" w:color="auto"/>
              </w:rPr>
              <w:t>t/a，包装规格5</w:t>
            </w:r>
            <w:r>
              <w:rPr>
                <w:rFonts w:hint="default" w:ascii="Times New Roman" w:hAnsi="Times New Roman" w:eastAsia="宋体" w:cs="Times New Roman"/>
                <w:color w:val="auto"/>
                <w:sz w:val="24"/>
                <w:szCs w:val="24"/>
                <w:u w:val="none" w:color="auto"/>
                <w:lang w:val="en-US" w:eastAsia="zh-CN"/>
              </w:rPr>
              <w:t>0</w:t>
            </w:r>
            <w:r>
              <w:rPr>
                <w:rFonts w:hint="default" w:ascii="Times New Roman" w:hAnsi="Times New Roman" w:eastAsia="宋体" w:cs="Times New Roman"/>
                <w:color w:val="auto"/>
                <w:sz w:val="24"/>
                <w:szCs w:val="24"/>
                <w:u w:val="none" w:color="auto"/>
              </w:rPr>
              <w:t>kg/桶，则废</w:t>
            </w:r>
            <w:r>
              <w:rPr>
                <w:rFonts w:hint="default" w:ascii="Times New Roman" w:hAnsi="Times New Roman" w:eastAsia="宋体" w:cs="Times New Roman"/>
                <w:color w:val="auto"/>
                <w:sz w:val="24"/>
                <w:szCs w:val="24"/>
                <w:u w:val="none" w:color="auto"/>
                <w:lang w:val="en-US" w:eastAsia="zh-CN"/>
              </w:rPr>
              <w:t>柴油</w:t>
            </w:r>
            <w:r>
              <w:rPr>
                <w:rFonts w:hint="default" w:ascii="Times New Roman" w:hAnsi="Times New Roman" w:eastAsia="宋体" w:cs="Times New Roman"/>
                <w:color w:val="auto"/>
                <w:sz w:val="24"/>
                <w:szCs w:val="24"/>
                <w:u w:val="none" w:color="auto"/>
              </w:rPr>
              <w:t>桶产生量为</w:t>
            </w:r>
            <w:r>
              <w:rPr>
                <w:rFonts w:hint="default" w:ascii="Times New Roman" w:hAnsi="Times New Roman" w:eastAsia="宋体" w:cs="Times New Roman"/>
                <w:color w:val="auto"/>
                <w:sz w:val="24"/>
                <w:szCs w:val="24"/>
                <w:u w:val="none" w:color="auto"/>
                <w:lang w:val="en-US" w:eastAsia="zh-CN"/>
              </w:rPr>
              <w:t>20</w:t>
            </w:r>
            <w:r>
              <w:rPr>
                <w:rFonts w:hint="default" w:ascii="Times New Roman" w:hAnsi="Times New Roman" w:eastAsia="宋体" w:cs="Times New Roman"/>
                <w:color w:val="auto"/>
                <w:sz w:val="24"/>
                <w:szCs w:val="24"/>
                <w:u w:val="none" w:color="auto"/>
              </w:rPr>
              <w:t>个/a，每个按1kg计，约</w:t>
            </w:r>
            <w:r>
              <w:rPr>
                <w:rFonts w:hint="default" w:ascii="Times New Roman" w:hAnsi="Times New Roman" w:eastAsia="宋体" w:cs="Times New Roman"/>
                <w:color w:val="auto"/>
                <w:sz w:val="24"/>
                <w:szCs w:val="24"/>
                <w:u w:val="none" w:color="auto"/>
                <w:lang w:val="en-US" w:eastAsia="zh-CN"/>
              </w:rPr>
              <w:t>0.02</w:t>
            </w:r>
            <w:r>
              <w:rPr>
                <w:rFonts w:hint="default" w:ascii="Times New Roman" w:hAnsi="Times New Roman" w:eastAsia="宋体" w:cs="Times New Roman"/>
                <w:color w:val="auto"/>
                <w:sz w:val="24"/>
                <w:szCs w:val="24"/>
                <w:u w:val="none" w:color="auto"/>
              </w:rPr>
              <w:t>t/a。经对比《国家危险废物名录》（202</w:t>
            </w:r>
            <w:r>
              <w:rPr>
                <w:rFonts w:hint="default" w:ascii="Times New Roman" w:hAnsi="Times New Roman" w:eastAsia="宋体" w:cs="Times New Roman"/>
                <w:color w:val="auto"/>
                <w:sz w:val="24"/>
                <w:szCs w:val="24"/>
                <w:u w:val="none" w:color="auto"/>
                <w:lang w:val="en-US" w:eastAsia="zh-CN"/>
              </w:rPr>
              <w:t>5</w:t>
            </w:r>
            <w:r>
              <w:rPr>
                <w:rFonts w:hint="default" w:ascii="Times New Roman" w:hAnsi="Times New Roman" w:eastAsia="宋体" w:cs="Times New Roman"/>
                <w:color w:val="auto"/>
                <w:sz w:val="24"/>
                <w:szCs w:val="24"/>
                <w:u w:val="none" w:color="auto"/>
              </w:rPr>
              <w:t>年本），废</w:t>
            </w:r>
            <w:r>
              <w:rPr>
                <w:rFonts w:hint="default" w:ascii="Times New Roman" w:hAnsi="Times New Roman" w:eastAsia="宋体" w:cs="Times New Roman"/>
                <w:color w:val="auto"/>
                <w:sz w:val="24"/>
                <w:szCs w:val="24"/>
                <w:u w:val="none" w:color="auto"/>
                <w:lang w:val="en-US" w:eastAsia="zh-CN"/>
              </w:rPr>
              <w:t>柴油</w:t>
            </w:r>
            <w:r>
              <w:rPr>
                <w:rFonts w:hint="default" w:ascii="Times New Roman" w:hAnsi="Times New Roman" w:eastAsia="宋体" w:cs="Times New Roman"/>
                <w:color w:val="auto"/>
                <w:sz w:val="24"/>
                <w:szCs w:val="24"/>
                <w:u w:val="none" w:color="auto"/>
              </w:rPr>
              <w:t>桶属于危险废物</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HW08废矿物油与含矿物油废物</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中</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900-249-08其他生产、销售、使用过程中产生的废矿物油及沾染矿物油的废弃包装物</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，集中收集于危废暂存间（面积</w:t>
            </w:r>
            <w:r>
              <w:rPr>
                <w:rFonts w:hint="default" w:ascii="Times New Roman" w:hAnsi="Times New Roman" w:eastAsia="宋体" w:cs="Times New Roman"/>
                <w:color w:val="auto"/>
                <w:sz w:val="24"/>
                <w:szCs w:val="24"/>
                <w:u w:val="none" w:color="auto"/>
                <w:lang w:val="en-US" w:eastAsia="zh-CN"/>
              </w:rPr>
              <w:t>10</w:t>
            </w:r>
            <w:r>
              <w:rPr>
                <w:rFonts w:hint="default" w:ascii="Times New Roman" w:hAnsi="Times New Roman" w:eastAsia="宋体" w:cs="Times New Roman"/>
                <w:color w:val="auto"/>
                <w:sz w:val="24"/>
                <w:szCs w:val="24"/>
                <w:u w:val="none" w:color="auto"/>
              </w:rPr>
              <w:t>m</w:t>
            </w:r>
            <w:r>
              <w:rPr>
                <w:rFonts w:hint="default" w:ascii="Times New Roman" w:hAnsi="Times New Roman" w:eastAsia="宋体" w:cs="Times New Roman"/>
                <w:color w:val="auto"/>
                <w:sz w:val="24"/>
                <w:szCs w:val="24"/>
                <w:u w:val="none" w:color="auto"/>
                <w:vertAlign w:val="superscript"/>
              </w:rPr>
              <w:t>2</w:t>
            </w:r>
            <w:r>
              <w:rPr>
                <w:rFonts w:hint="default" w:ascii="Times New Roman" w:hAnsi="Times New Roman" w:eastAsia="宋体" w:cs="Times New Roman"/>
                <w:color w:val="auto"/>
                <w:sz w:val="24"/>
                <w:szCs w:val="24"/>
                <w:u w:val="none" w:color="auto"/>
              </w:rPr>
              <w:t>，采取</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六防</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措施），定期交由有危废处理资质单位进行处置。</w:t>
            </w:r>
          </w:p>
          <w:p w14:paraId="46C2AEA4">
            <w:pPr>
              <w:pStyle w:val="170"/>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lang w:val="en-US" w:eastAsia="zh-CN"/>
              </w:rPr>
              <w:t>③</w:t>
            </w:r>
            <w:r>
              <w:rPr>
                <w:rFonts w:hint="default" w:ascii="Times New Roman" w:hAnsi="Times New Roman" w:eastAsia="宋体" w:cs="Times New Roman"/>
                <w:color w:val="auto"/>
                <w:spacing w:val="-1"/>
                <w:sz w:val="24"/>
                <w:szCs w:val="24"/>
                <w:u w:val="none" w:color="auto"/>
              </w:rPr>
              <w:t>实验室危险废物</w:t>
            </w:r>
          </w:p>
          <w:p w14:paraId="05CE88B6">
            <w:pPr>
              <w:pStyle w:val="170"/>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4" w:firstLineChars="200"/>
              <w:jc w:val="both"/>
              <w:textAlignment w:val="baseline"/>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1"/>
                <w:sz w:val="24"/>
                <w:szCs w:val="24"/>
                <w:u w:val="none" w:color="auto"/>
              </w:rPr>
              <w:t>项目实验室固废主要为实验完成后的实验废液、过期试剂、沾染化学试剂的试纸和包装瓶等，本项目高中生物实验不涉及到动物解剖和病毒性生物培养等内</w:t>
            </w:r>
            <w:r>
              <w:rPr>
                <w:rFonts w:hint="default" w:ascii="Times New Roman" w:hAnsi="Times New Roman" w:eastAsia="宋体" w:cs="Times New Roman"/>
                <w:color w:val="auto"/>
                <w:spacing w:val="-1"/>
                <w:sz w:val="24"/>
                <w:szCs w:val="24"/>
                <w:u w:val="none" w:color="auto"/>
              </w:rPr>
              <w:t>容，生物实验室固废不需要进行灭活处理。根据《国家危险废物名录》（202</w:t>
            </w:r>
            <w:r>
              <w:rPr>
                <w:rFonts w:hint="default" w:ascii="Times New Roman" w:hAnsi="Times New Roman" w:eastAsia="宋体" w:cs="Times New Roman"/>
                <w:color w:val="auto"/>
                <w:spacing w:val="-1"/>
                <w:sz w:val="24"/>
                <w:szCs w:val="24"/>
                <w:u w:val="none" w:color="auto"/>
                <w:lang w:val="en-US" w:eastAsia="zh-CN"/>
              </w:rPr>
              <w:t>5</w:t>
            </w:r>
            <w:r>
              <w:rPr>
                <w:rFonts w:hint="default" w:ascii="Times New Roman" w:hAnsi="Times New Roman" w:eastAsia="宋体" w:cs="Times New Roman"/>
                <w:color w:val="auto"/>
                <w:spacing w:val="-1"/>
                <w:sz w:val="24"/>
                <w:szCs w:val="24"/>
                <w:u w:val="none" w:color="auto"/>
              </w:rPr>
              <w:t>年</w:t>
            </w:r>
            <w:r>
              <w:rPr>
                <w:rFonts w:hint="default" w:ascii="Times New Roman" w:hAnsi="Times New Roman" w:eastAsia="宋体" w:cs="Times New Roman"/>
                <w:color w:val="auto"/>
                <w:spacing w:val="-3"/>
                <w:sz w:val="24"/>
                <w:szCs w:val="24"/>
                <w:u w:val="none" w:color="auto"/>
              </w:rPr>
              <w:t>版</w:t>
            </w:r>
            <w:r>
              <w:rPr>
                <w:rFonts w:hint="default" w:ascii="Times New Roman" w:hAnsi="Times New Roman" w:eastAsia="宋体" w:cs="Times New Roman"/>
                <w:color w:val="auto"/>
                <w:spacing w:val="-61"/>
                <w:w w:val="97"/>
                <w:sz w:val="24"/>
                <w:szCs w:val="24"/>
                <w:u w:val="none" w:color="auto"/>
              </w:rPr>
              <w:t>），</w:t>
            </w:r>
            <w:r>
              <w:rPr>
                <w:rFonts w:hint="default" w:ascii="Times New Roman" w:hAnsi="Times New Roman" w:eastAsia="宋体" w:cs="Times New Roman"/>
                <w:color w:val="auto"/>
                <w:spacing w:val="-3"/>
                <w:sz w:val="24"/>
                <w:szCs w:val="24"/>
                <w:u w:val="none" w:color="auto"/>
              </w:rPr>
              <w:t>其属于</w:t>
            </w:r>
            <w:r>
              <w:rPr>
                <w:rFonts w:hint="default" w:ascii="Times New Roman" w:hAnsi="Times New Roman" w:eastAsia="宋体" w:cs="Times New Roman"/>
                <w:color w:val="auto"/>
                <w:spacing w:val="-3"/>
                <w:sz w:val="24"/>
                <w:szCs w:val="24"/>
                <w:u w:val="none" w:color="auto"/>
                <w:lang w:eastAsia="zh-CN"/>
              </w:rPr>
              <w:t>“</w:t>
            </w:r>
            <w:r>
              <w:rPr>
                <w:rFonts w:hint="default" w:ascii="Times New Roman" w:hAnsi="Times New Roman" w:eastAsia="宋体" w:cs="Times New Roman"/>
                <w:color w:val="auto"/>
                <w:spacing w:val="-3"/>
                <w:sz w:val="24"/>
                <w:szCs w:val="24"/>
                <w:u w:val="none" w:color="auto"/>
              </w:rPr>
              <w:t>HW49其他废物</w:t>
            </w:r>
            <w:r>
              <w:rPr>
                <w:rFonts w:hint="default" w:ascii="Times New Roman" w:hAnsi="Times New Roman" w:eastAsia="宋体" w:cs="Times New Roman"/>
                <w:color w:val="auto"/>
                <w:spacing w:val="-3"/>
                <w:sz w:val="24"/>
                <w:szCs w:val="24"/>
                <w:u w:val="none" w:color="auto"/>
                <w:lang w:eastAsia="zh-CN"/>
              </w:rPr>
              <w:t>”</w:t>
            </w:r>
            <w:r>
              <w:rPr>
                <w:rFonts w:hint="default" w:ascii="Times New Roman" w:hAnsi="Times New Roman" w:eastAsia="宋体" w:cs="Times New Roman"/>
                <w:color w:val="auto"/>
                <w:spacing w:val="-3"/>
                <w:sz w:val="24"/>
                <w:szCs w:val="24"/>
                <w:u w:val="none" w:color="auto"/>
              </w:rPr>
              <w:t>中代码为</w:t>
            </w:r>
            <w:r>
              <w:rPr>
                <w:rFonts w:hint="default" w:ascii="Times New Roman" w:hAnsi="Times New Roman" w:eastAsia="宋体" w:cs="Times New Roman"/>
                <w:color w:val="auto"/>
                <w:spacing w:val="-50"/>
                <w:sz w:val="24"/>
                <w:szCs w:val="24"/>
                <w:u w:val="none" w:color="auto"/>
              </w:rPr>
              <w:t xml:space="preserve"> </w:t>
            </w:r>
            <w:r>
              <w:rPr>
                <w:rFonts w:hint="default" w:ascii="Times New Roman" w:hAnsi="Times New Roman" w:eastAsia="宋体" w:cs="Times New Roman"/>
                <w:color w:val="auto"/>
                <w:spacing w:val="-3"/>
                <w:sz w:val="24"/>
                <w:szCs w:val="24"/>
                <w:u w:val="none" w:color="auto"/>
              </w:rPr>
              <w:t>900-047-49的</w:t>
            </w:r>
            <w:r>
              <w:rPr>
                <w:rFonts w:hint="default" w:ascii="Times New Roman" w:hAnsi="Times New Roman" w:eastAsia="宋体" w:cs="Times New Roman"/>
                <w:color w:val="auto"/>
                <w:spacing w:val="-3"/>
                <w:sz w:val="24"/>
                <w:szCs w:val="24"/>
                <w:u w:val="none" w:color="auto"/>
                <w:lang w:eastAsia="zh-CN"/>
              </w:rPr>
              <w:t>“</w:t>
            </w:r>
            <w:r>
              <w:rPr>
                <w:rFonts w:hint="default" w:ascii="Times New Roman" w:hAnsi="Times New Roman" w:eastAsia="宋体" w:cs="Times New Roman"/>
                <w:color w:val="auto"/>
                <w:spacing w:val="-3"/>
                <w:sz w:val="24"/>
                <w:szCs w:val="24"/>
                <w:u w:val="none" w:color="auto"/>
                <w:lang w:val="en-US" w:eastAsia="zh-CN"/>
              </w:rPr>
              <w:t>生产、研究、开发、教学、环境检测（监测）活动中，化学和生物实验室（不包含感染性医学实验室及医疗机构化验室）产生的含氰、氟、重金属无机废液及无机废液处理产生的残渣、残液，含矿物油、有机溶剂、甲醛有机废液，废酸、废碱，具有危险特性的残留样品，以及沾染上述物质的一次性实验用品（不包括按实验室管理要求进行清洗后的废弃的烧杯、量器、漏斗等实验室用品）、包装物（不包括按实验室管理要求进行清洗后的试剂包装物、容器）、过滤吸附介质等</w:t>
            </w:r>
            <w:r>
              <w:rPr>
                <w:rFonts w:hint="default" w:ascii="Times New Roman" w:hAnsi="Times New Roman" w:eastAsia="宋体" w:cs="Times New Roman"/>
                <w:color w:val="auto"/>
                <w:spacing w:val="-2"/>
                <w:sz w:val="24"/>
                <w:szCs w:val="24"/>
                <w:u w:val="none" w:color="auto"/>
                <w:lang w:eastAsia="zh-CN"/>
              </w:rPr>
              <w:t>”</w:t>
            </w:r>
            <w:r>
              <w:rPr>
                <w:rFonts w:hint="default" w:ascii="Times New Roman" w:hAnsi="Times New Roman" w:eastAsia="宋体" w:cs="Times New Roman"/>
                <w:color w:val="auto"/>
                <w:spacing w:val="-2"/>
                <w:sz w:val="24"/>
                <w:szCs w:val="24"/>
                <w:u w:val="none" w:color="auto"/>
              </w:rPr>
              <w:t>。根据中学实验课程特点，实验室废液产生量按每节实验课产生</w:t>
            </w:r>
            <w:r>
              <w:rPr>
                <w:rFonts w:hint="default" w:ascii="Times New Roman" w:hAnsi="Times New Roman" w:eastAsia="宋体" w:cs="Times New Roman"/>
                <w:color w:val="auto"/>
                <w:spacing w:val="-48"/>
                <w:sz w:val="24"/>
                <w:szCs w:val="24"/>
                <w:u w:val="none" w:color="auto"/>
              </w:rPr>
              <w:t xml:space="preserve"> </w:t>
            </w:r>
            <w:r>
              <w:rPr>
                <w:rFonts w:hint="default" w:ascii="Times New Roman" w:hAnsi="Times New Roman" w:eastAsia="宋体" w:cs="Times New Roman"/>
                <w:color w:val="auto"/>
                <w:spacing w:val="-2"/>
                <w:sz w:val="24"/>
                <w:szCs w:val="24"/>
                <w:u w:val="none" w:color="auto"/>
              </w:rPr>
              <w:t>200ml计，本项目实验课时设置为</w:t>
            </w:r>
            <w:r>
              <w:rPr>
                <w:rFonts w:hint="default" w:ascii="Times New Roman" w:hAnsi="Times New Roman" w:eastAsia="宋体" w:cs="Times New Roman"/>
                <w:color w:val="auto"/>
                <w:spacing w:val="-2"/>
                <w:sz w:val="24"/>
                <w:szCs w:val="24"/>
                <w:u w:val="none" w:color="auto"/>
                <w:lang w:val="en-US" w:eastAsia="zh-CN"/>
              </w:rPr>
              <w:t>6400</w:t>
            </w:r>
            <w:r>
              <w:rPr>
                <w:rFonts w:hint="default" w:ascii="Times New Roman" w:hAnsi="Times New Roman" w:eastAsia="宋体" w:cs="Times New Roman"/>
                <w:color w:val="auto"/>
                <w:spacing w:val="-2"/>
                <w:sz w:val="24"/>
                <w:szCs w:val="24"/>
                <w:u w:val="none" w:color="auto"/>
              </w:rPr>
              <w:t>次/a，则实验废液产生量为</w:t>
            </w:r>
            <w:r>
              <w:rPr>
                <w:rFonts w:hint="default" w:ascii="Times New Roman" w:hAnsi="Times New Roman" w:eastAsia="宋体" w:cs="Times New Roman"/>
                <w:color w:val="auto"/>
                <w:spacing w:val="-1"/>
                <w:sz w:val="24"/>
                <w:szCs w:val="24"/>
                <w:u w:val="none" w:color="auto"/>
                <w:lang w:val="en-US" w:eastAsia="zh-CN"/>
              </w:rPr>
              <w:t>1.28</w:t>
            </w:r>
            <w:r>
              <w:rPr>
                <w:rFonts w:hint="default" w:ascii="Times New Roman" w:hAnsi="Times New Roman" w:eastAsia="宋体" w:cs="Times New Roman"/>
                <w:color w:val="auto"/>
                <w:spacing w:val="-1"/>
                <w:sz w:val="24"/>
                <w:szCs w:val="24"/>
                <w:u w:val="none" w:color="auto"/>
              </w:rPr>
              <w:t>t/a，过期试剂产生量为</w:t>
            </w:r>
            <w:r>
              <w:rPr>
                <w:rFonts w:hint="default" w:ascii="Times New Roman" w:hAnsi="Times New Roman" w:eastAsia="宋体" w:cs="Times New Roman"/>
                <w:color w:val="auto"/>
                <w:spacing w:val="-46"/>
                <w:sz w:val="24"/>
                <w:szCs w:val="24"/>
                <w:u w:val="none" w:color="auto"/>
              </w:rPr>
              <w:t xml:space="preserve"> </w:t>
            </w:r>
            <w:r>
              <w:rPr>
                <w:rFonts w:hint="default" w:ascii="Times New Roman" w:hAnsi="Times New Roman" w:eastAsia="宋体" w:cs="Times New Roman"/>
                <w:color w:val="auto"/>
                <w:spacing w:val="-1"/>
                <w:sz w:val="24"/>
                <w:szCs w:val="24"/>
                <w:u w:val="none" w:color="auto"/>
              </w:rPr>
              <w:t>0.04t/a，实验室耗材产生量为</w:t>
            </w:r>
            <w:r>
              <w:rPr>
                <w:rFonts w:hint="default" w:ascii="Times New Roman" w:hAnsi="Times New Roman" w:eastAsia="宋体" w:cs="Times New Roman"/>
                <w:color w:val="auto"/>
                <w:spacing w:val="-49"/>
                <w:sz w:val="24"/>
                <w:szCs w:val="24"/>
                <w:u w:val="none" w:color="auto"/>
              </w:rPr>
              <w:t xml:space="preserve"> </w:t>
            </w:r>
            <w:r>
              <w:rPr>
                <w:rFonts w:hint="default" w:ascii="Times New Roman" w:hAnsi="Times New Roman" w:eastAsia="宋体" w:cs="Times New Roman"/>
                <w:color w:val="auto"/>
                <w:spacing w:val="-1"/>
                <w:sz w:val="24"/>
                <w:szCs w:val="24"/>
                <w:u w:val="none" w:color="auto"/>
              </w:rPr>
              <w:t>0.</w:t>
            </w:r>
            <w:r>
              <w:rPr>
                <w:rFonts w:hint="default" w:ascii="Times New Roman" w:hAnsi="Times New Roman" w:eastAsia="宋体" w:cs="Times New Roman"/>
                <w:color w:val="auto"/>
                <w:spacing w:val="-32"/>
                <w:sz w:val="24"/>
                <w:szCs w:val="24"/>
                <w:u w:val="none" w:color="auto"/>
              </w:rPr>
              <w:t xml:space="preserve"> </w:t>
            </w:r>
            <w:r>
              <w:rPr>
                <w:rFonts w:hint="default" w:ascii="Times New Roman" w:hAnsi="Times New Roman" w:eastAsia="宋体" w:cs="Times New Roman"/>
                <w:color w:val="auto"/>
                <w:spacing w:val="-1"/>
                <w:sz w:val="24"/>
                <w:szCs w:val="24"/>
                <w:u w:val="none" w:color="auto"/>
              </w:rPr>
              <w:t>1t/a，实验室废试剂</w:t>
            </w:r>
            <w:r>
              <w:rPr>
                <w:rFonts w:hint="default" w:ascii="Times New Roman" w:hAnsi="Times New Roman" w:eastAsia="宋体" w:cs="Times New Roman"/>
                <w:color w:val="auto"/>
                <w:spacing w:val="4"/>
                <w:sz w:val="24"/>
                <w:szCs w:val="24"/>
                <w:u w:val="none" w:color="auto"/>
              </w:rPr>
              <w:t>瓶产生量约200个/a，每个瓶的平均重量约</w:t>
            </w:r>
            <w:r>
              <w:rPr>
                <w:rFonts w:hint="default" w:ascii="Times New Roman" w:hAnsi="Times New Roman" w:eastAsia="宋体" w:cs="Times New Roman"/>
                <w:color w:val="auto"/>
                <w:spacing w:val="-46"/>
                <w:sz w:val="24"/>
                <w:szCs w:val="24"/>
                <w:u w:val="none" w:color="auto"/>
              </w:rPr>
              <w:t xml:space="preserve"> </w:t>
            </w:r>
            <w:r>
              <w:rPr>
                <w:rFonts w:hint="default" w:ascii="Times New Roman" w:hAnsi="Times New Roman" w:eastAsia="宋体" w:cs="Times New Roman"/>
                <w:color w:val="auto"/>
                <w:spacing w:val="4"/>
                <w:sz w:val="24"/>
                <w:szCs w:val="24"/>
                <w:u w:val="none" w:color="auto"/>
              </w:rPr>
              <w:t>200g，则实验室试剂瓶产生量约为</w:t>
            </w:r>
            <w:r>
              <w:rPr>
                <w:rFonts w:hint="default" w:ascii="Times New Roman" w:hAnsi="Times New Roman" w:eastAsia="宋体" w:cs="Times New Roman"/>
                <w:color w:val="auto"/>
                <w:spacing w:val="2"/>
                <w:sz w:val="24"/>
                <w:szCs w:val="24"/>
                <w:u w:val="none" w:color="auto"/>
              </w:rPr>
              <w:t>40</w:t>
            </w:r>
            <w:r>
              <w:rPr>
                <w:rFonts w:hint="default" w:ascii="Times New Roman" w:hAnsi="Times New Roman" w:eastAsia="宋体" w:cs="Times New Roman"/>
                <w:color w:val="auto"/>
                <w:sz w:val="24"/>
                <w:szCs w:val="24"/>
                <w:u w:val="none" w:color="auto"/>
              </w:rPr>
              <w:t>kg</w:t>
            </w:r>
            <w:r>
              <w:rPr>
                <w:rFonts w:hint="default" w:ascii="Times New Roman" w:hAnsi="Times New Roman" w:eastAsia="宋体" w:cs="Times New Roman"/>
                <w:color w:val="auto"/>
                <w:spacing w:val="2"/>
                <w:sz w:val="24"/>
                <w:szCs w:val="24"/>
                <w:u w:val="none" w:color="auto"/>
              </w:rPr>
              <w:t>/a。本项目实验室废液、过期试剂、废试剂瓶和沾染化学试剂的试纸产生量</w:t>
            </w:r>
            <w:r>
              <w:rPr>
                <w:rFonts w:hint="default" w:ascii="Times New Roman" w:hAnsi="Times New Roman" w:eastAsia="宋体" w:cs="Times New Roman"/>
                <w:color w:val="auto"/>
                <w:spacing w:val="-4"/>
                <w:sz w:val="24"/>
                <w:szCs w:val="24"/>
                <w:u w:val="none" w:color="auto"/>
              </w:rPr>
              <w:t>约为1.</w:t>
            </w:r>
            <w:r>
              <w:rPr>
                <w:rFonts w:hint="default" w:ascii="Times New Roman" w:hAnsi="Times New Roman" w:eastAsia="宋体" w:cs="Times New Roman"/>
                <w:color w:val="auto"/>
                <w:spacing w:val="-4"/>
                <w:sz w:val="24"/>
                <w:szCs w:val="24"/>
                <w:u w:val="none" w:color="auto"/>
                <w:lang w:val="en-US" w:eastAsia="zh-CN"/>
              </w:rPr>
              <w:t>46</w:t>
            </w:r>
            <w:r>
              <w:rPr>
                <w:rFonts w:hint="default" w:ascii="Times New Roman" w:hAnsi="Times New Roman" w:eastAsia="宋体" w:cs="Times New Roman"/>
                <w:color w:val="auto"/>
                <w:spacing w:val="-4"/>
                <w:sz w:val="24"/>
                <w:szCs w:val="24"/>
                <w:u w:val="none" w:color="auto"/>
              </w:rPr>
              <w:t>t/a</w:t>
            </w:r>
            <w:r>
              <w:rPr>
                <w:rFonts w:hint="default" w:ascii="Times New Roman" w:hAnsi="Times New Roman" w:eastAsia="宋体" w:cs="Times New Roman"/>
                <w:color w:val="auto"/>
                <w:spacing w:val="-4"/>
                <w:sz w:val="24"/>
                <w:szCs w:val="24"/>
                <w:u w:val="none" w:color="auto"/>
                <w:lang w:eastAsia="zh-CN"/>
              </w:rPr>
              <w:t>，</w:t>
            </w:r>
            <w:r>
              <w:rPr>
                <w:rFonts w:hint="default" w:ascii="Times New Roman" w:hAnsi="Times New Roman" w:eastAsia="宋体" w:cs="Times New Roman"/>
                <w:color w:val="auto"/>
                <w:sz w:val="24"/>
                <w:szCs w:val="24"/>
                <w:u w:val="none" w:color="auto"/>
              </w:rPr>
              <w:t>分类收集于危废暂存间（面积</w:t>
            </w:r>
            <w:r>
              <w:rPr>
                <w:rFonts w:hint="default" w:ascii="Times New Roman" w:hAnsi="Times New Roman" w:eastAsia="宋体" w:cs="Times New Roman"/>
                <w:color w:val="auto"/>
                <w:sz w:val="24"/>
                <w:szCs w:val="24"/>
                <w:u w:val="none" w:color="auto"/>
                <w:lang w:val="en-US" w:eastAsia="zh-CN"/>
              </w:rPr>
              <w:t>10</w:t>
            </w:r>
            <w:r>
              <w:rPr>
                <w:rFonts w:hint="default" w:ascii="Times New Roman" w:hAnsi="Times New Roman" w:eastAsia="宋体" w:cs="Times New Roman"/>
                <w:color w:val="auto"/>
                <w:sz w:val="24"/>
                <w:szCs w:val="24"/>
                <w:u w:val="none" w:color="auto"/>
              </w:rPr>
              <w:t>m</w:t>
            </w:r>
            <w:r>
              <w:rPr>
                <w:rFonts w:hint="default" w:ascii="Times New Roman" w:hAnsi="Times New Roman" w:eastAsia="宋体" w:cs="Times New Roman"/>
                <w:color w:val="auto"/>
                <w:sz w:val="24"/>
                <w:szCs w:val="24"/>
                <w:u w:val="none" w:color="auto"/>
                <w:vertAlign w:val="superscript"/>
              </w:rPr>
              <w:t>2</w:t>
            </w:r>
            <w:r>
              <w:rPr>
                <w:rFonts w:hint="default" w:ascii="Times New Roman" w:hAnsi="Times New Roman" w:eastAsia="宋体" w:cs="Times New Roman"/>
                <w:color w:val="auto"/>
                <w:sz w:val="24"/>
                <w:szCs w:val="24"/>
                <w:u w:val="none" w:color="auto"/>
              </w:rPr>
              <w:t>，采取</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六防</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措施），定期交由有危废处理资质单位进行处置</w:t>
            </w:r>
            <w:r>
              <w:rPr>
                <w:rFonts w:hint="default" w:ascii="Times New Roman" w:hAnsi="Times New Roman" w:eastAsia="宋体" w:cs="Times New Roman"/>
                <w:color w:val="auto"/>
                <w:spacing w:val="-4"/>
                <w:sz w:val="24"/>
                <w:szCs w:val="24"/>
                <w:u w:val="none" w:color="auto"/>
              </w:rPr>
              <w:t>。</w:t>
            </w:r>
          </w:p>
          <w:p w14:paraId="099F66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4"/>
                <w:szCs w:val="24"/>
                <w:highlight w:val="none"/>
                <w:u w:val="none" w:color="auto"/>
                <w:lang w:val="en-US" w:eastAsia="zh-CN" w:bidi="ar-SA"/>
              </w:rPr>
            </w:pPr>
            <w:r>
              <w:rPr>
                <w:rFonts w:hint="default" w:ascii="Times New Roman" w:hAnsi="Times New Roman" w:eastAsia="宋体" w:cs="Times New Roman"/>
                <w:b/>
                <w:bCs/>
                <w:color w:val="auto"/>
                <w:kern w:val="2"/>
                <w:sz w:val="24"/>
                <w:szCs w:val="24"/>
                <w:highlight w:val="none"/>
                <w:u w:val="none" w:color="auto"/>
                <w:lang w:val="en-US" w:eastAsia="zh-CN" w:bidi="ar-SA"/>
              </w:rPr>
              <w:t>表4-2</w:t>
            </w:r>
            <w:r>
              <w:rPr>
                <w:rFonts w:hint="eastAsia" w:ascii="Times New Roman" w:hAnsi="Times New Roman" w:eastAsia="宋体" w:cs="Times New Roman"/>
                <w:b/>
                <w:bCs/>
                <w:color w:val="auto"/>
                <w:kern w:val="2"/>
                <w:sz w:val="24"/>
                <w:szCs w:val="24"/>
                <w:highlight w:val="none"/>
                <w:u w:val="none" w:color="auto"/>
                <w:lang w:val="en-US" w:eastAsia="zh-CN" w:bidi="ar-SA"/>
              </w:rPr>
              <w:t>0</w:t>
            </w:r>
            <w:r>
              <w:rPr>
                <w:rFonts w:hint="default" w:ascii="Times New Roman" w:hAnsi="Times New Roman" w:eastAsia="宋体" w:cs="Times New Roman"/>
                <w:b/>
                <w:bCs/>
                <w:color w:val="auto"/>
                <w:kern w:val="2"/>
                <w:sz w:val="24"/>
                <w:szCs w:val="24"/>
                <w:highlight w:val="none"/>
                <w:u w:val="none" w:color="auto"/>
                <w:lang w:val="en-US" w:eastAsia="zh-CN" w:bidi="ar-SA"/>
              </w:rPr>
              <w:t xml:space="preserve">     项目危险废物产生及处置情况一览表</w:t>
            </w:r>
          </w:p>
          <w:tbl>
            <w:tblPr>
              <w:tblStyle w:val="35"/>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513"/>
              <w:gridCol w:w="1156"/>
              <w:gridCol w:w="890"/>
              <w:gridCol w:w="1305"/>
              <w:gridCol w:w="799"/>
              <w:gridCol w:w="607"/>
              <w:gridCol w:w="516"/>
              <w:gridCol w:w="500"/>
              <w:gridCol w:w="786"/>
              <w:gridCol w:w="966"/>
              <w:gridCol w:w="1067"/>
            </w:tblGrid>
            <w:tr w14:paraId="0045CA2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282" w:type="pct"/>
                  <w:vAlign w:val="center"/>
                </w:tcPr>
                <w:p w14:paraId="32242D37">
                  <w:pPr>
                    <w:pStyle w:val="88"/>
                    <w:keepNext w:val="0"/>
                    <w:keepLines w:val="0"/>
                    <w:pageBreakBefore w:val="0"/>
                    <w:kinsoku/>
                    <w:wordWrap/>
                    <w:overflowPunct/>
                    <w:topLinePunct w:val="0"/>
                    <w:bidi w:val="0"/>
                    <w:snapToGrid w:val="0"/>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序号</w:t>
                  </w:r>
                </w:p>
              </w:tc>
              <w:tc>
                <w:tcPr>
                  <w:tcW w:w="634" w:type="pct"/>
                  <w:vAlign w:val="center"/>
                </w:tcPr>
                <w:p w14:paraId="3F8D5C18">
                  <w:pPr>
                    <w:pStyle w:val="88"/>
                    <w:keepNext w:val="0"/>
                    <w:keepLines w:val="0"/>
                    <w:pageBreakBefore w:val="0"/>
                    <w:kinsoku/>
                    <w:wordWrap/>
                    <w:overflowPunct/>
                    <w:topLinePunct w:val="0"/>
                    <w:bidi w:val="0"/>
                    <w:snapToGrid w:val="0"/>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危险废物名称</w:t>
                  </w:r>
                </w:p>
              </w:tc>
              <w:tc>
                <w:tcPr>
                  <w:tcW w:w="488" w:type="pct"/>
                  <w:vAlign w:val="center"/>
                </w:tcPr>
                <w:p w14:paraId="3F5FAE20">
                  <w:pPr>
                    <w:pStyle w:val="88"/>
                    <w:keepNext w:val="0"/>
                    <w:keepLines w:val="0"/>
                    <w:pageBreakBefore w:val="0"/>
                    <w:kinsoku/>
                    <w:wordWrap/>
                    <w:overflowPunct/>
                    <w:topLinePunct w:val="0"/>
                    <w:bidi w:val="0"/>
                    <w:snapToGrid w:val="0"/>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危险废物类别</w:t>
                  </w:r>
                </w:p>
              </w:tc>
              <w:tc>
                <w:tcPr>
                  <w:tcW w:w="716" w:type="pct"/>
                  <w:vAlign w:val="center"/>
                </w:tcPr>
                <w:p w14:paraId="3DD3C0F0">
                  <w:pPr>
                    <w:pStyle w:val="88"/>
                    <w:keepNext w:val="0"/>
                    <w:keepLines w:val="0"/>
                    <w:pageBreakBefore w:val="0"/>
                    <w:kinsoku/>
                    <w:wordWrap/>
                    <w:overflowPunct/>
                    <w:topLinePunct w:val="0"/>
                    <w:bidi w:val="0"/>
                    <w:snapToGrid w:val="0"/>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危险废物</w:t>
                  </w:r>
                </w:p>
                <w:p w14:paraId="137A9AB4">
                  <w:pPr>
                    <w:pStyle w:val="88"/>
                    <w:keepNext w:val="0"/>
                    <w:keepLines w:val="0"/>
                    <w:pageBreakBefore w:val="0"/>
                    <w:kinsoku/>
                    <w:wordWrap/>
                    <w:overflowPunct/>
                    <w:topLinePunct w:val="0"/>
                    <w:bidi w:val="0"/>
                    <w:snapToGrid w:val="0"/>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代码</w:t>
                  </w:r>
                </w:p>
              </w:tc>
              <w:tc>
                <w:tcPr>
                  <w:tcW w:w="438" w:type="pct"/>
                  <w:vAlign w:val="center"/>
                </w:tcPr>
                <w:p w14:paraId="1701D4AB">
                  <w:pPr>
                    <w:pStyle w:val="88"/>
                    <w:keepNext w:val="0"/>
                    <w:keepLines w:val="0"/>
                    <w:pageBreakBefore w:val="0"/>
                    <w:kinsoku/>
                    <w:wordWrap/>
                    <w:overflowPunct/>
                    <w:topLinePunct w:val="0"/>
                    <w:bidi w:val="0"/>
                    <w:snapToGrid w:val="0"/>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产生量（t/a）</w:t>
                  </w:r>
                </w:p>
              </w:tc>
              <w:tc>
                <w:tcPr>
                  <w:tcW w:w="333" w:type="pct"/>
                  <w:vAlign w:val="center"/>
                </w:tcPr>
                <w:p w14:paraId="4E5F3BFC">
                  <w:pPr>
                    <w:pStyle w:val="88"/>
                    <w:keepNext w:val="0"/>
                    <w:keepLines w:val="0"/>
                    <w:pageBreakBefore w:val="0"/>
                    <w:kinsoku/>
                    <w:wordWrap/>
                    <w:overflowPunct/>
                    <w:topLinePunct w:val="0"/>
                    <w:bidi w:val="0"/>
                    <w:snapToGrid w:val="0"/>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产生环节</w:t>
                  </w:r>
                </w:p>
              </w:tc>
              <w:tc>
                <w:tcPr>
                  <w:tcW w:w="283" w:type="pct"/>
                  <w:vAlign w:val="center"/>
                </w:tcPr>
                <w:p w14:paraId="5575CA37">
                  <w:pPr>
                    <w:pStyle w:val="88"/>
                    <w:keepNext w:val="0"/>
                    <w:keepLines w:val="0"/>
                    <w:pageBreakBefore w:val="0"/>
                    <w:kinsoku/>
                    <w:wordWrap/>
                    <w:overflowPunct/>
                    <w:topLinePunct w:val="0"/>
                    <w:bidi w:val="0"/>
                    <w:snapToGrid w:val="0"/>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形态</w:t>
                  </w:r>
                </w:p>
              </w:tc>
              <w:tc>
                <w:tcPr>
                  <w:tcW w:w="274" w:type="pct"/>
                  <w:vAlign w:val="center"/>
                </w:tcPr>
                <w:p w14:paraId="74C16491">
                  <w:pPr>
                    <w:pStyle w:val="88"/>
                    <w:keepNext w:val="0"/>
                    <w:keepLines w:val="0"/>
                    <w:pageBreakBefore w:val="0"/>
                    <w:kinsoku/>
                    <w:wordWrap/>
                    <w:overflowPunct/>
                    <w:topLinePunct w:val="0"/>
                    <w:bidi w:val="0"/>
                    <w:snapToGrid w:val="0"/>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有害成分</w:t>
                  </w:r>
                </w:p>
              </w:tc>
              <w:tc>
                <w:tcPr>
                  <w:tcW w:w="431" w:type="pct"/>
                  <w:vAlign w:val="center"/>
                </w:tcPr>
                <w:p w14:paraId="3AFDF0F0">
                  <w:pPr>
                    <w:pStyle w:val="88"/>
                    <w:keepNext w:val="0"/>
                    <w:keepLines w:val="0"/>
                    <w:pageBreakBefore w:val="0"/>
                    <w:kinsoku/>
                    <w:wordWrap/>
                    <w:overflowPunct/>
                    <w:topLinePunct w:val="0"/>
                    <w:bidi w:val="0"/>
                    <w:snapToGrid w:val="0"/>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产废</w:t>
                  </w:r>
                </w:p>
                <w:p w14:paraId="2B4382C5">
                  <w:pPr>
                    <w:pStyle w:val="88"/>
                    <w:keepNext w:val="0"/>
                    <w:keepLines w:val="0"/>
                    <w:pageBreakBefore w:val="0"/>
                    <w:kinsoku/>
                    <w:wordWrap/>
                    <w:overflowPunct/>
                    <w:topLinePunct w:val="0"/>
                    <w:bidi w:val="0"/>
                    <w:snapToGrid w:val="0"/>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周期</w:t>
                  </w:r>
                </w:p>
              </w:tc>
              <w:tc>
                <w:tcPr>
                  <w:tcW w:w="530" w:type="pct"/>
                  <w:vAlign w:val="center"/>
                </w:tcPr>
                <w:p w14:paraId="5CE53976">
                  <w:pPr>
                    <w:pStyle w:val="88"/>
                    <w:keepNext w:val="0"/>
                    <w:keepLines w:val="0"/>
                    <w:pageBreakBefore w:val="0"/>
                    <w:kinsoku/>
                    <w:wordWrap/>
                    <w:overflowPunct/>
                    <w:topLinePunct w:val="0"/>
                    <w:bidi w:val="0"/>
                    <w:snapToGrid w:val="0"/>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危险特性</w:t>
                  </w:r>
                </w:p>
              </w:tc>
              <w:tc>
                <w:tcPr>
                  <w:tcW w:w="585" w:type="pct"/>
                  <w:vAlign w:val="center"/>
                </w:tcPr>
                <w:p w14:paraId="7ECA7B85">
                  <w:pPr>
                    <w:pStyle w:val="88"/>
                    <w:keepNext w:val="0"/>
                    <w:keepLines w:val="0"/>
                    <w:pageBreakBefore w:val="0"/>
                    <w:kinsoku/>
                    <w:wordWrap/>
                    <w:overflowPunct/>
                    <w:topLinePunct w:val="0"/>
                    <w:bidi w:val="0"/>
                    <w:snapToGrid w:val="0"/>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污染防治措施</w:t>
                  </w:r>
                </w:p>
              </w:tc>
            </w:tr>
            <w:tr w14:paraId="58A0817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282" w:type="pct"/>
                  <w:vAlign w:val="center"/>
                </w:tcPr>
                <w:p w14:paraId="7E625FD6">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w:t>
                  </w:r>
                </w:p>
              </w:tc>
              <w:tc>
                <w:tcPr>
                  <w:tcW w:w="634" w:type="pct"/>
                  <w:vAlign w:val="center"/>
                </w:tcPr>
                <w:p w14:paraId="44936FB5">
                  <w:pPr>
                    <w:keepNext w:val="0"/>
                    <w:keepLines w:val="0"/>
                    <w:pageBreakBefore w:val="0"/>
                    <w:kinsoku/>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rPr>
                    <w:t>废活性炭</w:t>
                  </w:r>
                </w:p>
              </w:tc>
              <w:tc>
                <w:tcPr>
                  <w:tcW w:w="488" w:type="pct"/>
                  <w:vAlign w:val="center"/>
                </w:tcPr>
                <w:p w14:paraId="649D1D31">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HW49</w:t>
                  </w:r>
                </w:p>
              </w:tc>
              <w:tc>
                <w:tcPr>
                  <w:tcW w:w="716" w:type="pct"/>
                  <w:vAlign w:val="center"/>
                </w:tcPr>
                <w:p w14:paraId="0A5061B9">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900-0</w:t>
                  </w:r>
                  <w:r>
                    <w:rPr>
                      <w:rFonts w:hint="default" w:ascii="Times New Roman" w:hAnsi="Times New Roman" w:eastAsia="宋体" w:cs="Times New Roman"/>
                      <w:color w:val="auto"/>
                      <w:sz w:val="21"/>
                      <w:szCs w:val="21"/>
                      <w:u w:val="none" w:color="auto"/>
                      <w:lang w:val="en-US" w:eastAsia="zh-CN"/>
                    </w:rPr>
                    <w:t>39</w:t>
                  </w:r>
                  <w:r>
                    <w:rPr>
                      <w:rFonts w:hint="default" w:ascii="Times New Roman" w:hAnsi="Times New Roman" w:eastAsia="宋体" w:cs="Times New Roman"/>
                      <w:color w:val="auto"/>
                      <w:sz w:val="21"/>
                      <w:szCs w:val="21"/>
                      <w:u w:val="none" w:color="auto"/>
                    </w:rPr>
                    <w:t>-49</w:t>
                  </w:r>
                </w:p>
              </w:tc>
              <w:tc>
                <w:tcPr>
                  <w:tcW w:w="438" w:type="pct"/>
                  <w:vAlign w:val="center"/>
                </w:tcPr>
                <w:p w14:paraId="1FE9D264">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0.2</w:t>
                  </w:r>
                </w:p>
              </w:tc>
              <w:tc>
                <w:tcPr>
                  <w:tcW w:w="333" w:type="pct"/>
                  <w:vAlign w:val="center"/>
                </w:tcPr>
                <w:p w14:paraId="0F01C7B0">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有机废气治理设施</w:t>
                  </w:r>
                </w:p>
              </w:tc>
              <w:tc>
                <w:tcPr>
                  <w:tcW w:w="283" w:type="pct"/>
                  <w:vAlign w:val="center"/>
                </w:tcPr>
                <w:p w14:paraId="712AFB00">
                  <w:pPr>
                    <w:pStyle w:val="119"/>
                    <w:keepNext w:val="0"/>
                    <w:keepLines w:val="0"/>
                    <w:pageBreakBefore w:val="0"/>
                    <w:kinsoku/>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固态</w:t>
                  </w:r>
                </w:p>
              </w:tc>
              <w:tc>
                <w:tcPr>
                  <w:tcW w:w="274" w:type="pct"/>
                  <w:vAlign w:val="center"/>
                </w:tcPr>
                <w:p w14:paraId="351DEF1A">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431" w:type="pct"/>
                  <w:vAlign w:val="center"/>
                </w:tcPr>
                <w:p w14:paraId="0EE10BF2">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半年</w:t>
                  </w:r>
                </w:p>
              </w:tc>
              <w:tc>
                <w:tcPr>
                  <w:tcW w:w="530" w:type="pct"/>
                  <w:vAlign w:val="center"/>
                </w:tcPr>
                <w:p w14:paraId="75B69D9C">
                  <w:pPr>
                    <w:pStyle w:val="119"/>
                    <w:keepNext w:val="0"/>
                    <w:keepLines w:val="0"/>
                    <w:pageBreakBefore w:val="0"/>
                    <w:kinsoku/>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T</w:t>
                  </w:r>
                </w:p>
              </w:tc>
              <w:tc>
                <w:tcPr>
                  <w:tcW w:w="585" w:type="pct"/>
                  <w:vMerge w:val="restart"/>
                  <w:vAlign w:val="center"/>
                </w:tcPr>
                <w:p w14:paraId="623D838C">
                  <w:pPr>
                    <w:keepNext w:val="0"/>
                    <w:keepLines w:val="0"/>
                    <w:pageBreakBefore w:val="0"/>
                    <w:widowControl/>
                    <w:kinsoku/>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分类</w:t>
                  </w:r>
                  <w:r>
                    <w:rPr>
                      <w:rFonts w:hint="default" w:ascii="Times New Roman" w:hAnsi="Times New Roman" w:eastAsia="宋体" w:cs="Times New Roman"/>
                      <w:color w:val="auto"/>
                      <w:sz w:val="21"/>
                      <w:szCs w:val="21"/>
                      <w:u w:val="none" w:color="auto"/>
                    </w:rPr>
                    <w:t>收集于危废暂存间（面积</w:t>
                  </w:r>
                  <w:r>
                    <w:rPr>
                      <w:rFonts w:hint="default" w:ascii="Times New Roman" w:hAnsi="Times New Roman" w:eastAsia="宋体" w:cs="Times New Roman"/>
                      <w:color w:val="auto"/>
                      <w:sz w:val="21"/>
                      <w:szCs w:val="21"/>
                      <w:u w:val="none" w:color="auto"/>
                      <w:lang w:val="en-US" w:eastAsia="zh-CN"/>
                    </w:rPr>
                    <w:t>10</w:t>
                  </w:r>
                  <w:r>
                    <w:rPr>
                      <w:rFonts w:hint="default" w:ascii="Times New Roman" w:hAnsi="Times New Roman" w:eastAsia="宋体" w:cs="Times New Roman"/>
                      <w:color w:val="auto"/>
                      <w:sz w:val="21"/>
                      <w:szCs w:val="21"/>
                      <w:u w:val="none" w:color="auto"/>
                    </w:rPr>
                    <w:t>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rPr>
                    <w:t>，采取“六防”措施），定期交由有危废处理资质单位进行处置</w:t>
                  </w:r>
                </w:p>
              </w:tc>
            </w:tr>
            <w:tr w14:paraId="03A01C4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282" w:type="pct"/>
                  <w:vAlign w:val="center"/>
                </w:tcPr>
                <w:p w14:paraId="3BCA14BD">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w:t>
                  </w:r>
                </w:p>
              </w:tc>
              <w:tc>
                <w:tcPr>
                  <w:tcW w:w="634" w:type="pct"/>
                  <w:vAlign w:val="center"/>
                </w:tcPr>
                <w:p w14:paraId="234539AD">
                  <w:pPr>
                    <w:keepNext w:val="0"/>
                    <w:keepLines w:val="0"/>
                    <w:pageBreakBefore w:val="0"/>
                    <w:kinsoku/>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废</w:t>
                  </w:r>
                  <w:r>
                    <w:rPr>
                      <w:rFonts w:hint="default" w:ascii="Times New Roman" w:hAnsi="Times New Roman" w:eastAsia="宋体" w:cs="Times New Roman"/>
                      <w:color w:val="auto"/>
                      <w:sz w:val="21"/>
                      <w:szCs w:val="21"/>
                      <w:u w:val="none" w:color="auto"/>
                      <w:lang w:val="en-US" w:eastAsia="zh-CN"/>
                    </w:rPr>
                    <w:t>柴油</w:t>
                  </w:r>
                  <w:r>
                    <w:rPr>
                      <w:rFonts w:hint="default" w:ascii="Times New Roman" w:hAnsi="Times New Roman" w:eastAsia="宋体" w:cs="Times New Roman"/>
                      <w:color w:val="auto"/>
                      <w:sz w:val="21"/>
                      <w:szCs w:val="21"/>
                      <w:u w:val="none" w:color="auto"/>
                    </w:rPr>
                    <w:t>桶</w:t>
                  </w:r>
                </w:p>
              </w:tc>
              <w:tc>
                <w:tcPr>
                  <w:tcW w:w="488" w:type="pct"/>
                  <w:vAlign w:val="center"/>
                </w:tcPr>
                <w:p w14:paraId="28564EF2">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HW08</w:t>
                  </w:r>
                </w:p>
              </w:tc>
              <w:tc>
                <w:tcPr>
                  <w:tcW w:w="716" w:type="pct"/>
                  <w:vAlign w:val="center"/>
                </w:tcPr>
                <w:p w14:paraId="321608A1">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900-249-08</w:t>
                  </w:r>
                </w:p>
              </w:tc>
              <w:tc>
                <w:tcPr>
                  <w:tcW w:w="438" w:type="pct"/>
                  <w:vAlign w:val="center"/>
                </w:tcPr>
                <w:p w14:paraId="2622CBF3">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0.02</w:t>
                  </w:r>
                </w:p>
              </w:tc>
              <w:tc>
                <w:tcPr>
                  <w:tcW w:w="333" w:type="pct"/>
                  <w:vAlign w:val="center"/>
                </w:tcPr>
                <w:p w14:paraId="334B73ED">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柴油使用过程</w:t>
                  </w:r>
                </w:p>
              </w:tc>
              <w:tc>
                <w:tcPr>
                  <w:tcW w:w="283" w:type="pct"/>
                  <w:vAlign w:val="center"/>
                </w:tcPr>
                <w:p w14:paraId="2A176B52">
                  <w:pPr>
                    <w:pStyle w:val="119"/>
                    <w:keepNext w:val="0"/>
                    <w:keepLines w:val="0"/>
                    <w:pageBreakBefore w:val="0"/>
                    <w:kinsoku/>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固态</w:t>
                  </w:r>
                </w:p>
              </w:tc>
              <w:tc>
                <w:tcPr>
                  <w:tcW w:w="274" w:type="pct"/>
                  <w:vAlign w:val="center"/>
                </w:tcPr>
                <w:p w14:paraId="5418E336">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431" w:type="pct"/>
                  <w:vAlign w:val="center"/>
                </w:tcPr>
                <w:p w14:paraId="588D62C6">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半年</w:t>
                  </w:r>
                </w:p>
              </w:tc>
              <w:tc>
                <w:tcPr>
                  <w:tcW w:w="530" w:type="pct"/>
                  <w:vAlign w:val="center"/>
                </w:tcPr>
                <w:p w14:paraId="29ABC604">
                  <w:pPr>
                    <w:pStyle w:val="119"/>
                    <w:keepNext w:val="0"/>
                    <w:keepLines w:val="0"/>
                    <w:pageBreakBefore w:val="0"/>
                    <w:kinsoku/>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T/In</w:t>
                  </w:r>
                </w:p>
              </w:tc>
              <w:tc>
                <w:tcPr>
                  <w:tcW w:w="585" w:type="pct"/>
                  <w:vMerge w:val="continue"/>
                  <w:vAlign w:val="center"/>
                </w:tcPr>
                <w:p w14:paraId="3ED02698">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rPr>
                  </w:pPr>
                </w:p>
              </w:tc>
            </w:tr>
            <w:tr w14:paraId="53672AB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282" w:type="pct"/>
                  <w:vAlign w:val="center"/>
                </w:tcPr>
                <w:p w14:paraId="49C0EFD7">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w:t>
                  </w:r>
                </w:p>
              </w:tc>
              <w:tc>
                <w:tcPr>
                  <w:tcW w:w="634" w:type="pct"/>
                  <w:vAlign w:val="center"/>
                </w:tcPr>
                <w:p w14:paraId="5AD9F5BC">
                  <w:pPr>
                    <w:keepNext w:val="0"/>
                    <w:keepLines w:val="0"/>
                    <w:pageBreakBefore w:val="0"/>
                    <w:kinsoku/>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实验室危险废物</w:t>
                  </w:r>
                </w:p>
              </w:tc>
              <w:tc>
                <w:tcPr>
                  <w:tcW w:w="488" w:type="pct"/>
                  <w:vAlign w:val="center"/>
                </w:tcPr>
                <w:p w14:paraId="30822D58">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HW49</w:t>
                  </w:r>
                </w:p>
              </w:tc>
              <w:tc>
                <w:tcPr>
                  <w:tcW w:w="716" w:type="pct"/>
                  <w:vAlign w:val="center"/>
                </w:tcPr>
                <w:p w14:paraId="4A4F63CD">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900-047-49</w:t>
                  </w:r>
                </w:p>
              </w:tc>
              <w:tc>
                <w:tcPr>
                  <w:tcW w:w="438" w:type="pct"/>
                  <w:vAlign w:val="center"/>
                </w:tcPr>
                <w:p w14:paraId="420895E7">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1.46</w:t>
                  </w:r>
                </w:p>
              </w:tc>
              <w:tc>
                <w:tcPr>
                  <w:tcW w:w="333" w:type="pct"/>
                  <w:vAlign w:val="center"/>
                </w:tcPr>
                <w:p w14:paraId="35739059">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实验课使用过程</w:t>
                  </w:r>
                </w:p>
              </w:tc>
              <w:tc>
                <w:tcPr>
                  <w:tcW w:w="283" w:type="pct"/>
                  <w:vAlign w:val="center"/>
                </w:tcPr>
                <w:p w14:paraId="46520A89">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液态</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固态、半固态</w:t>
                  </w:r>
                </w:p>
              </w:tc>
              <w:tc>
                <w:tcPr>
                  <w:tcW w:w="274" w:type="pct"/>
                  <w:vAlign w:val="center"/>
                </w:tcPr>
                <w:p w14:paraId="07E2AA34">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矿物油</w:t>
                  </w:r>
                </w:p>
              </w:tc>
              <w:tc>
                <w:tcPr>
                  <w:tcW w:w="431" w:type="pct"/>
                  <w:vAlign w:val="center"/>
                </w:tcPr>
                <w:p w14:paraId="655AAA69">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半</w:t>
                  </w:r>
                  <w:r>
                    <w:rPr>
                      <w:rFonts w:hint="default" w:ascii="Times New Roman" w:hAnsi="Times New Roman" w:eastAsia="宋体" w:cs="Times New Roman"/>
                      <w:color w:val="auto"/>
                      <w:sz w:val="21"/>
                      <w:szCs w:val="21"/>
                      <w:u w:val="none" w:color="auto"/>
                    </w:rPr>
                    <w:t>年</w:t>
                  </w:r>
                </w:p>
              </w:tc>
              <w:tc>
                <w:tcPr>
                  <w:tcW w:w="530" w:type="pct"/>
                  <w:vAlign w:val="center"/>
                </w:tcPr>
                <w:p w14:paraId="181365F6">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T/C/I/R</w:t>
                  </w:r>
                  <w:r>
                    <w:rPr>
                      <w:rFonts w:hint="default" w:ascii="Times New Roman" w:hAnsi="Times New Roman" w:eastAsia="宋体" w:cs="Times New Roman"/>
                      <w:color w:val="auto"/>
                      <w:sz w:val="21"/>
                      <w:szCs w:val="21"/>
                      <w:u w:val="none" w:color="auto"/>
                    </w:rPr>
                    <w:t xml:space="preserve"> </w:t>
                  </w:r>
                </w:p>
              </w:tc>
              <w:tc>
                <w:tcPr>
                  <w:tcW w:w="585" w:type="pct"/>
                  <w:vMerge w:val="continue"/>
                  <w:vAlign w:val="center"/>
                </w:tcPr>
                <w:p w14:paraId="33DDD9C9">
                  <w:pPr>
                    <w:pStyle w:val="88"/>
                    <w:keepNext w:val="0"/>
                    <w:keepLines w:val="0"/>
                    <w:pageBreakBefore w:val="0"/>
                    <w:kinsoku/>
                    <w:wordWrap/>
                    <w:overflowPunct/>
                    <w:topLinePunct w:val="0"/>
                    <w:bidi w:val="0"/>
                    <w:snapToGrid w:val="0"/>
                    <w:rPr>
                      <w:rFonts w:hint="default" w:ascii="Times New Roman" w:hAnsi="Times New Roman" w:eastAsia="宋体" w:cs="Times New Roman"/>
                      <w:color w:val="auto"/>
                      <w:sz w:val="21"/>
                      <w:szCs w:val="21"/>
                      <w:u w:val="none" w:color="auto"/>
                    </w:rPr>
                  </w:pPr>
                </w:p>
              </w:tc>
            </w:tr>
          </w:tbl>
          <w:p w14:paraId="72C14CD4">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b/>
                <w:color w:val="auto"/>
                <w:kern w:val="0"/>
                <w:sz w:val="24"/>
                <w:u w:val="none" w:color="auto"/>
              </w:rPr>
            </w:pPr>
            <w:r>
              <w:rPr>
                <w:rFonts w:hint="default" w:ascii="Times New Roman" w:hAnsi="Times New Roman" w:eastAsia="宋体" w:cs="Times New Roman"/>
                <w:color w:val="auto"/>
                <w:sz w:val="24"/>
                <w:u w:val="none" w:color="auto"/>
              </w:rPr>
              <w:t>4.2环境管理要求</w:t>
            </w:r>
          </w:p>
          <w:p w14:paraId="53567D3D">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（1）一般工业固废环境管理要求</w:t>
            </w:r>
          </w:p>
          <w:p w14:paraId="125D4853">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生活垃圾：生活垃圾在厂内集中</w:t>
            </w:r>
            <w:r>
              <w:rPr>
                <w:rFonts w:hint="default" w:ascii="Times New Roman" w:hAnsi="Times New Roman" w:eastAsia="宋体" w:cs="Times New Roman"/>
                <w:color w:val="auto"/>
                <w:sz w:val="24"/>
                <w:u w:val="none" w:color="auto"/>
                <w:lang w:val="en-GB"/>
              </w:rPr>
              <w:t>收集</w:t>
            </w:r>
            <w:r>
              <w:rPr>
                <w:rFonts w:hint="default" w:ascii="Times New Roman" w:hAnsi="Times New Roman" w:eastAsia="宋体" w:cs="Times New Roman"/>
                <w:color w:val="auto"/>
                <w:sz w:val="24"/>
                <w:u w:val="none" w:color="auto"/>
              </w:rPr>
              <w:t>，妥善贮存。</w:t>
            </w:r>
          </w:p>
          <w:p w14:paraId="0C7881EF">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bookmarkStart w:id="45" w:name="_Toc12237"/>
            <w:bookmarkStart w:id="46" w:name="_Toc17298"/>
            <w:bookmarkStart w:id="47" w:name="_Toc28998"/>
            <w:bookmarkStart w:id="48" w:name="_Toc20613"/>
            <w:r>
              <w:rPr>
                <w:rFonts w:hint="default" w:ascii="Times New Roman" w:hAnsi="Times New Roman" w:eastAsia="宋体" w:cs="Times New Roman"/>
                <w:color w:val="auto"/>
                <w:sz w:val="24"/>
                <w:u w:val="none" w:color="auto"/>
              </w:rPr>
              <w:t>一般工业固废：①一般工业固废处理应按照《一般工业固体废物贮存和填埋污染控制标准》（GB18599-2020）的要求设置暂存场所。</w:t>
            </w:r>
            <w:bookmarkEnd w:id="45"/>
            <w:bookmarkEnd w:id="46"/>
            <w:bookmarkEnd w:id="47"/>
            <w:bookmarkEnd w:id="48"/>
          </w:p>
          <w:p w14:paraId="230016DD">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bookmarkStart w:id="49" w:name="_Toc15353"/>
            <w:bookmarkStart w:id="50" w:name="_Toc23943"/>
            <w:bookmarkStart w:id="51" w:name="_Toc17784"/>
            <w:bookmarkStart w:id="52" w:name="_Toc32681"/>
            <w:r>
              <w:rPr>
                <w:rFonts w:hint="default" w:ascii="Times New Roman" w:hAnsi="Times New Roman" w:eastAsia="宋体" w:cs="Times New Roman"/>
                <w:color w:val="auto"/>
                <w:sz w:val="24"/>
                <w:u w:val="none" w:color="auto"/>
              </w:rPr>
              <w:t>②不得露天堆放，防止雨水进入产生二次污染。项目配套的一般固废暂存间位于</w:t>
            </w:r>
            <w:r>
              <w:rPr>
                <w:rFonts w:hint="eastAsia" w:ascii="Times New Roman" w:hAnsi="Times New Roman" w:eastAsia="宋体" w:cs="Times New Roman"/>
                <w:color w:val="auto"/>
                <w:sz w:val="24"/>
                <w:u w:val="none" w:color="auto"/>
                <w:lang w:val="en-US" w:eastAsia="zh-CN"/>
              </w:rPr>
              <w:t>综合楼地下一层西南角</w:t>
            </w:r>
            <w:r>
              <w:rPr>
                <w:rFonts w:hint="default" w:ascii="Times New Roman" w:hAnsi="Times New Roman" w:eastAsia="宋体" w:cs="Times New Roman"/>
                <w:color w:val="auto"/>
                <w:sz w:val="24"/>
                <w:u w:val="none" w:color="auto"/>
              </w:rPr>
              <w:t>，面积20m</w:t>
            </w:r>
            <w:r>
              <w:rPr>
                <w:rFonts w:hint="default" w:ascii="Times New Roman" w:hAnsi="Times New Roman" w:eastAsia="宋体" w:cs="Times New Roman"/>
                <w:color w:val="auto"/>
                <w:sz w:val="24"/>
                <w:u w:val="none" w:color="auto"/>
                <w:vertAlign w:val="superscript"/>
              </w:rPr>
              <w:t>2</w:t>
            </w:r>
            <w:r>
              <w:rPr>
                <w:rFonts w:hint="default" w:ascii="Times New Roman" w:hAnsi="Times New Roman" w:eastAsia="宋体" w:cs="Times New Roman"/>
                <w:color w:val="auto"/>
                <w:sz w:val="24"/>
                <w:u w:val="none" w:color="auto"/>
              </w:rPr>
              <w:t>，按照《一般工业固体废物贮存和填埋污染控制标准》（GB18599-2020）中“防渗漏、防雨淋、防扬尘”相关要求建设，地面基础及内墙采取防渗措施，使用防水混凝土。一般固体废物按照不同的类别和性质，分区堆放。通过规范设置固体废物暂存场，同时建立完善院内固体废物防范措施和管理制度，可使固体废物在收集、存放过程中对环境的影响至最低限度。</w:t>
            </w:r>
            <w:bookmarkEnd w:id="49"/>
            <w:bookmarkEnd w:id="50"/>
            <w:bookmarkEnd w:id="51"/>
            <w:bookmarkEnd w:id="52"/>
          </w:p>
          <w:p w14:paraId="50FBB017">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bookmarkStart w:id="53" w:name="_Toc23466"/>
            <w:bookmarkStart w:id="54" w:name="_Toc3637"/>
            <w:bookmarkStart w:id="55" w:name="_Toc30236"/>
            <w:bookmarkStart w:id="56" w:name="_Toc20512"/>
            <w:r>
              <w:rPr>
                <w:rFonts w:hint="default" w:ascii="Times New Roman" w:hAnsi="Times New Roman" w:eastAsia="宋体" w:cs="Times New Roman"/>
                <w:color w:val="auto"/>
                <w:sz w:val="24"/>
                <w:u w:val="none" w:color="auto"/>
              </w:rPr>
              <w:t>危险废物：按照危险废物管理要求，厂内对危险废物进行临时贮存，转移和最终处置严格按照《危险废物收集、贮存、运输技术规范》（HJ2025-2012）中相关规定，危险废物暂存期间应满足《危险废物贮存污染控制标准》（GB18597-2023）对危险废物贮存设施的要求，严禁将危险废物混入非危险废物中。</w:t>
            </w:r>
            <w:bookmarkEnd w:id="53"/>
            <w:bookmarkEnd w:id="54"/>
            <w:bookmarkEnd w:id="55"/>
            <w:bookmarkEnd w:id="56"/>
          </w:p>
          <w:p w14:paraId="0BAC8CEB">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bookmarkStart w:id="57" w:name="_Toc9213"/>
            <w:bookmarkStart w:id="58" w:name="_Toc18484"/>
            <w:bookmarkStart w:id="59" w:name="_Toc15863"/>
            <w:bookmarkStart w:id="60" w:name="_Toc10159"/>
            <w:r>
              <w:rPr>
                <w:rFonts w:hint="default" w:ascii="Times New Roman" w:hAnsi="Times New Roman" w:eastAsia="宋体" w:cs="Times New Roman"/>
                <w:color w:val="auto"/>
                <w:sz w:val="24"/>
                <w:u w:val="none" w:color="auto"/>
              </w:rPr>
              <w:t>①危险废物暂存、处置要求</w:t>
            </w:r>
            <w:bookmarkEnd w:id="57"/>
            <w:bookmarkEnd w:id="58"/>
            <w:bookmarkEnd w:id="59"/>
            <w:bookmarkEnd w:id="60"/>
          </w:p>
          <w:p w14:paraId="68781A0D">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bookmarkStart w:id="61" w:name="_Toc2370"/>
            <w:bookmarkStart w:id="62" w:name="_Toc20523"/>
            <w:bookmarkStart w:id="63" w:name="_Toc775"/>
            <w:bookmarkStart w:id="64" w:name="_Toc20083"/>
            <w:r>
              <w:rPr>
                <w:rFonts w:hint="default" w:ascii="Times New Roman" w:hAnsi="Times New Roman" w:eastAsia="宋体" w:cs="Times New Roman"/>
                <w:color w:val="auto"/>
                <w:sz w:val="24"/>
                <w:u w:val="none" w:color="auto"/>
              </w:rPr>
              <w:t>按照危险固废处置的有关规定，对属于国家规定危险废物之列的固体废物，必须委托有资质单位进行妥善处理。外运时需要严格按照国家环境保护总局令第5号文件《危险废物转移联单管理办法》的相关规定报批危险废物转移计划，应做到不沿途抛洒；因此，必须加强对固体废弃物的管理，确保各类固体废弃物的妥善处置，危险废弃物贮存场所所应有明显的标志，并具有防风、防晒、防雨、防漏、防渗、防腐以及其他环境污染防治措施，不应露天堆放危险废物。</w:t>
            </w:r>
            <w:bookmarkEnd w:id="61"/>
            <w:bookmarkEnd w:id="62"/>
            <w:bookmarkEnd w:id="63"/>
            <w:bookmarkEnd w:id="64"/>
          </w:p>
          <w:p w14:paraId="5FA42BCE">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bookmarkStart w:id="65" w:name="_Toc26603"/>
            <w:bookmarkStart w:id="66" w:name="_Toc13801"/>
            <w:bookmarkStart w:id="67" w:name="_Toc5149"/>
            <w:bookmarkStart w:id="68" w:name="_Toc12474"/>
            <w:r>
              <w:rPr>
                <w:rFonts w:hint="default" w:ascii="Times New Roman" w:hAnsi="Times New Roman" w:eastAsia="宋体" w:cs="Times New Roman"/>
                <w:color w:val="auto"/>
                <w:sz w:val="24"/>
                <w:u w:val="none" w:color="auto"/>
              </w:rPr>
              <w:t>项目危险废物暂存间位于一般固废暂存间</w:t>
            </w:r>
            <w:r>
              <w:rPr>
                <w:rFonts w:hint="eastAsia" w:ascii="Times New Roman" w:hAnsi="Times New Roman" w:eastAsia="宋体" w:cs="Times New Roman"/>
                <w:color w:val="auto"/>
                <w:sz w:val="24"/>
                <w:u w:val="none" w:color="auto"/>
                <w:lang w:val="en-US" w:eastAsia="zh-CN"/>
              </w:rPr>
              <w:t>北</w:t>
            </w:r>
            <w:r>
              <w:rPr>
                <w:rFonts w:hint="default" w:ascii="Times New Roman" w:hAnsi="Times New Roman" w:eastAsia="宋体" w:cs="Times New Roman"/>
                <w:color w:val="auto"/>
                <w:sz w:val="24"/>
                <w:u w:val="none" w:color="auto"/>
              </w:rPr>
              <w:t>侧，面积</w:t>
            </w:r>
            <w:r>
              <w:rPr>
                <w:rFonts w:hint="eastAsia" w:ascii="Times New Roman" w:hAnsi="Times New Roman" w:eastAsia="宋体" w:cs="Times New Roman"/>
                <w:color w:val="auto"/>
                <w:sz w:val="24"/>
                <w:u w:val="none" w:color="auto"/>
                <w:lang w:val="en-US" w:eastAsia="zh-CN"/>
              </w:rPr>
              <w:t>10</w:t>
            </w:r>
            <w:r>
              <w:rPr>
                <w:rFonts w:hint="default" w:ascii="Times New Roman" w:hAnsi="Times New Roman" w:eastAsia="宋体" w:cs="Times New Roman"/>
                <w:color w:val="auto"/>
                <w:sz w:val="24"/>
                <w:u w:val="none" w:color="auto"/>
              </w:rPr>
              <w:t>m</w:t>
            </w:r>
            <w:r>
              <w:rPr>
                <w:rFonts w:hint="default" w:ascii="Times New Roman" w:hAnsi="Times New Roman" w:eastAsia="宋体" w:cs="Times New Roman"/>
                <w:color w:val="auto"/>
                <w:sz w:val="24"/>
                <w:u w:val="none" w:color="auto"/>
                <w:vertAlign w:val="superscript"/>
              </w:rPr>
              <w:t>2</w:t>
            </w:r>
            <w:r>
              <w:rPr>
                <w:rFonts w:hint="default" w:ascii="Times New Roman" w:hAnsi="Times New Roman" w:eastAsia="宋体" w:cs="Times New Roman"/>
                <w:color w:val="auto"/>
                <w:sz w:val="24"/>
                <w:u w:val="none" w:color="auto"/>
              </w:rPr>
              <w:t>，危险废物暂存间应满足《危险废物贮存污染控制标准》（GB18597-2023）对危险废物贮存设施的要求，具体要求如下：</w:t>
            </w:r>
            <w:bookmarkEnd w:id="65"/>
            <w:bookmarkEnd w:id="66"/>
            <w:bookmarkEnd w:id="67"/>
            <w:bookmarkEnd w:id="68"/>
          </w:p>
          <w:p w14:paraId="7BB859E6">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bookmarkStart w:id="69" w:name="_Toc27058"/>
            <w:bookmarkStart w:id="70" w:name="_Toc11934"/>
            <w:bookmarkStart w:id="71" w:name="_Toc28933"/>
            <w:bookmarkStart w:id="72" w:name="_Toc28656"/>
            <w:r>
              <w:rPr>
                <w:rFonts w:hint="default" w:ascii="Times New Roman" w:hAnsi="Times New Roman" w:eastAsia="宋体" w:cs="Times New Roman"/>
                <w:color w:val="auto"/>
                <w:sz w:val="24"/>
                <w:u w:val="none" w:color="auto"/>
              </w:rPr>
              <w:t>A、所有产生的危险废物均应使用符合标准要求的容器盛装，装载危险废物的容器及材质要满足相应的强度要求，且必须完好无损；</w:t>
            </w:r>
            <w:bookmarkEnd w:id="69"/>
            <w:bookmarkEnd w:id="70"/>
            <w:bookmarkEnd w:id="71"/>
            <w:bookmarkEnd w:id="72"/>
          </w:p>
          <w:p w14:paraId="57D0FA89">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bookmarkStart w:id="73" w:name="_Toc6527"/>
            <w:bookmarkStart w:id="74" w:name="_Toc17805"/>
            <w:bookmarkStart w:id="75" w:name="_Toc31497"/>
            <w:bookmarkStart w:id="76" w:name="_Toc3437"/>
            <w:r>
              <w:rPr>
                <w:rFonts w:hint="default" w:ascii="Times New Roman" w:hAnsi="Times New Roman" w:eastAsia="宋体" w:cs="Times New Roman"/>
                <w:color w:val="auto"/>
                <w:sz w:val="24"/>
                <w:u w:val="none" w:color="auto"/>
              </w:rPr>
              <w:t>B、禁止将不相容（相互反应）的危险废物在同一容器内混装，装危险废物的容器上必须粘贴符合标准附录A所示的标签；</w:t>
            </w:r>
            <w:bookmarkEnd w:id="73"/>
            <w:bookmarkEnd w:id="74"/>
            <w:bookmarkEnd w:id="75"/>
            <w:bookmarkEnd w:id="76"/>
          </w:p>
          <w:p w14:paraId="66093F56">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bookmarkStart w:id="77" w:name="_Toc30255"/>
            <w:bookmarkStart w:id="78" w:name="_Toc20214"/>
            <w:bookmarkStart w:id="79" w:name="_Toc7948"/>
            <w:bookmarkStart w:id="80" w:name="_Toc24384"/>
            <w:r>
              <w:rPr>
                <w:rFonts w:hint="default" w:ascii="Times New Roman" w:hAnsi="Times New Roman" w:eastAsia="宋体" w:cs="Times New Roman"/>
                <w:color w:val="auto"/>
                <w:sz w:val="24"/>
                <w:u w:val="none" w:color="auto"/>
              </w:rPr>
              <w:t>C、危险废物贮存间的地面与裙脚要用坚固、防渗的材料建造，建筑材料必须与危险废物相容，应设计堵截泄露的裙脚，地面与裙脚所围建的溶剂不低于堵截最大容器的最大储量或总储量的五分之一，不相容的危险废物必须分开存放，并设有隔离间隔断；</w:t>
            </w:r>
            <w:bookmarkEnd w:id="77"/>
            <w:bookmarkEnd w:id="78"/>
            <w:bookmarkEnd w:id="79"/>
            <w:bookmarkEnd w:id="80"/>
          </w:p>
          <w:p w14:paraId="1342D4A2">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bookmarkStart w:id="81" w:name="_Toc6006"/>
            <w:bookmarkStart w:id="82" w:name="_Toc30705"/>
            <w:bookmarkStart w:id="83" w:name="_Toc4938"/>
            <w:bookmarkStart w:id="84" w:name="_Toc25274"/>
            <w:r>
              <w:rPr>
                <w:rFonts w:hint="default" w:ascii="Times New Roman" w:hAnsi="Times New Roman" w:eastAsia="宋体" w:cs="Times New Roman"/>
                <w:color w:val="auto"/>
                <w:sz w:val="24"/>
                <w:u w:val="none" w:color="auto"/>
              </w:rPr>
              <w:t>D、厂区内建立危险废物台账管理制度，作好危险废物情况的记录，记录上须注明危险废物的名称、来源、数量、特性和包装容器的类别、入库日期、存放库位、废物出库日期及接受单位名称，危险废物的记录和货单在危险废物回取后应继续保留三年；</w:t>
            </w:r>
            <w:bookmarkEnd w:id="81"/>
            <w:bookmarkEnd w:id="82"/>
            <w:bookmarkEnd w:id="83"/>
            <w:bookmarkEnd w:id="84"/>
          </w:p>
          <w:p w14:paraId="58BEC703">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bookmarkStart w:id="85" w:name="_Toc14476"/>
            <w:bookmarkStart w:id="86" w:name="_Toc17743"/>
            <w:bookmarkStart w:id="87" w:name="_Toc18042"/>
            <w:bookmarkStart w:id="88" w:name="_Toc7308"/>
            <w:r>
              <w:rPr>
                <w:rFonts w:hint="default" w:ascii="Times New Roman" w:hAnsi="Times New Roman" w:eastAsia="宋体" w:cs="Times New Roman"/>
                <w:color w:val="auto"/>
                <w:sz w:val="24"/>
                <w:u w:val="none" w:color="auto"/>
              </w:rPr>
              <w:t>E、必须定期对贮存的危险废物包装容器及贮存设施进行检查，发现破损，应及时采取措施清理更换；</w:t>
            </w:r>
            <w:bookmarkEnd w:id="85"/>
            <w:bookmarkEnd w:id="86"/>
            <w:bookmarkEnd w:id="87"/>
            <w:bookmarkEnd w:id="88"/>
          </w:p>
          <w:p w14:paraId="697167CB">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bookmarkStart w:id="89" w:name="_Toc19336"/>
            <w:bookmarkStart w:id="90" w:name="_Toc22085"/>
            <w:bookmarkStart w:id="91" w:name="_Toc30499"/>
            <w:bookmarkStart w:id="92" w:name="_Toc26918"/>
            <w:r>
              <w:rPr>
                <w:rFonts w:hint="default" w:ascii="Times New Roman" w:hAnsi="Times New Roman" w:eastAsia="宋体" w:cs="Times New Roman"/>
                <w:color w:val="auto"/>
                <w:sz w:val="24"/>
                <w:u w:val="none" w:color="auto"/>
              </w:rPr>
              <w:t>F、危险废物贮存设施必须按照《环境保护图形标志 固体废物贮存（处置）场》（GB15562.2-1995）及2023年修改单、《危险废物识别标志设置技术规范》（HJ1276-2022）的规定设置警示标志。</w:t>
            </w:r>
            <w:bookmarkEnd w:id="89"/>
            <w:bookmarkEnd w:id="90"/>
            <w:bookmarkEnd w:id="91"/>
            <w:bookmarkEnd w:id="92"/>
          </w:p>
          <w:p w14:paraId="0230EB96">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bookmarkStart w:id="93" w:name="_Toc21071"/>
            <w:bookmarkStart w:id="94" w:name="_Toc27435"/>
            <w:bookmarkStart w:id="95" w:name="_Toc26143"/>
            <w:bookmarkStart w:id="96" w:name="_Toc6360"/>
            <w:r>
              <w:rPr>
                <w:rFonts w:hint="default" w:ascii="Times New Roman" w:hAnsi="Times New Roman" w:eastAsia="宋体" w:cs="Times New Roman"/>
                <w:color w:val="auto"/>
                <w:sz w:val="24"/>
                <w:u w:val="none" w:color="auto"/>
              </w:rPr>
              <w:t>②危险废物包装、运输要求</w:t>
            </w:r>
            <w:bookmarkEnd w:id="93"/>
            <w:bookmarkEnd w:id="94"/>
            <w:bookmarkEnd w:id="95"/>
            <w:bookmarkEnd w:id="96"/>
          </w:p>
          <w:p w14:paraId="016C4109">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bookmarkStart w:id="97" w:name="_Toc10497"/>
            <w:bookmarkStart w:id="98" w:name="_Toc31597"/>
            <w:bookmarkStart w:id="99" w:name="_Toc9603"/>
            <w:bookmarkStart w:id="100" w:name="_Toc16190"/>
            <w:r>
              <w:rPr>
                <w:rFonts w:hint="default" w:ascii="Times New Roman" w:hAnsi="Times New Roman" w:eastAsia="宋体" w:cs="Times New Roman"/>
                <w:color w:val="auto"/>
                <w:sz w:val="24"/>
                <w:u w:val="none" w:color="auto"/>
              </w:rPr>
              <w:t>项目各危废均按照相应的包装要求进行包装，包装后的危废委托有资质单位进行处置。企业危废外运应委托有资质的单位运输，严格执行《危险废物收集贮存运输技术规范》（HJ2025-2012）和《危险废物转移联单管理办法》，并制定好危险废物转移运输途中的污染防范及事故应急措施，严格按照要求办理有关手续。</w:t>
            </w:r>
            <w:bookmarkEnd w:id="97"/>
            <w:bookmarkEnd w:id="98"/>
            <w:bookmarkEnd w:id="99"/>
            <w:bookmarkEnd w:id="100"/>
          </w:p>
          <w:p w14:paraId="459B759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综上所述，项目产生的固体废物经过以上措施处理后，均得到妥善处置，预计对周围的环境不会产生明显的影响。</w:t>
            </w:r>
          </w:p>
          <w:p w14:paraId="46B078CD">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2" w:firstLineChars="200"/>
              <w:jc w:val="both"/>
              <w:textAlignment w:val="baseline"/>
              <w:rPr>
                <w:rFonts w:hint="default" w:ascii="Times New Roman" w:hAnsi="Times New Roman" w:eastAsia="宋体" w:cs="Times New Roman"/>
                <w:b/>
                <w:bCs/>
                <w:color w:val="auto"/>
                <w:sz w:val="24"/>
                <w:u w:val="none" w:color="auto"/>
              </w:rPr>
            </w:pPr>
            <w:r>
              <w:rPr>
                <w:rFonts w:hint="default" w:ascii="Times New Roman" w:hAnsi="Times New Roman" w:eastAsia="宋体" w:cs="Times New Roman"/>
                <w:b/>
                <w:bCs/>
                <w:color w:val="auto"/>
                <w:kern w:val="0"/>
                <w:sz w:val="24"/>
                <w:u w:val="none" w:color="auto"/>
              </w:rPr>
              <w:t>5、地下水影响分析</w:t>
            </w:r>
          </w:p>
          <w:p w14:paraId="27EF1B8F">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通过工程分析可知，项目可能污染地下水的环节包括管道等污水输送设施</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一般固废暂存间、危废暂存间</w:t>
            </w:r>
            <w:r>
              <w:rPr>
                <w:rFonts w:hint="default" w:ascii="Times New Roman" w:hAnsi="Times New Roman" w:eastAsia="宋体" w:cs="Times New Roman"/>
                <w:color w:val="auto"/>
                <w:sz w:val="24"/>
                <w:u w:val="none" w:color="auto"/>
              </w:rPr>
              <w:t>，若不采取防渗等相应措施，将对区域地下水环境造成污染。</w:t>
            </w:r>
          </w:p>
          <w:p w14:paraId="51239190">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结合项目实际情况，根据建设方提供资料，评价建议项目区域防渗措施如下：将全厂按物料或者污染物泄漏的途径和生产功能单元所处的位置划分为三类地下水污染防治区域：非污染防治区（</w:t>
            </w:r>
            <w:r>
              <w:rPr>
                <w:rFonts w:hint="default" w:ascii="Times New Roman" w:hAnsi="Times New Roman" w:eastAsia="宋体" w:cs="Times New Roman"/>
                <w:color w:val="auto"/>
                <w:sz w:val="24"/>
                <w:u w:val="none" w:color="auto"/>
                <w:lang w:val="en-US" w:eastAsia="zh-CN"/>
              </w:rPr>
              <w:t>综合楼、实验楼</w:t>
            </w:r>
            <w:r>
              <w:rPr>
                <w:rFonts w:hint="default" w:ascii="Times New Roman" w:hAnsi="Times New Roman" w:eastAsia="宋体" w:cs="Times New Roman"/>
                <w:color w:val="auto"/>
                <w:sz w:val="24"/>
                <w:u w:val="none" w:color="auto"/>
              </w:rPr>
              <w:t>）、一般污染防治区（管道等污水输送设施</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一般固废暂存间</w:t>
            </w:r>
            <w:r>
              <w:rPr>
                <w:rFonts w:hint="default" w:ascii="Times New Roman" w:hAnsi="Times New Roman" w:eastAsia="宋体" w:cs="Times New Roman"/>
                <w:color w:val="auto"/>
                <w:sz w:val="24"/>
                <w:u w:val="none" w:color="auto"/>
              </w:rPr>
              <w:t>）和重点污染防治区（危废暂存间）。</w:t>
            </w:r>
          </w:p>
          <w:p w14:paraId="52008877">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按照分区防渗的原则一般区域采用水泥硬化地面，重点污染防治区采取重点防腐防渗，重点防渗区严格按照《危险废物贮存污染控制标准》(GB18597-2023) 要求：防渗层为至少1m厚的粘土层</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rPr>
              <w:t>渗透系数≤10</w:t>
            </w:r>
            <w:r>
              <w:rPr>
                <w:rFonts w:hint="default" w:ascii="Times New Roman" w:hAnsi="Times New Roman" w:eastAsia="宋体" w:cs="Times New Roman"/>
                <w:color w:val="auto"/>
                <w:sz w:val="24"/>
                <w:u w:val="none" w:color="auto"/>
                <w:vertAlign w:val="superscript"/>
              </w:rPr>
              <w:t>-7</w:t>
            </w:r>
            <w:r>
              <w:rPr>
                <w:rFonts w:hint="default" w:ascii="Times New Roman" w:hAnsi="Times New Roman" w:eastAsia="宋体" w:cs="Times New Roman"/>
                <w:color w:val="auto"/>
                <w:sz w:val="24"/>
                <w:u w:val="none" w:color="auto"/>
              </w:rPr>
              <w:t>cm/s</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rPr>
              <w:t>，或2mm厚高度密度聚乙烯，或至少2mm厚的其他人工材料，渗透系数≤10</w:t>
            </w:r>
            <w:r>
              <w:rPr>
                <w:rFonts w:hint="default" w:ascii="Times New Roman" w:hAnsi="Times New Roman" w:eastAsia="宋体" w:cs="Times New Roman"/>
                <w:color w:val="auto"/>
                <w:sz w:val="24"/>
                <w:u w:val="none" w:color="auto"/>
                <w:vertAlign w:val="superscript"/>
              </w:rPr>
              <w:t>-10</w:t>
            </w:r>
            <w:r>
              <w:rPr>
                <w:rFonts w:hint="default" w:ascii="Times New Roman" w:hAnsi="Times New Roman" w:eastAsia="宋体" w:cs="Times New Roman"/>
                <w:color w:val="auto"/>
                <w:sz w:val="24"/>
                <w:u w:val="none" w:color="auto"/>
              </w:rPr>
              <w:t>cm/s，并控制生产过程中粪水的“跑、冒、滴、漏”。</w:t>
            </w:r>
          </w:p>
          <w:p w14:paraId="2CCAB07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经实施上述措施后，预计项目对地下水环境的影响是可以接受的。</w:t>
            </w:r>
          </w:p>
          <w:p w14:paraId="09D149CB">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2" w:firstLineChars="200"/>
              <w:jc w:val="both"/>
              <w:textAlignment w:val="baseline"/>
              <w:rPr>
                <w:rFonts w:hint="default" w:ascii="Times New Roman" w:hAnsi="Times New Roman" w:eastAsia="宋体" w:cs="Times New Roman"/>
                <w:b/>
                <w:bCs/>
                <w:color w:val="auto"/>
                <w:sz w:val="24"/>
                <w:u w:val="none" w:color="auto"/>
              </w:rPr>
            </w:pPr>
            <w:r>
              <w:rPr>
                <w:rFonts w:hint="default" w:ascii="Times New Roman" w:hAnsi="Times New Roman" w:eastAsia="宋体" w:cs="Times New Roman"/>
                <w:b/>
                <w:bCs/>
                <w:color w:val="auto"/>
                <w:sz w:val="24"/>
                <w:u w:val="none" w:color="auto"/>
              </w:rPr>
              <w:t>6、土壤环境影响分析</w:t>
            </w:r>
          </w:p>
          <w:p w14:paraId="529AE08A">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根据《环境影响评价技术导则 土壤环境（试行）》（HJ964-2018），根据本项目污染物排放</w:t>
            </w:r>
            <w:r>
              <w:rPr>
                <w:rFonts w:hint="default" w:ascii="Times New Roman" w:hAnsi="Times New Roman" w:eastAsia="宋体" w:cs="Times New Roman"/>
                <w:color w:val="auto"/>
                <w:sz w:val="24"/>
                <w:u w:val="none" w:color="auto"/>
                <w:lang w:val="en-GB"/>
              </w:rPr>
              <w:t>特征</w:t>
            </w:r>
            <w:r>
              <w:rPr>
                <w:rFonts w:hint="default" w:ascii="Times New Roman" w:hAnsi="Times New Roman" w:eastAsia="宋体" w:cs="Times New Roman"/>
                <w:color w:val="auto"/>
                <w:sz w:val="24"/>
                <w:u w:val="none" w:color="auto"/>
              </w:rPr>
              <w:t>及污染途径，仅定性说明项目对土壤环境产生的影响。</w:t>
            </w:r>
          </w:p>
          <w:p w14:paraId="084234F3">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lang w:val="en-US" w:eastAsia="zh-CN"/>
              </w:rPr>
              <w:t>①</w:t>
            </w:r>
            <w:r>
              <w:rPr>
                <w:rFonts w:hint="default" w:ascii="Times New Roman" w:hAnsi="Times New Roman" w:eastAsia="宋体" w:cs="Times New Roman"/>
                <w:color w:val="auto"/>
                <w:sz w:val="24"/>
                <w:u w:val="none" w:color="auto"/>
              </w:rPr>
              <w:t>项目在正常工况下，各生产环节按照设计参数运行，基本无污染物泄露；本项目应根据相关防渗设计规范对生产车间设置分区防渗，重点防渗区为：危废暂存间。一般防渗区为：管道等污水输送设施</w:t>
            </w:r>
            <w:r>
              <w:rPr>
                <w:rFonts w:hint="default"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val="en-US" w:eastAsia="zh-CN"/>
              </w:rPr>
              <w:t>一般固废暂存间</w:t>
            </w:r>
            <w:r>
              <w:rPr>
                <w:rFonts w:hint="default" w:ascii="Times New Roman" w:hAnsi="Times New Roman" w:eastAsia="宋体" w:cs="Times New Roman"/>
                <w:color w:val="auto"/>
                <w:sz w:val="24"/>
                <w:u w:val="none" w:color="auto"/>
              </w:rPr>
              <w:t>等地。简单防渗区为：</w:t>
            </w:r>
            <w:r>
              <w:rPr>
                <w:rFonts w:hint="default" w:ascii="Times New Roman" w:hAnsi="Times New Roman" w:eastAsia="宋体" w:cs="Times New Roman"/>
                <w:color w:val="auto"/>
                <w:sz w:val="24"/>
                <w:u w:val="none" w:color="auto"/>
                <w:lang w:val="en-US" w:eastAsia="zh-CN"/>
              </w:rPr>
              <w:t>综合楼、实验楼</w:t>
            </w:r>
            <w:r>
              <w:rPr>
                <w:rFonts w:hint="default" w:ascii="Times New Roman" w:hAnsi="Times New Roman" w:eastAsia="宋体" w:cs="Times New Roman"/>
                <w:color w:val="auto"/>
                <w:sz w:val="24"/>
                <w:u w:val="none" w:color="auto"/>
              </w:rPr>
              <w:t>，一般情况下物料及废水不会渗漏和进入地下，对周围土壤环境不会造成污染；</w:t>
            </w:r>
          </w:p>
          <w:p w14:paraId="59BC7FB5">
            <w:pPr>
              <w:keepNext w:val="0"/>
              <w:keepLines w:val="0"/>
              <w:pageBreakBefore w:val="0"/>
              <w:widowControl/>
              <w:tabs>
                <w:tab w:val="left" w:pos="1081"/>
              </w:tabs>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②本项目大气沉降主要来自废气中污染物颗粒物、VOCs，废气产生量较少，因此项目废气经大气沉降后对土壤的影响较小。</w:t>
            </w:r>
          </w:p>
          <w:p w14:paraId="03EE7B5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u w:val="none" w:color="auto"/>
              </w:rPr>
            </w:pPr>
            <w:r>
              <w:rPr>
                <w:rFonts w:hint="default" w:ascii="Times New Roman" w:hAnsi="Times New Roman" w:eastAsia="宋体" w:cs="Times New Roman"/>
                <w:color w:val="auto"/>
                <w:sz w:val="24"/>
                <w:u w:val="none" w:color="auto"/>
              </w:rPr>
              <w:t>因此经采取严格的措施后，评价认为正常状态项目的建设对土壤环境影响较小。</w:t>
            </w:r>
          </w:p>
          <w:p w14:paraId="7B91715A">
            <w:pPr>
              <w:keepNext w:val="0"/>
              <w:keepLines w:val="0"/>
              <w:pageBreakBefore w:val="0"/>
              <w:wordWrap/>
              <w:overflowPunct/>
              <w:topLinePunct w:val="0"/>
              <w:bidi w:val="0"/>
              <w:adjustRightInd w:val="0"/>
              <w:snapToGrid w:val="0"/>
              <w:spacing w:line="360" w:lineRule="auto"/>
              <w:ind w:firstLine="482" w:firstLineChars="200"/>
              <w:rPr>
                <w:b/>
                <w:bCs/>
                <w:color w:val="auto"/>
                <w:sz w:val="24"/>
                <w:u w:val="none" w:color="auto"/>
              </w:rPr>
            </w:pPr>
            <w:r>
              <w:rPr>
                <w:b/>
                <w:bCs/>
                <w:color w:val="auto"/>
                <w:sz w:val="24"/>
                <w:u w:val="none" w:color="auto"/>
              </w:rPr>
              <w:t>7、环境风险分析</w:t>
            </w:r>
          </w:p>
          <w:p w14:paraId="4F3E662F">
            <w:pPr>
              <w:keepNext w:val="0"/>
              <w:keepLines w:val="0"/>
              <w:pageBreakBefore w:val="0"/>
              <w:wordWrap/>
              <w:overflowPunct/>
              <w:topLinePunct w:val="0"/>
              <w:bidi w:val="0"/>
              <w:adjustRightInd w:val="0"/>
              <w:snapToGrid w:val="0"/>
              <w:spacing w:line="360" w:lineRule="auto"/>
              <w:ind w:firstLine="480" w:firstLineChars="200"/>
              <w:rPr>
                <w:color w:val="auto"/>
                <w:sz w:val="24"/>
                <w:u w:val="none" w:color="auto"/>
              </w:rPr>
            </w:pPr>
            <w:r>
              <w:rPr>
                <w:color w:val="auto"/>
                <w:sz w:val="24"/>
                <w:u w:val="none" w:color="auto"/>
              </w:rPr>
              <w:t>7.1评价依据</w:t>
            </w:r>
          </w:p>
          <w:p w14:paraId="72CDC65D">
            <w:pPr>
              <w:keepNext w:val="0"/>
              <w:keepLines w:val="0"/>
              <w:pageBreakBefore w:val="0"/>
              <w:wordWrap/>
              <w:overflowPunct/>
              <w:topLinePunct w:val="0"/>
              <w:bidi w:val="0"/>
              <w:adjustRightInd w:val="0"/>
              <w:snapToGrid w:val="0"/>
              <w:spacing w:line="360" w:lineRule="auto"/>
              <w:ind w:firstLine="480" w:firstLineChars="200"/>
              <w:rPr>
                <w:color w:val="auto"/>
                <w:sz w:val="24"/>
                <w:u w:val="none" w:color="auto"/>
              </w:rPr>
            </w:pPr>
            <w:r>
              <w:rPr>
                <w:color w:val="auto"/>
                <w:sz w:val="24"/>
                <w:u w:val="none" w:color="auto"/>
              </w:rPr>
              <w:t>（1）风险调查</w:t>
            </w:r>
          </w:p>
          <w:p w14:paraId="56F4DF77">
            <w:pPr>
              <w:keepNext w:val="0"/>
              <w:keepLines w:val="0"/>
              <w:pageBreakBefore w:val="0"/>
              <w:wordWrap/>
              <w:overflowPunct/>
              <w:topLinePunct w:val="0"/>
              <w:bidi w:val="0"/>
              <w:adjustRightInd w:val="0"/>
              <w:snapToGrid w:val="0"/>
              <w:spacing w:line="360" w:lineRule="auto"/>
              <w:ind w:firstLine="480" w:firstLineChars="200"/>
              <w:rPr>
                <w:color w:val="auto"/>
                <w:sz w:val="24"/>
                <w:u w:val="none" w:color="auto"/>
              </w:rPr>
            </w:pPr>
            <w:r>
              <w:rPr>
                <w:color w:val="auto"/>
                <w:sz w:val="24"/>
                <w:u w:val="none" w:color="auto"/>
              </w:rPr>
              <w:t>根据《建设项目环境风险评价技术导则》（HJ169-2018）附录B中表B.1中突然环境事件风险物质名录表和《危险化学品名录》（2015版），对项目营运过程中使用的原料进行调查，确定本项目生产过程中所涉及的风险物质为</w:t>
            </w:r>
            <w:r>
              <w:rPr>
                <w:rFonts w:hint="eastAsia"/>
                <w:color w:val="auto"/>
                <w:sz w:val="24"/>
                <w:u w:val="none" w:color="auto"/>
                <w:lang w:val="en-US" w:eastAsia="zh-CN"/>
              </w:rPr>
              <w:t>硝酸</w:t>
            </w:r>
            <w:r>
              <w:rPr>
                <w:rFonts w:hint="eastAsia"/>
                <w:color w:val="auto"/>
                <w:sz w:val="24"/>
                <w:u w:val="none" w:color="auto"/>
                <w:lang w:eastAsia="zh-CN"/>
              </w:rPr>
              <w:t>、</w:t>
            </w:r>
            <w:r>
              <w:rPr>
                <w:rFonts w:hint="eastAsia"/>
                <w:color w:val="auto"/>
                <w:sz w:val="24"/>
                <w:u w:val="none" w:color="auto"/>
              </w:rPr>
              <w:t>硫酸</w:t>
            </w:r>
            <w:r>
              <w:rPr>
                <w:rFonts w:hint="eastAsia"/>
                <w:color w:val="auto"/>
                <w:sz w:val="24"/>
                <w:u w:val="none" w:color="auto"/>
                <w:lang w:eastAsia="zh-CN"/>
              </w:rPr>
              <w:t>、</w:t>
            </w:r>
            <w:r>
              <w:rPr>
                <w:rFonts w:hint="eastAsia"/>
                <w:color w:val="auto"/>
                <w:sz w:val="24"/>
                <w:u w:val="none" w:color="auto"/>
                <w:lang w:val="en-US" w:eastAsia="zh-CN"/>
              </w:rPr>
              <w:t>盐酸</w:t>
            </w:r>
            <w:r>
              <w:rPr>
                <w:rFonts w:hint="eastAsia"/>
                <w:color w:val="auto"/>
                <w:sz w:val="24"/>
                <w:u w:val="none" w:color="auto"/>
                <w:lang w:eastAsia="zh-CN"/>
              </w:rPr>
              <w:t>、</w:t>
            </w:r>
            <w:r>
              <w:rPr>
                <w:rFonts w:hint="default"/>
                <w:color w:val="auto"/>
                <w:sz w:val="24"/>
                <w:u w:val="none" w:color="auto"/>
              </w:rPr>
              <w:t>氯水</w:t>
            </w:r>
            <w:r>
              <w:rPr>
                <w:rFonts w:hint="eastAsia"/>
                <w:color w:val="auto"/>
                <w:sz w:val="24"/>
                <w:u w:val="none" w:color="auto"/>
                <w:lang w:eastAsia="zh-CN"/>
              </w:rPr>
              <w:t>、</w:t>
            </w:r>
            <w:r>
              <w:rPr>
                <w:rFonts w:hint="default"/>
                <w:color w:val="auto"/>
                <w:sz w:val="24"/>
                <w:u w:val="none" w:color="auto"/>
              </w:rPr>
              <w:t>溴水</w:t>
            </w:r>
            <w:r>
              <w:rPr>
                <w:rFonts w:hint="eastAsia"/>
                <w:color w:val="auto"/>
                <w:sz w:val="24"/>
                <w:u w:val="none" w:color="auto"/>
                <w:lang w:eastAsia="zh-CN"/>
              </w:rPr>
              <w:t>、</w:t>
            </w:r>
            <w:r>
              <w:rPr>
                <w:rFonts w:hint="eastAsia"/>
                <w:color w:val="auto"/>
                <w:sz w:val="24"/>
                <w:u w:val="none" w:color="auto"/>
                <w:lang w:val="en-US" w:eastAsia="zh-CN"/>
              </w:rPr>
              <w:t>柴油</w:t>
            </w:r>
            <w:r>
              <w:rPr>
                <w:rFonts w:hint="eastAsia"/>
                <w:color w:val="auto"/>
                <w:sz w:val="24"/>
                <w:u w:val="none" w:color="auto"/>
              </w:rPr>
              <w:t>以及危险废物</w:t>
            </w:r>
            <w:r>
              <w:rPr>
                <w:color w:val="auto"/>
                <w:sz w:val="24"/>
                <w:u w:val="none" w:color="auto"/>
              </w:rPr>
              <w:t>。</w:t>
            </w:r>
          </w:p>
          <w:p w14:paraId="736F9D34">
            <w:pPr>
              <w:keepNext w:val="0"/>
              <w:keepLines w:val="0"/>
              <w:pageBreakBefore w:val="0"/>
              <w:tabs>
                <w:tab w:val="left" w:pos="1081"/>
              </w:tabs>
              <w:wordWrap/>
              <w:overflowPunct/>
              <w:topLinePunct w:val="0"/>
              <w:bidi w:val="0"/>
              <w:adjustRightInd w:val="0"/>
              <w:spacing w:line="360" w:lineRule="auto"/>
              <w:ind w:firstLine="480" w:firstLineChars="200"/>
              <w:rPr>
                <w:color w:val="auto"/>
                <w:sz w:val="24"/>
                <w:u w:val="none" w:color="auto"/>
              </w:rPr>
            </w:pPr>
            <w:r>
              <w:rPr>
                <w:color w:val="auto"/>
                <w:sz w:val="24"/>
                <w:u w:val="none" w:color="auto"/>
              </w:rPr>
              <w:t>（2）风险潜势初判</w:t>
            </w:r>
          </w:p>
          <w:p w14:paraId="70F4751C">
            <w:pPr>
              <w:keepNext w:val="0"/>
              <w:keepLines w:val="0"/>
              <w:pageBreakBefore w:val="0"/>
              <w:tabs>
                <w:tab w:val="left" w:pos="1081"/>
              </w:tabs>
              <w:wordWrap/>
              <w:overflowPunct/>
              <w:topLinePunct w:val="0"/>
              <w:bidi w:val="0"/>
              <w:adjustRightInd w:val="0"/>
              <w:spacing w:line="360" w:lineRule="auto"/>
              <w:ind w:firstLine="480" w:firstLineChars="200"/>
              <w:rPr>
                <w:color w:val="auto"/>
                <w:sz w:val="24"/>
                <w:u w:val="none" w:color="auto"/>
              </w:rPr>
            </w:pPr>
            <w:r>
              <w:rPr>
                <w:color w:val="auto"/>
                <w:sz w:val="24"/>
                <w:u w:val="none" w:color="auto"/>
              </w:rPr>
              <w:t>根据</w:t>
            </w:r>
            <w:r>
              <w:rPr>
                <w:color w:val="auto"/>
                <w:sz w:val="24"/>
                <w:u w:val="none" w:color="auto"/>
                <w:lang w:val="en-GB"/>
              </w:rPr>
              <w:t>《建设项目环境风险评价技术导则》</w:t>
            </w:r>
            <w:r>
              <w:rPr>
                <w:color w:val="auto"/>
                <w:sz w:val="24"/>
                <w:u w:val="none" w:color="auto"/>
              </w:rPr>
              <w:t>（HJ169-2018）附录C中规定，危险物质数量与临界量比值Q即</w:t>
            </w:r>
            <w:r>
              <w:rPr>
                <w:rFonts w:hint="eastAsia"/>
                <w:color w:val="auto"/>
                <w:sz w:val="24"/>
                <w:u w:val="none" w:color="auto"/>
                <w:lang w:eastAsia="zh-CN"/>
              </w:rPr>
              <w:t>校界</w:t>
            </w:r>
            <w:r>
              <w:rPr>
                <w:color w:val="auto"/>
                <w:sz w:val="24"/>
                <w:u w:val="none" w:color="auto"/>
              </w:rPr>
              <w:t>内物质的最大存在总量与其在附录B中对应的临界量的比值。</w:t>
            </w:r>
          </w:p>
          <w:p w14:paraId="097BA51E">
            <w:pPr>
              <w:keepNext w:val="0"/>
              <w:keepLines w:val="0"/>
              <w:pageBreakBefore w:val="0"/>
              <w:tabs>
                <w:tab w:val="left" w:pos="1081"/>
              </w:tabs>
              <w:wordWrap/>
              <w:overflowPunct/>
              <w:topLinePunct w:val="0"/>
              <w:bidi w:val="0"/>
              <w:adjustRightInd w:val="0"/>
              <w:spacing w:line="360" w:lineRule="auto"/>
              <w:ind w:firstLine="480" w:firstLineChars="200"/>
              <w:rPr>
                <w:color w:val="auto"/>
                <w:sz w:val="24"/>
                <w:u w:val="none" w:color="auto"/>
              </w:rPr>
            </w:pPr>
            <w:r>
              <w:rPr>
                <w:color w:val="auto"/>
                <w:sz w:val="24"/>
                <w:u w:val="none" w:color="auto"/>
              </w:rPr>
              <w:t>当只涉及一种</w:t>
            </w:r>
            <w:r>
              <w:rPr>
                <w:color w:val="auto"/>
                <w:sz w:val="24"/>
                <w:u w:val="none" w:color="auto"/>
                <w:lang w:val="en-GB"/>
              </w:rPr>
              <w:t>危险</w:t>
            </w:r>
            <w:r>
              <w:rPr>
                <w:color w:val="auto"/>
                <w:sz w:val="24"/>
                <w:u w:val="none" w:color="auto"/>
              </w:rPr>
              <w:t>物质时，计算该物质的总量预期临界量比值，即为Q；</w:t>
            </w:r>
          </w:p>
          <w:p w14:paraId="171D4B41">
            <w:pPr>
              <w:keepNext w:val="0"/>
              <w:keepLines w:val="0"/>
              <w:pageBreakBefore w:val="0"/>
              <w:tabs>
                <w:tab w:val="left" w:pos="1081"/>
              </w:tabs>
              <w:wordWrap/>
              <w:overflowPunct/>
              <w:topLinePunct w:val="0"/>
              <w:bidi w:val="0"/>
              <w:adjustRightInd w:val="0"/>
              <w:spacing w:line="360" w:lineRule="auto"/>
              <w:ind w:firstLine="480" w:firstLineChars="200"/>
              <w:rPr>
                <w:color w:val="auto"/>
                <w:sz w:val="24"/>
                <w:u w:val="none" w:color="auto"/>
              </w:rPr>
            </w:pPr>
            <w:r>
              <w:rPr>
                <w:color w:val="auto"/>
                <w:sz w:val="24"/>
                <w:u w:val="none" w:color="auto"/>
              </w:rPr>
              <w:t>当存在多种危险物质时，则按下式计算物质总量与其临界量比值（Q）：</w:t>
            </w:r>
          </w:p>
          <w:p w14:paraId="7E32BA9E">
            <w:pPr>
              <w:keepNext w:val="0"/>
              <w:keepLines w:val="0"/>
              <w:pageBreakBefore w:val="0"/>
              <w:wordWrap/>
              <w:overflowPunct/>
              <w:topLinePunct w:val="0"/>
              <w:bidi w:val="0"/>
              <w:spacing w:line="360" w:lineRule="auto"/>
              <w:ind w:firstLine="480" w:firstLineChars="200"/>
              <w:rPr>
                <w:color w:val="auto"/>
                <w:sz w:val="24"/>
                <w:u w:val="none" w:color="auto"/>
              </w:rPr>
            </w:pPr>
            <w:r>
              <w:rPr>
                <w:color w:val="auto"/>
                <w:sz w:val="24"/>
                <w:u w:val="none" w:color="auto"/>
              </w:rPr>
              <w:drawing>
                <wp:inline distT="0" distB="0" distL="114300" distR="114300">
                  <wp:extent cx="1939925" cy="437515"/>
                  <wp:effectExtent l="0" t="0" r="3175" b="635"/>
                  <wp:docPr id="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2"/>
                          <pic:cNvPicPr>
                            <a:picLocks noChangeAspect="1"/>
                          </pic:cNvPicPr>
                        </pic:nvPicPr>
                        <pic:blipFill>
                          <a:blip r:embed="rId17"/>
                          <a:stretch>
                            <a:fillRect/>
                          </a:stretch>
                        </pic:blipFill>
                        <pic:spPr>
                          <a:xfrm>
                            <a:off x="0" y="0"/>
                            <a:ext cx="1939925" cy="437515"/>
                          </a:xfrm>
                          <a:prstGeom prst="rect">
                            <a:avLst/>
                          </a:prstGeom>
                          <a:noFill/>
                          <a:ln>
                            <a:noFill/>
                          </a:ln>
                        </pic:spPr>
                      </pic:pic>
                    </a:graphicData>
                  </a:graphic>
                </wp:inline>
              </w:drawing>
            </w:r>
          </w:p>
          <w:p w14:paraId="5776E1E3">
            <w:pPr>
              <w:keepNext w:val="0"/>
              <w:keepLines w:val="0"/>
              <w:pageBreakBefore w:val="0"/>
              <w:tabs>
                <w:tab w:val="left" w:pos="1081"/>
              </w:tabs>
              <w:wordWrap/>
              <w:overflowPunct/>
              <w:topLinePunct w:val="0"/>
              <w:bidi w:val="0"/>
              <w:adjustRightInd w:val="0"/>
              <w:spacing w:line="360" w:lineRule="auto"/>
              <w:ind w:firstLine="480" w:firstLineChars="200"/>
              <w:rPr>
                <w:color w:val="auto"/>
                <w:sz w:val="24"/>
                <w:u w:val="none" w:color="auto"/>
              </w:rPr>
            </w:pPr>
            <w:r>
              <w:rPr>
                <w:color w:val="auto"/>
                <w:sz w:val="24"/>
                <w:u w:val="none" w:color="auto"/>
              </w:rPr>
              <w:t>式中：q</w:t>
            </w:r>
            <w:r>
              <w:rPr>
                <w:color w:val="auto"/>
                <w:sz w:val="24"/>
                <w:u w:val="none" w:color="auto"/>
                <w:vertAlign w:val="subscript"/>
              </w:rPr>
              <w:t>1</w:t>
            </w:r>
            <w:r>
              <w:rPr>
                <w:color w:val="auto"/>
                <w:sz w:val="24"/>
                <w:u w:val="none" w:color="auto"/>
              </w:rPr>
              <w:t>，q</w:t>
            </w:r>
            <w:r>
              <w:rPr>
                <w:color w:val="auto"/>
                <w:sz w:val="24"/>
                <w:u w:val="none" w:color="auto"/>
                <w:vertAlign w:val="subscript"/>
              </w:rPr>
              <w:t>2</w:t>
            </w:r>
            <w:r>
              <w:rPr>
                <w:color w:val="auto"/>
                <w:sz w:val="24"/>
                <w:u w:val="none" w:color="auto"/>
              </w:rPr>
              <w:t>，… , q</w:t>
            </w:r>
            <w:r>
              <w:rPr>
                <w:color w:val="auto"/>
                <w:sz w:val="24"/>
                <w:u w:val="none" w:color="auto"/>
                <w:vertAlign w:val="subscript"/>
              </w:rPr>
              <w:t>n</w:t>
            </w:r>
            <w:r>
              <w:rPr>
                <w:color w:val="auto"/>
                <w:sz w:val="24"/>
                <w:u w:val="none" w:color="auto"/>
              </w:rPr>
              <w:t>—每种物质的最大存在总量，t；</w:t>
            </w:r>
          </w:p>
          <w:p w14:paraId="05D5C544">
            <w:pPr>
              <w:keepNext w:val="0"/>
              <w:keepLines w:val="0"/>
              <w:pageBreakBefore w:val="0"/>
              <w:tabs>
                <w:tab w:val="left" w:pos="1081"/>
              </w:tabs>
              <w:wordWrap/>
              <w:overflowPunct/>
              <w:topLinePunct w:val="0"/>
              <w:bidi w:val="0"/>
              <w:adjustRightInd w:val="0"/>
              <w:spacing w:line="360" w:lineRule="auto"/>
              <w:ind w:firstLine="480" w:firstLineChars="200"/>
              <w:rPr>
                <w:color w:val="auto"/>
                <w:sz w:val="24"/>
                <w:u w:val="none" w:color="auto"/>
              </w:rPr>
            </w:pPr>
            <w:r>
              <w:rPr>
                <w:color w:val="auto"/>
                <w:sz w:val="24"/>
                <w:u w:val="none" w:color="auto"/>
              </w:rPr>
              <w:t>Q</w:t>
            </w:r>
            <w:r>
              <w:rPr>
                <w:color w:val="auto"/>
                <w:sz w:val="24"/>
                <w:u w:val="none" w:color="auto"/>
                <w:vertAlign w:val="subscript"/>
              </w:rPr>
              <w:t>1</w:t>
            </w:r>
            <w:r>
              <w:rPr>
                <w:color w:val="auto"/>
                <w:sz w:val="24"/>
                <w:u w:val="none" w:color="auto"/>
              </w:rPr>
              <w:t>，Q</w:t>
            </w:r>
            <w:r>
              <w:rPr>
                <w:color w:val="auto"/>
                <w:sz w:val="24"/>
                <w:u w:val="none" w:color="auto"/>
                <w:vertAlign w:val="subscript"/>
              </w:rPr>
              <w:t>2</w:t>
            </w:r>
            <w:r>
              <w:rPr>
                <w:color w:val="auto"/>
                <w:sz w:val="24"/>
                <w:u w:val="none" w:color="auto"/>
              </w:rPr>
              <w:t xml:space="preserve">，… , </w:t>
            </w:r>
            <w:r>
              <w:rPr>
                <w:color w:val="auto"/>
                <w:sz w:val="24"/>
                <w:u w:val="none" w:color="auto"/>
                <w:lang w:val="en-GB"/>
              </w:rPr>
              <w:t>Qn</w:t>
            </w:r>
            <w:r>
              <w:rPr>
                <w:color w:val="auto"/>
                <w:sz w:val="24"/>
                <w:u w:val="none" w:color="auto"/>
              </w:rPr>
              <w:t>—每种物质的临界量，t</w:t>
            </w:r>
          </w:p>
          <w:p w14:paraId="3CA5ECCC">
            <w:pPr>
              <w:keepNext w:val="0"/>
              <w:keepLines w:val="0"/>
              <w:pageBreakBefore w:val="0"/>
              <w:tabs>
                <w:tab w:val="left" w:pos="1081"/>
              </w:tabs>
              <w:wordWrap/>
              <w:overflowPunct/>
              <w:topLinePunct w:val="0"/>
              <w:bidi w:val="0"/>
              <w:adjustRightInd w:val="0"/>
              <w:spacing w:line="360" w:lineRule="auto"/>
              <w:ind w:firstLine="480" w:firstLineChars="200"/>
              <w:rPr>
                <w:color w:val="auto"/>
                <w:sz w:val="24"/>
                <w:u w:val="none" w:color="auto"/>
              </w:rPr>
            </w:pPr>
            <w:r>
              <w:rPr>
                <w:color w:val="auto"/>
                <w:sz w:val="24"/>
                <w:u w:val="none" w:color="auto"/>
              </w:rPr>
              <w:t>当Q＜1时，该项目环境风险潜势为Ⅰ。</w:t>
            </w:r>
          </w:p>
          <w:p w14:paraId="16E8BE9E">
            <w:pPr>
              <w:keepNext w:val="0"/>
              <w:keepLines w:val="0"/>
              <w:pageBreakBefore w:val="0"/>
              <w:tabs>
                <w:tab w:val="left" w:pos="1081"/>
              </w:tabs>
              <w:wordWrap/>
              <w:overflowPunct/>
              <w:topLinePunct w:val="0"/>
              <w:bidi w:val="0"/>
              <w:adjustRightInd w:val="0"/>
              <w:spacing w:line="360" w:lineRule="auto"/>
              <w:ind w:firstLine="480" w:firstLineChars="200"/>
              <w:rPr>
                <w:color w:val="auto"/>
                <w:sz w:val="24"/>
                <w:u w:val="none" w:color="auto"/>
              </w:rPr>
            </w:pPr>
            <w:r>
              <w:rPr>
                <w:color w:val="auto"/>
                <w:sz w:val="24"/>
                <w:u w:val="none" w:color="auto"/>
              </w:rPr>
              <w:t>根据《建设项目环境风险评价技术导则》（HJ169-2018）附录B表B.1及《危险化学品重大危险源辨识》（GB18218-2009）中附表2、表3中各物质及化学品有关的临界量，计算风险物质在</w:t>
            </w:r>
            <w:r>
              <w:rPr>
                <w:rFonts w:hint="eastAsia"/>
                <w:color w:val="auto"/>
                <w:sz w:val="24"/>
                <w:u w:val="none" w:color="auto"/>
                <w:lang w:eastAsia="zh-CN"/>
              </w:rPr>
              <w:t>校界</w:t>
            </w:r>
            <w:r>
              <w:rPr>
                <w:color w:val="auto"/>
                <w:sz w:val="24"/>
                <w:u w:val="none" w:color="auto"/>
              </w:rPr>
              <w:t>内的最大存在量与临界量的比值Q，根据上文</w:t>
            </w:r>
            <w:r>
              <w:rPr>
                <w:rFonts w:hint="default"/>
                <w:color w:val="auto"/>
                <w:sz w:val="24"/>
                <w:u w:val="none" w:color="auto"/>
              </w:rPr>
              <w:t>项目</w:t>
            </w:r>
            <w:r>
              <w:rPr>
                <w:rFonts w:hint="eastAsia"/>
                <w:color w:val="auto"/>
                <w:sz w:val="24"/>
                <w:u w:val="none" w:color="auto"/>
                <w:lang w:val="en-US" w:eastAsia="zh-CN"/>
              </w:rPr>
              <w:t>原辅材料</w:t>
            </w:r>
            <w:r>
              <w:rPr>
                <w:rFonts w:hint="default"/>
                <w:color w:val="auto"/>
                <w:sz w:val="24"/>
                <w:u w:val="none" w:color="auto"/>
              </w:rPr>
              <w:t>消耗量</w:t>
            </w:r>
            <w:r>
              <w:rPr>
                <w:color w:val="auto"/>
                <w:sz w:val="24"/>
                <w:u w:val="none" w:color="auto"/>
              </w:rPr>
              <w:t>一览表以及项目危险废物产生及处置情况一览表可知，本项目</w:t>
            </w:r>
            <w:r>
              <w:rPr>
                <w:rFonts w:hint="eastAsia"/>
                <w:color w:val="auto"/>
                <w:sz w:val="24"/>
                <w:u w:val="none" w:color="auto"/>
                <w:lang w:val="en-US" w:eastAsia="zh-CN"/>
              </w:rPr>
              <w:t>硝酸</w:t>
            </w:r>
            <w:r>
              <w:rPr>
                <w:color w:val="auto"/>
                <w:sz w:val="24"/>
                <w:u w:val="none" w:color="auto"/>
              </w:rPr>
              <w:t>的最大储存量为</w:t>
            </w:r>
            <w:r>
              <w:rPr>
                <w:rFonts w:hint="default"/>
                <w:color w:val="auto"/>
                <w:sz w:val="24"/>
                <w:u w:val="none" w:color="auto"/>
              </w:rPr>
              <w:t>0.0005</w:t>
            </w:r>
            <w:r>
              <w:rPr>
                <w:rFonts w:hint="eastAsia"/>
                <w:color w:val="auto"/>
                <w:sz w:val="24"/>
                <w:u w:val="none" w:color="auto"/>
                <w:lang w:val="en-US" w:eastAsia="zh-CN"/>
              </w:rPr>
              <w:t>t</w:t>
            </w:r>
            <w:r>
              <w:rPr>
                <w:color w:val="auto"/>
                <w:sz w:val="24"/>
                <w:u w:val="none" w:color="auto"/>
              </w:rPr>
              <w:t>，</w:t>
            </w:r>
            <w:r>
              <w:rPr>
                <w:rFonts w:hint="eastAsia"/>
                <w:color w:val="auto"/>
                <w:sz w:val="24"/>
                <w:u w:val="none" w:color="auto"/>
              </w:rPr>
              <w:t>硫酸</w:t>
            </w:r>
            <w:r>
              <w:rPr>
                <w:color w:val="auto"/>
                <w:sz w:val="24"/>
                <w:u w:val="none" w:color="auto"/>
              </w:rPr>
              <w:t>的最大储存量为</w:t>
            </w:r>
            <w:r>
              <w:rPr>
                <w:rFonts w:hint="default"/>
                <w:color w:val="auto"/>
                <w:sz w:val="24"/>
                <w:u w:val="none" w:color="auto"/>
              </w:rPr>
              <w:t>0.0002</w:t>
            </w:r>
            <w:r>
              <w:rPr>
                <w:rFonts w:hint="eastAsia"/>
                <w:color w:val="auto"/>
                <w:sz w:val="24"/>
                <w:u w:val="none" w:color="auto"/>
                <w:lang w:val="en-US" w:eastAsia="zh-CN"/>
              </w:rPr>
              <w:t>t</w:t>
            </w:r>
            <w:r>
              <w:rPr>
                <w:color w:val="auto"/>
                <w:sz w:val="24"/>
                <w:u w:val="none" w:color="auto"/>
              </w:rPr>
              <w:t>，</w:t>
            </w:r>
            <w:r>
              <w:rPr>
                <w:rFonts w:hint="eastAsia"/>
                <w:color w:val="auto"/>
                <w:sz w:val="24"/>
                <w:u w:val="none" w:color="auto"/>
                <w:lang w:val="en-US" w:eastAsia="zh-CN"/>
              </w:rPr>
              <w:t>盐酸</w:t>
            </w:r>
            <w:r>
              <w:rPr>
                <w:color w:val="auto"/>
                <w:sz w:val="24"/>
                <w:u w:val="none" w:color="auto"/>
              </w:rPr>
              <w:t>的最大储存量为</w:t>
            </w:r>
            <w:r>
              <w:rPr>
                <w:rFonts w:hint="default"/>
                <w:color w:val="auto"/>
                <w:sz w:val="24"/>
                <w:u w:val="none" w:color="auto"/>
              </w:rPr>
              <w:t>0.0004</w:t>
            </w:r>
            <w:r>
              <w:rPr>
                <w:rFonts w:hint="eastAsia"/>
                <w:color w:val="auto"/>
                <w:sz w:val="24"/>
                <w:u w:val="none" w:color="auto"/>
                <w:lang w:val="en-US" w:eastAsia="zh-CN"/>
              </w:rPr>
              <w:t>t</w:t>
            </w:r>
            <w:r>
              <w:rPr>
                <w:color w:val="auto"/>
                <w:sz w:val="24"/>
                <w:u w:val="none" w:color="auto"/>
              </w:rPr>
              <w:t>，</w:t>
            </w:r>
            <w:r>
              <w:rPr>
                <w:rFonts w:hint="default"/>
                <w:color w:val="auto"/>
                <w:sz w:val="24"/>
                <w:u w:val="none" w:color="auto"/>
              </w:rPr>
              <w:t>氯水</w:t>
            </w:r>
            <w:r>
              <w:rPr>
                <w:color w:val="auto"/>
                <w:sz w:val="24"/>
                <w:u w:val="none" w:color="auto"/>
              </w:rPr>
              <w:t>的最大储存量为</w:t>
            </w:r>
            <w:r>
              <w:rPr>
                <w:rFonts w:hint="default"/>
                <w:color w:val="auto"/>
                <w:sz w:val="24"/>
                <w:u w:val="none" w:color="auto"/>
              </w:rPr>
              <w:t>0.0002</w:t>
            </w:r>
            <w:r>
              <w:rPr>
                <w:rFonts w:hint="eastAsia"/>
                <w:color w:val="auto"/>
                <w:sz w:val="24"/>
                <w:u w:val="none" w:color="auto"/>
                <w:lang w:val="en-US" w:eastAsia="zh-CN"/>
              </w:rPr>
              <w:t>t</w:t>
            </w:r>
            <w:r>
              <w:rPr>
                <w:color w:val="auto"/>
                <w:sz w:val="24"/>
                <w:u w:val="none" w:color="auto"/>
              </w:rPr>
              <w:t>，</w:t>
            </w:r>
            <w:r>
              <w:rPr>
                <w:rFonts w:hint="default"/>
                <w:color w:val="auto"/>
                <w:sz w:val="24"/>
                <w:u w:val="none" w:color="auto"/>
              </w:rPr>
              <w:t>溴水</w:t>
            </w:r>
            <w:r>
              <w:rPr>
                <w:rFonts w:hint="eastAsia"/>
                <w:color w:val="auto"/>
                <w:sz w:val="24"/>
                <w:u w:val="none" w:color="auto"/>
              </w:rPr>
              <w:t>的最大储存量为0.0002</w:t>
            </w:r>
            <w:r>
              <w:rPr>
                <w:rFonts w:hint="eastAsia"/>
                <w:color w:val="auto"/>
                <w:sz w:val="24"/>
                <w:u w:val="none" w:color="auto"/>
                <w:lang w:val="en-US" w:eastAsia="zh-CN"/>
              </w:rPr>
              <w:t>t</w:t>
            </w:r>
            <w:r>
              <w:rPr>
                <w:rFonts w:hint="eastAsia"/>
                <w:color w:val="auto"/>
                <w:sz w:val="24"/>
                <w:u w:val="none" w:color="auto"/>
              </w:rPr>
              <w:t>，</w:t>
            </w:r>
            <w:r>
              <w:rPr>
                <w:rFonts w:hint="eastAsia"/>
                <w:color w:val="auto"/>
                <w:sz w:val="24"/>
                <w:u w:val="none" w:color="auto"/>
                <w:lang w:val="en-US" w:eastAsia="zh-CN"/>
              </w:rPr>
              <w:t>柴油</w:t>
            </w:r>
            <w:r>
              <w:rPr>
                <w:rFonts w:hint="eastAsia"/>
                <w:color w:val="auto"/>
                <w:sz w:val="24"/>
                <w:u w:val="none" w:color="auto"/>
              </w:rPr>
              <w:t>的最大储存量为</w:t>
            </w:r>
            <w:r>
              <w:rPr>
                <w:rFonts w:hint="eastAsia"/>
                <w:color w:val="auto"/>
                <w:sz w:val="24"/>
                <w:u w:val="none" w:color="auto"/>
                <w:lang w:val="en-US" w:eastAsia="zh-CN"/>
              </w:rPr>
              <w:t>0.5</w:t>
            </w:r>
            <w:r>
              <w:rPr>
                <w:rFonts w:hint="eastAsia"/>
                <w:color w:val="auto"/>
                <w:sz w:val="24"/>
                <w:u w:val="none" w:color="auto"/>
              </w:rPr>
              <w:t>t，</w:t>
            </w:r>
            <w:r>
              <w:rPr>
                <w:color w:val="auto"/>
                <w:sz w:val="24"/>
                <w:u w:val="none" w:color="auto"/>
              </w:rPr>
              <w:t>危险废物的最大储存量为</w:t>
            </w:r>
            <w:r>
              <w:rPr>
                <w:rFonts w:hint="eastAsia"/>
                <w:color w:val="auto"/>
                <w:sz w:val="24"/>
                <w:u w:val="none" w:color="auto"/>
                <w:lang w:eastAsia="zh-CN"/>
              </w:rPr>
              <w:t>（</w:t>
            </w:r>
            <w:r>
              <w:rPr>
                <w:rFonts w:hint="eastAsia"/>
                <w:color w:val="auto"/>
                <w:sz w:val="24"/>
                <w:u w:val="none" w:color="auto"/>
                <w:lang w:val="en-US" w:eastAsia="zh-CN"/>
              </w:rPr>
              <w:t>0.2</w:t>
            </w:r>
            <w:r>
              <w:rPr>
                <w:rFonts w:hint="eastAsia"/>
                <w:color w:val="auto"/>
                <w:sz w:val="24"/>
                <w:u w:val="none" w:color="auto"/>
              </w:rPr>
              <w:t>t</w:t>
            </w:r>
            <w:r>
              <w:rPr>
                <w:rFonts w:hint="eastAsia"/>
                <w:color w:val="auto"/>
                <w:sz w:val="24"/>
                <w:u w:val="none" w:color="auto"/>
                <w:lang w:val="en-US" w:eastAsia="zh-CN"/>
              </w:rPr>
              <w:t>+0.02t+1.46t）</w:t>
            </w:r>
            <w:r>
              <w:rPr>
                <w:color w:val="auto"/>
                <w:sz w:val="24"/>
                <w:u w:val="none" w:color="auto"/>
              </w:rPr>
              <w:t>÷2=</w:t>
            </w:r>
            <w:r>
              <w:rPr>
                <w:rFonts w:hint="eastAsia"/>
                <w:color w:val="auto"/>
                <w:sz w:val="24"/>
                <w:u w:val="none" w:color="auto"/>
                <w:lang w:val="en-US" w:eastAsia="zh-CN"/>
              </w:rPr>
              <w:t>0.84</w:t>
            </w:r>
            <w:r>
              <w:rPr>
                <w:color w:val="auto"/>
                <w:sz w:val="24"/>
                <w:u w:val="none" w:color="auto"/>
              </w:rPr>
              <w:t>t，本项目危险物质数量与临界量比值见下表。</w:t>
            </w:r>
          </w:p>
          <w:p w14:paraId="2601D23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4"/>
                <w:szCs w:val="24"/>
                <w:highlight w:val="none"/>
                <w:u w:val="none" w:color="auto"/>
                <w:lang w:val="en-US" w:eastAsia="zh-CN" w:bidi="ar-SA"/>
              </w:rPr>
            </w:pPr>
            <w:r>
              <w:rPr>
                <w:rFonts w:hint="default" w:ascii="Times New Roman" w:hAnsi="Times New Roman" w:eastAsia="宋体" w:cs="Times New Roman"/>
                <w:b/>
                <w:bCs/>
                <w:color w:val="auto"/>
                <w:kern w:val="2"/>
                <w:sz w:val="24"/>
                <w:szCs w:val="24"/>
                <w:highlight w:val="none"/>
                <w:u w:val="none" w:color="auto"/>
                <w:lang w:val="en-US" w:eastAsia="zh-CN" w:bidi="ar-SA"/>
              </w:rPr>
              <w:t>表4-</w:t>
            </w:r>
            <w:r>
              <w:rPr>
                <w:rFonts w:hint="eastAsia" w:ascii="Times New Roman" w:hAnsi="Times New Roman" w:eastAsia="宋体" w:cs="Times New Roman"/>
                <w:b/>
                <w:bCs/>
                <w:color w:val="auto"/>
                <w:kern w:val="2"/>
                <w:sz w:val="24"/>
                <w:szCs w:val="24"/>
                <w:highlight w:val="none"/>
                <w:u w:val="none" w:color="auto"/>
                <w:lang w:val="en-US" w:eastAsia="zh-CN" w:bidi="ar-SA"/>
              </w:rPr>
              <w:t>21</w:t>
            </w:r>
            <w:r>
              <w:rPr>
                <w:rFonts w:hint="default" w:ascii="Times New Roman" w:hAnsi="Times New Roman" w:eastAsia="宋体" w:cs="Times New Roman"/>
                <w:b/>
                <w:bCs/>
                <w:color w:val="auto"/>
                <w:kern w:val="2"/>
                <w:sz w:val="24"/>
                <w:szCs w:val="24"/>
                <w:highlight w:val="none"/>
                <w:u w:val="none" w:color="auto"/>
                <w:lang w:val="en-US" w:eastAsia="zh-CN" w:bidi="ar-SA"/>
              </w:rPr>
              <w:t xml:space="preserve">      项目危险物质与临界量比值表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5"/>
              <w:gridCol w:w="1038"/>
              <w:gridCol w:w="2117"/>
              <w:gridCol w:w="1329"/>
              <w:gridCol w:w="3206"/>
            </w:tblGrid>
            <w:tr w14:paraId="73F09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2" w:type="pct"/>
                  <w:tcBorders>
                    <w:top w:val="single" w:color="auto" w:sz="4" w:space="0"/>
                    <w:left w:val="single" w:color="auto" w:sz="4" w:space="0"/>
                    <w:bottom w:val="single" w:color="auto" w:sz="4" w:space="0"/>
                    <w:right w:val="single" w:color="auto" w:sz="4" w:space="0"/>
                  </w:tcBorders>
                  <w:vAlign w:val="center"/>
                </w:tcPr>
                <w:p w14:paraId="14CB149C">
                  <w:pPr>
                    <w:pStyle w:val="13"/>
                    <w:keepNext w:val="0"/>
                    <w:keepLines w:val="0"/>
                    <w:pageBreakBefore w:val="0"/>
                    <w:kinsoku/>
                    <w:wordWrap/>
                    <w:overflowPunct/>
                    <w:topLinePunct w:val="0"/>
                    <w:autoSpaceDE/>
                    <w:autoSpaceDN/>
                    <w:bidi w:val="0"/>
                    <w:adjustRightInd/>
                    <w:snapToGrid/>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危险单元名称</w:t>
                  </w:r>
                </w:p>
              </w:tc>
              <w:tc>
                <w:tcPr>
                  <w:tcW w:w="569" w:type="pct"/>
                  <w:tcBorders>
                    <w:top w:val="single" w:color="auto" w:sz="4" w:space="0"/>
                    <w:left w:val="nil"/>
                    <w:bottom w:val="single" w:color="auto" w:sz="4" w:space="0"/>
                    <w:right w:val="single" w:color="auto" w:sz="4" w:space="0"/>
                  </w:tcBorders>
                  <w:vAlign w:val="center"/>
                </w:tcPr>
                <w:p w14:paraId="3E56A290">
                  <w:pPr>
                    <w:pStyle w:val="13"/>
                    <w:keepNext w:val="0"/>
                    <w:keepLines w:val="0"/>
                    <w:pageBreakBefore w:val="0"/>
                    <w:kinsoku/>
                    <w:wordWrap/>
                    <w:overflowPunct/>
                    <w:topLinePunct w:val="0"/>
                    <w:autoSpaceDE/>
                    <w:autoSpaceDN/>
                    <w:bidi w:val="0"/>
                    <w:adjustRightInd/>
                    <w:snapToGrid/>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风险物质</w:t>
                  </w:r>
                </w:p>
              </w:tc>
              <w:tc>
                <w:tcPr>
                  <w:tcW w:w="1161" w:type="pct"/>
                  <w:tcBorders>
                    <w:top w:val="single" w:color="auto" w:sz="4" w:space="0"/>
                    <w:left w:val="nil"/>
                    <w:bottom w:val="single" w:color="auto" w:sz="4" w:space="0"/>
                    <w:right w:val="single" w:color="auto" w:sz="4" w:space="0"/>
                  </w:tcBorders>
                  <w:vAlign w:val="center"/>
                </w:tcPr>
                <w:p w14:paraId="3155A4EB">
                  <w:pPr>
                    <w:pStyle w:val="13"/>
                    <w:keepNext w:val="0"/>
                    <w:keepLines w:val="0"/>
                    <w:pageBreakBefore w:val="0"/>
                    <w:kinsoku/>
                    <w:wordWrap/>
                    <w:overflowPunct/>
                    <w:topLinePunct w:val="0"/>
                    <w:autoSpaceDE/>
                    <w:autoSpaceDN/>
                    <w:bidi w:val="0"/>
                    <w:adjustRightInd/>
                    <w:snapToGrid/>
                    <w:ind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实际最大</w:t>
                  </w:r>
                  <w:r>
                    <w:rPr>
                      <w:rFonts w:hint="eastAsia" w:ascii="Times New Roman" w:hAnsi="Times New Roman" w:eastAsia="宋体" w:cs="Times New Roman"/>
                      <w:color w:val="auto"/>
                      <w:sz w:val="21"/>
                      <w:szCs w:val="21"/>
                      <w:u w:val="none" w:color="auto"/>
                      <w:lang w:val="en-US" w:eastAsia="zh-CN"/>
                    </w:rPr>
                    <w:t>存在</w:t>
                  </w:r>
                  <w:r>
                    <w:rPr>
                      <w:rFonts w:hint="default" w:ascii="Times New Roman" w:hAnsi="Times New Roman" w:eastAsia="宋体" w:cs="Times New Roman"/>
                      <w:color w:val="auto"/>
                      <w:sz w:val="21"/>
                      <w:szCs w:val="21"/>
                      <w:u w:val="none" w:color="auto"/>
                    </w:rPr>
                    <w:t>量</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t）</w:t>
                  </w:r>
                </w:p>
              </w:tc>
              <w:tc>
                <w:tcPr>
                  <w:tcW w:w="727" w:type="pct"/>
                  <w:tcBorders>
                    <w:top w:val="single" w:color="auto" w:sz="4" w:space="0"/>
                    <w:left w:val="nil"/>
                    <w:bottom w:val="single" w:color="auto" w:sz="4" w:space="0"/>
                    <w:right w:val="single" w:color="auto" w:sz="4" w:space="0"/>
                  </w:tcBorders>
                  <w:vAlign w:val="center"/>
                </w:tcPr>
                <w:p w14:paraId="16485582">
                  <w:pPr>
                    <w:pStyle w:val="13"/>
                    <w:keepNext w:val="0"/>
                    <w:keepLines w:val="0"/>
                    <w:pageBreakBefore w:val="0"/>
                    <w:kinsoku/>
                    <w:wordWrap/>
                    <w:overflowPunct/>
                    <w:topLinePunct w:val="0"/>
                    <w:autoSpaceDE/>
                    <w:autoSpaceDN/>
                    <w:bidi w:val="0"/>
                    <w:adjustRightInd/>
                    <w:snapToGrid/>
                    <w:ind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临界量</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t）</w:t>
                  </w:r>
                </w:p>
              </w:tc>
              <w:tc>
                <w:tcPr>
                  <w:tcW w:w="1758" w:type="pct"/>
                  <w:tcBorders>
                    <w:top w:val="single" w:color="auto" w:sz="4" w:space="0"/>
                    <w:left w:val="nil"/>
                    <w:bottom w:val="single" w:color="auto" w:sz="4" w:space="0"/>
                    <w:right w:val="single" w:color="auto" w:sz="4" w:space="0"/>
                  </w:tcBorders>
                  <w:vAlign w:val="center"/>
                </w:tcPr>
                <w:p w14:paraId="570F5209">
                  <w:pPr>
                    <w:pStyle w:val="13"/>
                    <w:keepNext w:val="0"/>
                    <w:keepLines w:val="0"/>
                    <w:pageBreakBefore w:val="0"/>
                    <w:kinsoku/>
                    <w:wordWrap/>
                    <w:overflowPunct/>
                    <w:topLinePunct w:val="0"/>
                    <w:autoSpaceDE/>
                    <w:autoSpaceDN/>
                    <w:bidi w:val="0"/>
                    <w:adjustRightInd/>
                    <w:snapToGrid/>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危险物质数量与临界量比值（Q）</w:t>
                  </w:r>
                </w:p>
              </w:tc>
            </w:tr>
            <w:tr w14:paraId="1AFBE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2" w:type="pct"/>
                  <w:vMerge w:val="restart"/>
                  <w:tcBorders>
                    <w:top w:val="nil"/>
                    <w:left w:val="single" w:color="auto" w:sz="4" w:space="0"/>
                    <w:right w:val="single" w:color="auto" w:sz="4" w:space="0"/>
                  </w:tcBorders>
                  <w:vAlign w:val="center"/>
                </w:tcPr>
                <w:p w14:paraId="3695D2FC">
                  <w:pPr>
                    <w:keepNext w:val="0"/>
                    <w:keepLines w:val="0"/>
                    <w:pageBreakBefore w:val="0"/>
                    <w:kinsoku/>
                    <w:wordWrap/>
                    <w:overflowPunct/>
                    <w:topLinePunct w:val="0"/>
                    <w:autoSpaceDE/>
                    <w:autoSpaceDN/>
                    <w:bidi w:val="0"/>
                    <w:adjustRightInd/>
                    <w:snapToGrid/>
                    <w:ind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val="en-US" w:eastAsia="zh-CN"/>
                    </w:rPr>
                    <w:t>校区</w:t>
                  </w:r>
                </w:p>
              </w:tc>
              <w:tc>
                <w:tcPr>
                  <w:tcW w:w="569" w:type="pct"/>
                  <w:tcBorders>
                    <w:top w:val="single" w:color="auto" w:sz="4" w:space="0"/>
                    <w:left w:val="nil"/>
                    <w:right w:val="single" w:color="auto" w:sz="4" w:space="0"/>
                  </w:tcBorders>
                  <w:vAlign w:val="center"/>
                </w:tcPr>
                <w:p w14:paraId="0082C458">
                  <w:pPr>
                    <w:pStyle w:val="13"/>
                    <w:keepNext w:val="0"/>
                    <w:keepLines w:val="0"/>
                    <w:pageBreakBefore w:val="0"/>
                    <w:kinsoku/>
                    <w:wordWrap/>
                    <w:overflowPunct/>
                    <w:topLinePunct w:val="0"/>
                    <w:autoSpaceDE/>
                    <w:autoSpaceDN/>
                    <w:bidi w:val="0"/>
                    <w:adjustRightInd/>
                    <w:snapToGrid/>
                    <w:ind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val="en-US" w:eastAsia="zh-CN"/>
                    </w:rPr>
                    <w:t>硝酸</w:t>
                  </w:r>
                </w:p>
              </w:tc>
              <w:tc>
                <w:tcPr>
                  <w:tcW w:w="1161" w:type="pct"/>
                  <w:tcBorders>
                    <w:top w:val="single" w:color="auto" w:sz="4" w:space="0"/>
                    <w:left w:val="nil"/>
                    <w:right w:val="single" w:color="auto" w:sz="4" w:space="0"/>
                  </w:tcBorders>
                  <w:vAlign w:val="center"/>
                </w:tcPr>
                <w:p w14:paraId="4EBDB02B">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0.0005</w:t>
                  </w:r>
                </w:p>
              </w:tc>
              <w:tc>
                <w:tcPr>
                  <w:tcW w:w="727" w:type="pct"/>
                  <w:tcBorders>
                    <w:top w:val="single" w:color="auto" w:sz="4" w:space="0"/>
                    <w:left w:val="nil"/>
                    <w:right w:val="single" w:color="auto" w:sz="4" w:space="0"/>
                  </w:tcBorders>
                  <w:vAlign w:val="center"/>
                </w:tcPr>
                <w:p w14:paraId="79738497">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7.5</w:t>
                  </w:r>
                </w:p>
              </w:tc>
              <w:tc>
                <w:tcPr>
                  <w:tcW w:w="1758" w:type="pct"/>
                  <w:tcBorders>
                    <w:top w:val="single" w:color="auto" w:sz="4" w:space="0"/>
                    <w:left w:val="nil"/>
                    <w:right w:val="single" w:color="auto" w:sz="4" w:space="0"/>
                  </w:tcBorders>
                  <w:vAlign w:val="center"/>
                </w:tcPr>
                <w:p w14:paraId="796B9227">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0.000067</w:t>
                  </w:r>
                </w:p>
              </w:tc>
            </w:tr>
            <w:tr w14:paraId="5C9F0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2" w:type="pct"/>
                  <w:vMerge w:val="continue"/>
                  <w:tcBorders>
                    <w:left w:val="single" w:color="auto" w:sz="4" w:space="0"/>
                    <w:right w:val="single" w:color="auto" w:sz="4" w:space="0"/>
                  </w:tcBorders>
                  <w:vAlign w:val="center"/>
                </w:tcPr>
                <w:p w14:paraId="0BC6A6E2">
                  <w:pPr>
                    <w:keepNext w:val="0"/>
                    <w:keepLines w:val="0"/>
                    <w:pageBreakBefore w:val="0"/>
                    <w:kinsoku/>
                    <w:wordWrap/>
                    <w:overflowPunct/>
                    <w:topLinePunct w:val="0"/>
                    <w:autoSpaceDE/>
                    <w:autoSpaceDN/>
                    <w:bidi w:val="0"/>
                    <w:adjustRightInd/>
                    <w:snapToGrid/>
                    <w:ind w:firstLine="0" w:firstLineChars="0"/>
                    <w:jc w:val="center"/>
                    <w:rPr>
                      <w:rFonts w:hint="default" w:ascii="Times New Roman" w:hAnsi="Times New Roman" w:eastAsia="宋体" w:cs="Times New Roman"/>
                      <w:color w:val="auto"/>
                      <w:sz w:val="21"/>
                      <w:szCs w:val="21"/>
                      <w:u w:val="none" w:color="auto"/>
                    </w:rPr>
                  </w:pPr>
                </w:p>
              </w:tc>
              <w:tc>
                <w:tcPr>
                  <w:tcW w:w="569" w:type="pct"/>
                  <w:tcBorders>
                    <w:top w:val="single" w:color="auto" w:sz="4" w:space="0"/>
                    <w:left w:val="nil"/>
                    <w:right w:val="single" w:color="auto" w:sz="4" w:space="0"/>
                  </w:tcBorders>
                  <w:vAlign w:val="center"/>
                </w:tcPr>
                <w:p w14:paraId="798B9774">
                  <w:pPr>
                    <w:pStyle w:val="13"/>
                    <w:keepNext w:val="0"/>
                    <w:keepLines w:val="0"/>
                    <w:pageBreakBefore w:val="0"/>
                    <w:kinsoku/>
                    <w:wordWrap/>
                    <w:overflowPunct/>
                    <w:topLinePunct w:val="0"/>
                    <w:autoSpaceDE/>
                    <w:autoSpaceDN/>
                    <w:bidi w:val="0"/>
                    <w:adjustRightInd/>
                    <w:snapToGrid/>
                    <w:ind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val="en-US" w:eastAsia="zh-CN"/>
                    </w:rPr>
                    <w:t>硫酸</w:t>
                  </w:r>
                </w:p>
              </w:tc>
              <w:tc>
                <w:tcPr>
                  <w:tcW w:w="1161" w:type="pct"/>
                  <w:tcBorders>
                    <w:top w:val="single" w:color="auto" w:sz="4" w:space="0"/>
                    <w:left w:val="nil"/>
                    <w:right w:val="single" w:color="auto" w:sz="4" w:space="0"/>
                  </w:tcBorders>
                  <w:vAlign w:val="center"/>
                </w:tcPr>
                <w:p w14:paraId="610FDF3A">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0.0002</w:t>
                  </w:r>
                </w:p>
              </w:tc>
              <w:tc>
                <w:tcPr>
                  <w:tcW w:w="727" w:type="pct"/>
                  <w:tcBorders>
                    <w:top w:val="single" w:color="auto" w:sz="4" w:space="0"/>
                    <w:left w:val="nil"/>
                    <w:right w:val="single" w:color="auto" w:sz="4" w:space="0"/>
                  </w:tcBorders>
                  <w:vAlign w:val="center"/>
                </w:tcPr>
                <w:p w14:paraId="56A0C04A">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10</w:t>
                  </w:r>
                </w:p>
              </w:tc>
              <w:tc>
                <w:tcPr>
                  <w:tcW w:w="1758" w:type="pct"/>
                  <w:tcBorders>
                    <w:top w:val="single" w:color="auto" w:sz="4" w:space="0"/>
                    <w:left w:val="nil"/>
                    <w:right w:val="single" w:color="auto" w:sz="4" w:space="0"/>
                  </w:tcBorders>
                  <w:vAlign w:val="center"/>
                </w:tcPr>
                <w:p w14:paraId="11C2E77C">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0.00002</w:t>
                  </w:r>
                </w:p>
              </w:tc>
            </w:tr>
            <w:tr w14:paraId="01C8F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2" w:type="pct"/>
                  <w:vMerge w:val="continue"/>
                  <w:tcBorders>
                    <w:left w:val="single" w:color="auto" w:sz="4" w:space="0"/>
                    <w:right w:val="single" w:color="auto" w:sz="4" w:space="0"/>
                  </w:tcBorders>
                  <w:vAlign w:val="center"/>
                </w:tcPr>
                <w:p w14:paraId="17677214">
                  <w:pPr>
                    <w:keepNext w:val="0"/>
                    <w:keepLines w:val="0"/>
                    <w:pageBreakBefore w:val="0"/>
                    <w:kinsoku/>
                    <w:wordWrap/>
                    <w:overflowPunct/>
                    <w:topLinePunct w:val="0"/>
                    <w:autoSpaceDE/>
                    <w:autoSpaceDN/>
                    <w:bidi w:val="0"/>
                    <w:adjustRightInd/>
                    <w:snapToGrid/>
                    <w:ind w:firstLine="0" w:firstLineChars="0"/>
                    <w:jc w:val="center"/>
                    <w:rPr>
                      <w:rFonts w:hint="default" w:ascii="Times New Roman" w:hAnsi="Times New Roman" w:eastAsia="宋体" w:cs="Times New Roman"/>
                      <w:color w:val="auto"/>
                      <w:sz w:val="21"/>
                      <w:szCs w:val="21"/>
                      <w:u w:val="none" w:color="auto"/>
                    </w:rPr>
                  </w:pPr>
                </w:p>
              </w:tc>
              <w:tc>
                <w:tcPr>
                  <w:tcW w:w="569" w:type="pct"/>
                  <w:tcBorders>
                    <w:top w:val="single" w:color="auto" w:sz="4" w:space="0"/>
                    <w:left w:val="nil"/>
                    <w:right w:val="single" w:color="auto" w:sz="4" w:space="0"/>
                  </w:tcBorders>
                  <w:vAlign w:val="center"/>
                </w:tcPr>
                <w:p w14:paraId="5FDA6FAF">
                  <w:pPr>
                    <w:pStyle w:val="13"/>
                    <w:keepNext w:val="0"/>
                    <w:keepLines w:val="0"/>
                    <w:pageBreakBefore w:val="0"/>
                    <w:kinsoku/>
                    <w:wordWrap/>
                    <w:overflowPunct/>
                    <w:topLinePunct w:val="0"/>
                    <w:autoSpaceDE/>
                    <w:autoSpaceDN/>
                    <w:bidi w:val="0"/>
                    <w:adjustRightInd/>
                    <w:snapToGrid/>
                    <w:ind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val="en-US" w:eastAsia="zh-CN"/>
                    </w:rPr>
                    <w:t>盐酸</w:t>
                  </w:r>
                </w:p>
              </w:tc>
              <w:tc>
                <w:tcPr>
                  <w:tcW w:w="1161" w:type="pct"/>
                  <w:tcBorders>
                    <w:top w:val="single" w:color="auto" w:sz="4" w:space="0"/>
                    <w:left w:val="nil"/>
                    <w:right w:val="single" w:color="auto" w:sz="4" w:space="0"/>
                  </w:tcBorders>
                  <w:vAlign w:val="center"/>
                </w:tcPr>
                <w:p w14:paraId="784ED4DF">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0.0004</w:t>
                  </w:r>
                </w:p>
              </w:tc>
              <w:tc>
                <w:tcPr>
                  <w:tcW w:w="727" w:type="pct"/>
                  <w:tcBorders>
                    <w:top w:val="single" w:color="auto" w:sz="4" w:space="0"/>
                    <w:left w:val="nil"/>
                    <w:right w:val="single" w:color="auto" w:sz="4" w:space="0"/>
                  </w:tcBorders>
                  <w:vAlign w:val="center"/>
                </w:tcPr>
                <w:p w14:paraId="6B846017">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7.5</w:t>
                  </w:r>
                </w:p>
              </w:tc>
              <w:tc>
                <w:tcPr>
                  <w:tcW w:w="1758" w:type="pct"/>
                  <w:tcBorders>
                    <w:top w:val="single" w:color="auto" w:sz="4" w:space="0"/>
                    <w:left w:val="nil"/>
                    <w:right w:val="single" w:color="auto" w:sz="4" w:space="0"/>
                  </w:tcBorders>
                  <w:vAlign w:val="center"/>
                </w:tcPr>
                <w:p w14:paraId="562CB141">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0.000053</w:t>
                  </w:r>
                </w:p>
              </w:tc>
            </w:tr>
            <w:tr w14:paraId="35CDF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2" w:type="pct"/>
                  <w:vMerge w:val="continue"/>
                  <w:tcBorders>
                    <w:left w:val="single" w:color="auto" w:sz="4" w:space="0"/>
                    <w:right w:val="single" w:color="auto" w:sz="4" w:space="0"/>
                  </w:tcBorders>
                  <w:vAlign w:val="center"/>
                </w:tcPr>
                <w:p w14:paraId="4612EBF8">
                  <w:pPr>
                    <w:keepNext w:val="0"/>
                    <w:keepLines w:val="0"/>
                    <w:pageBreakBefore w:val="0"/>
                    <w:kinsoku/>
                    <w:wordWrap/>
                    <w:overflowPunct/>
                    <w:topLinePunct w:val="0"/>
                    <w:autoSpaceDE/>
                    <w:autoSpaceDN/>
                    <w:bidi w:val="0"/>
                    <w:adjustRightInd/>
                    <w:snapToGrid/>
                    <w:ind w:firstLine="0" w:firstLineChars="0"/>
                    <w:jc w:val="center"/>
                    <w:rPr>
                      <w:rFonts w:hint="default" w:ascii="Times New Roman" w:hAnsi="Times New Roman" w:eastAsia="宋体" w:cs="Times New Roman"/>
                      <w:color w:val="auto"/>
                      <w:sz w:val="21"/>
                      <w:szCs w:val="21"/>
                      <w:u w:val="none" w:color="auto"/>
                    </w:rPr>
                  </w:pPr>
                </w:p>
              </w:tc>
              <w:tc>
                <w:tcPr>
                  <w:tcW w:w="569" w:type="pct"/>
                  <w:tcBorders>
                    <w:top w:val="single" w:color="auto" w:sz="4" w:space="0"/>
                    <w:left w:val="nil"/>
                    <w:right w:val="single" w:color="auto" w:sz="4" w:space="0"/>
                  </w:tcBorders>
                  <w:vAlign w:val="center"/>
                </w:tcPr>
                <w:p w14:paraId="7BF8F0FE">
                  <w:pPr>
                    <w:pStyle w:val="13"/>
                    <w:keepNext w:val="0"/>
                    <w:keepLines w:val="0"/>
                    <w:pageBreakBefore w:val="0"/>
                    <w:kinsoku/>
                    <w:wordWrap/>
                    <w:overflowPunct/>
                    <w:topLinePunct w:val="0"/>
                    <w:autoSpaceDE/>
                    <w:autoSpaceDN/>
                    <w:bidi w:val="0"/>
                    <w:adjustRightInd/>
                    <w:snapToGrid/>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氯水</w:t>
                  </w:r>
                </w:p>
              </w:tc>
              <w:tc>
                <w:tcPr>
                  <w:tcW w:w="1161" w:type="pct"/>
                  <w:tcBorders>
                    <w:top w:val="single" w:color="auto" w:sz="4" w:space="0"/>
                    <w:left w:val="nil"/>
                    <w:right w:val="single" w:color="auto" w:sz="4" w:space="0"/>
                  </w:tcBorders>
                  <w:vAlign w:val="center"/>
                </w:tcPr>
                <w:p w14:paraId="1B84916A">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0.0002</w:t>
                  </w:r>
                </w:p>
              </w:tc>
              <w:tc>
                <w:tcPr>
                  <w:tcW w:w="727" w:type="pct"/>
                  <w:tcBorders>
                    <w:top w:val="single" w:color="auto" w:sz="4" w:space="0"/>
                    <w:left w:val="nil"/>
                    <w:right w:val="single" w:color="auto" w:sz="4" w:space="0"/>
                  </w:tcBorders>
                  <w:vAlign w:val="center"/>
                </w:tcPr>
                <w:p w14:paraId="7A2F96C8">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1</w:t>
                  </w:r>
                </w:p>
              </w:tc>
              <w:tc>
                <w:tcPr>
                  <w:tcW w:w="1758" w:type="pct"/>
                  <w:tcBorders>
                    <w:top w:val="single" w:color="auto" w:sz="4" w:space="0"/>
                    <w:left w:val="nil"/>
                    <w:right w:val="single" w:color="auto" w:sz="4" w:space="0"/>
                  </w:tcBorders>
                  <w:vAlign w:val="center"/>
                </w:tcPr>
                <w:p w14:paraId="0FE13EBF">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0.0002</w:t>
                  </w:r>
                </w:p>
              </w:tc>
            </w:tr>
            <w:tr w14:paraId="7DB0B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2" w:type="pct"/>
                  <w:vMerge w:val="continue"/>
                  <w:tcBorders>
                    <w:left w:val="single" w:color="auto" w:sz="4" w:space="0"/>
                    <w:right w:val="single" w:color="auto" w:sz="4" w:space="0"/>
                  </w:tcBorders>
                  <w:vAlign w:val="center"/>
                </w:tcPr>
                <w:p w14:paraId="75C1F363">
                  <w:pPr>
                    <w:keepNext w:val="0"/>
                    <w:keepLines w:val="0"/>
                    <w:pageBreakBefore w:val="0"/>
                    <w:kinsoku/>
                    <w:wordWrap/>
                    <w:overflowPunct/>
                    <w:topLinePunct w:val="0"/>
                    <w:autoSpaceDE/>
                    <w:autoSpaceDN/>
                    <w:bidi w:val="0"/>
                    <w:adjustRightInd/>
                    <w:snapToGrid/>
                    <w:ind w:firstLine="0" w:firstLineChars="0"/>
                    <w:jc w:val="center"/>
                    <w:rPr>
                      <w:rFonts w:hint="default" w:ascii="Times New Roman" w:hAnsi="Times New Roman" w:eastAsia="宋体" w:cs="Times New Roman"/>
                      <w:color w:val="auto"/>
                      <w:sz w:val="21"/>
                      <w:szCs w:val="21"/>
                      <w:u w:val="none" w:color="auto"/>
                    </w:rPr>
                  </w:pPr>
                </w:p>
              </w:tc>
              <w:tc>
                <w:tcPr>
                  <w:tcW w:w="569" w:type="pct"/>
                  <w:tcBorders>
                    <w:top w:val="single" w:color="auto" w:sz="4" w:space="0"/>
                    <w:left w:val="nil"/>
                    <w:right w:val="single" w:color="auto" w:sz="4" w:space="0"/>
                  </w:tcBorders>
                  <w:vAlign w:val="center"/>
                </w:tcPr>
                <w:p w14:paraId="38FB4DAE">
                  <w:pPr>
                    <w:pStyle w:val="13"/>
                    <w:keepNext w:val="0"/>
                    <w:keepLines w:val="0"/>
                    <w:pageBreakBefore w:val="0"/>
                    <w:kinsoku/>
                    <w:wordWrap/>
                    <w:overflowPunct/>
                    <w:topLinePunct w:val="0"/>
                    <w:autoSpaceDE/>
                    <w:autoSpaceDN/>
                    <w:bidi w:val="0"/>
                    <w:adjustRightInd/>
                    <w:snapToGrid/>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溴水</w:t>
                  </w:r>
                </w:p>
              </w:tc>
              <w:tc>
                <w:tcPr>
                  <w:tcW w:w="1161" w:type="pct"/>
                  <w:tcBorders>
                    <w:top w:val="single" w:color="auto" w:sz="4" w:space="0"/>
                    <w:left w:val="nil"/>
                    <w:right w:val="single" w:color="auto" w:sz="4" w:space="0"/>
                  </w:tcBorders>
                  <w:vAlign w:val="center"/>
                </w:tcPr>
                <w:p w14:paraId="5BACFFFD">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0.0002</w:t>
                  </w:r>
                </w:p>
              </w:tc>
              <w:tc>
                <w:tcPr>
                  <w:tcW w:w="727" w:type="pct"/>
                  <w:tcBorders>
                    <w:top w:val="single" w:color="auto" w:sz="4" w:space="0"/>
                    <w:left w:val="nil"/>
                    <w:right w:val="single" w:color="auto" w:sz="4" w:space="0"/>
                  </w:tcBorders>
                  <w:vAlign w:val="center"/>
                </w:tcPr>
                <w:p w14:paraId="02C51C65">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w:t>
                  </w:r>
                </w:p>
              </w:tc>
              <w:tc>
                <w:tcPr>
                  <w:tcW w:w="1758" w:type="pct"/>
                  <w:tcBorders>
                    <w:top w:val="single" w:color="auto" w:sz="4" w:space="0"/>
                    <w:left w:val="nil"/>
                    <w:right w:val="single" w:color="auto" w:sz="4" w:space="0"/>
                  </w:tcBorders>
                  <w:vAlign w:val="center"/>
                </w:tcPr>
                <w:p w14:paraId="2D1896EC">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0.00008</w:t>
                  </w:r>
                </w:p>
              </w:tc>
            </w:tr>
            <w:tr w14:paraId="1A675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2" w:type="pct"/>
                  <w:vMerge w:val="continue"/>
                  <w:tcBorders>
                    <w:left w:val="single" w:color="auto" w:sz="4" w:space="0"/>
                    <w:right w:val="single" w:color="auto" w:sz="4" w:space="0"/>
                  </w:tcBorders>
                  <w:vAlign w:val="center"/>
                </w:tcPr>
                <w:p w14:paraId="53AB40C0">
                  <w:pPr>
                    <w:keepNext w:val="0"/>
                    <w:keepLines w:val="0"/>
                    <w:pageBreakBefore w:val="0"/>
                    <w:kinsoku/>
                    <w:wordWrap/>
                    <w:overflowPunct/>
                    <w:topLinePunct w:val="0"/>
                    <w:autoSpaceDE/>
                    <w:autoSpaceDN/>
                    <w:bidi w:val="0"/>
                    <w:adjustRightInd/>
                    <w:snapToGrid/>
                    <w:ind w:firstLine="0" w:firstLineChars="0"/>
                    <w:jc w:val="center"/>
                    <w:rPr>
                      <w:rFonts w:hint="default" w:ascii="Times New Roman" w:hAnsi="Times New Roman" w:eastAsia="宋体" w:cs="Times New Roman"/>
                      <w:color w:val="auto"/>
                      <w:sz w:val="21"/>
                      <w:szCs w:val="21"/>
                      <w:u w:val="none" w:color="auto"/>
                    </w:rPr>
                  </w:pPr>
                </w:p>
              </w:tc>
              <w:tc>
                <w:tcPr>
                  <w:tcW w:w="569" w:type="pct"/>
                  <w:tcBorders>
                    <w:top w:val="single" w:color="auto" w:sz="4" w:space="0"/>
                    <w:left w:val="nil"/>
                    <w:right w:val="single" w:color="auto" w:sz="4" w:space="0"/>
                  </w:tcBorders>
                  <w:vAlign w:val="center"/>
                </w:tcPr>
                <w:p w14:paraId="2CEDFBEC">
                  <w:pPr>
                    <w:pStyle w:val="13"/>
                    <w:keepNext w:val="0"/>
                    <w:keepLines w:val="0"/>
                    <w:pageBreakBefore w:val="0"/>
                    <w:kinsoku/>
                    <w:wordWrap/>
                    <w:overflowPunct/>
                    <w:topLinePunct w:val="0"/>
                    <w:autoSpaceDE/>
                    <w:autoSpaceDN/>
                    <w:bidi w:val="0"/>
                    <w:adjustRightInd/>
                    <w:snapToGrid/>
                    <w:ind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val="en-US" w:eastAsia="zh-CN"/>
                    </w:rPr>
                    <w:t>柴油</w:t>
                  </w:r>
                </w:p>
              </w:tc>
              <w:tc>
                <w:tcPr>
                  <w:tcW w:w="1161" w:type="pct"/>
                  <w:tcBorders>
                    <w:top w:val="single" w:color="auto" w:sz="4" w:space="0"/>
                    <w:left w:val="nil"/>
                    <w:right w:val="single" w:color="auto" w:sz="4" w:space="0"/>
                  </w:tcBorders>
                  <w:vAlign w:val="center"/>
                </w:tcPr>
                <w:p w14:paraId="786CB60D">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0.5</w:t>
                  </w:r>
                </w:p>
              </w:tc>
              <w:tc>
                <w:tcPr>
                  <w:tcW w:w="727" w:type="pct"/>
                  <w:tcBorders>
                    <w:top w:val="single" w:color="auto" w:sz="4" w:space="0"/>
                    <w:left w:val="nil"/>
                    <w:right w:val="single" w:color="auto" w:sz="4" w:space="0"/>
                  </w:tcBorders>
                  <w:vAlign w:val="center"/>
                </w:tcPr>
                <w:p w14:paraId="7DF2D168">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2500</w:t>
                  </w:r>
                </w:p>
              </w:tc>
              <w:tc>
                <w:tcPr>
                  <w:tcW w:w="1758" w:type="pct"/>
                  <w:tcBorders>
                    <w:top w:val="single" w:color="auto" w:sz="4" w:space="0"/>
                    <w:left w:val="nil"/>
                    <w:right w:val="single" w:color="auto" w:sz="4" w:space="0"/>
                  </w:tcBorders>
                  <w:vAlign w:val="center"/>
                </w:tcPr>
                <w:p w14:paraId="794C3E76">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0.0002</w:t>
                  </w:r>
                </w:p>
              </w:tc>
            </w:tr>
            <w:tr w14:paraId="31979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2" w:type="pct"/>
                  <w:vMerge w:val="continue"/>
                  <w:tcBorders>
                    <w:left w:val="single" w:color="auto" w:sz="4" w:space="0"/>
                    <w:right w:val="single" w:color="auto" w:sz="4" w:space="0"/>
                  </w:tcBorders>
                  <w:vAlign w:val="center"/>
                </w:tcPr>
                <w:p w14:paraId="07C88452">
                  <w:pPr>
                    <w:keepNext w:val="0"/>
                    <w:keepLines w:val="0"/>
                    <w:pageBreakBefore w:val="0"/>
                    <w:kinsoku/>
                    <w:wordWrap/>
                    <w:overflowPunct/>
                    <w:topLinePunct w:val="0"/>
                    <w:autoSpaceDE/>
                    <w:autoSpaceDN/>
                    <w:bidi w:val="0"/>
                    <w:adjustRightInd/>
                    <w:snapToGrid/>
                    <w:ind w:firstLine="0" w:firstLineChars="0"/>
                    <w:jc w:val="center"/>
                    <w:rPr>
                      <w:rFonts w:hint="default" w:ascii="Times New Roman" w:hAnsi="Times New Roman" w:eastAsia="宋体" w:cs="Times New Roman"/>
                      <w:color w:val="auto"/>
                      <w:sz w:val="21"/>
                      <w:szCs w:val="21"/>
                      <w:u w:val="none" w:color="auto"/>
                    </w:rPr>
                  </w:pPr>
                </w:p>
              </w:tc>
              <w:tc>
                <w:tcPr>
                  <w:tcW w:w="569" w:type="pct"/>
                  <w:tcBorders>
                    <w:top w:val="single" w:color="auto" w:sz="4" w:space="0"/>
                    <w:left w:val="nil"/>
                    <w:right w:val="single" w:color="auto" w:sz="4" w:space="0"/>
                  </w:tcBorders>
                  <w:vAlign w:val="center"/>
                </w:tcPr>
                <w:p w14:paraId="090A1C1C">
                  <w:pPr>
                    <w:pStyle w:val="13"/>
                    <w:keepNext w:val="0"/>
                    <w:keepLines w:val="0"/>
                    <w:pageBreakBefore w:val="0"/>
                    <w:kinsoku/>
                    <w:wordWrap/>
                    <w:overflowPunct/>
                    <w:topLinePunct w:val="0"/>
                    <w:autoSpaceDE/>
                    <w:autoSpaceDN/>
                    <w:bidi w:val="0"/>
                    <w:adjustRightInd/>
                    <w:snapToGrid/>
                    <w:ind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危险废物</w:t>
                  </w:r>
                </w:p>
              </w:tc>
              <w:tc>
                <w:tcPr>
                  <w:tcW w:w="1161" w:type="pct"/>
                  <w:tcBorders>
                    <w:top w:val="single" w:color="auto" w:sz="4" w:space="0"/>
                    <w:left w:val="nil"/>
                    <w:right w:val="single" w:color="auto" w:sz="4" w:space="0"/>
                  </w:tcBorders>
                  <w:vAlign w:val="center"/>
                </w:tcPr>
                <w:p w14:paraId="06DEF2C6">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0.84</w:t>
                  </w:r>
                </w:p>
              </w:tc>
              <w:tc>
                <w:tcPr>
                  <w:tcW w:w="727" w:type="pct"/>
                  <w:tcBorders>
                    <w:top w:val="single" w:color="auto" w:sz="4" w:space="0"/>
                    <w:left w:val="nil"/>
                    <w:right w:val="single" w:color="auto" w:sz="4" w:space="0"/>
                  </w:tcBorders>
                  <w:vAlign w:val="center"/>
                </w:tcPr>
                <w:p w14:paraId="223E1A57">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50</w:t>
                  </w:r>
                </w:p>
              </w:tc>
              <w:tc>
                <w:tcPr>
                  <w:tcW w:w="1758" w:type="pct"/>
                  <w:tcBorders>
                    <w:top w:val="single" w:color="auto" w:sz="4" w:space="0"/>
                    <w:left w:val="nil"/>
                    <w:right w:val="single" w:color="auto" w:sz="4" w:space="0"/>
                  </w:tcBorders>
                  <w:vAlign w:val="center"/>
                </w:tcPr>
                <w:p w14:paraId="46105844">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0.0168</w:t>
                  </w:r>
                </w:p>
              </w:tc>
            </w:tr>
            <w:tr w14:paraId="0C367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41" w:type="pct"/>
                  <w:gridSpan w:val="4"/>
                  <w:tcBorders>
                    <w:top w:val="single" w:color="auto" w:sz="4" w:space="0"/>
                    <w:left w:val="single" w:color="auto" w:sz="4" w:space="0"/>
                    <w:bottom w:val="single" w:color="auto" w:sz="4" w:space="0"/>
                    <w:right w:val="single" w:color="auto" w:sz="4" w:space="0"/>
                  </w:tcBorders>
                  <w:vAlign w:val="center"/>
                </w:tcPr>
                <w:p w14:paraId="1A453D2F">
                  <w:pPr>
                    <w:pStyle w:val="13"/>
                    <w:keepNext w:val="0"/>
                    <w:keepLines w:val="0"/>
                    <w:pageBreakBefore w:val="0"/>
                    <w:kinsoku/>
                    <w:wordWrap/>
                    <w:overflowPunct/>
                    <w:topLinePunct w:val="0"/>
                    <w:autoSpaceDE/>
                    <w:autoSpaceDN/>
                    <w:bidi w:val="0"/>
                    <w:adjustRightInd/>
                    <w:snapToGrid/>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合计</w:t>
                  </w:r>
                </w:p>
              </w:tc>
              <w:tc>
                <w:tcPr>
                  <w:tcW w:w="1758" w:type="pct"/>
                  <w:tcBorders>
                    <w:top w:val="single" w:color="auto" w:sz="4" w:space="0"/>
                    <w:left w:val="nil"/>
                    <w:bottom w:val="single" w:color="auto" w:sz="4" w:space="0"/>
                    <w:right w:val="single" w:color="auto" w:sz="4" w:space="0"/>
                  </w:tcBorders>
                  <w:vAlign w:val="center"/>
                </w:tcPr>
                <w:p w14:paraId="1754C0CF">
                  <w:pPr>
                    <w:pStyle w:val="13"/>
                    <w:keepNext w:val="0"/>
                    <w:keepLines w:val="0"/>
                    <w:pageBreakBefore w:val="0"/>
                    <w:kinsoku/>
                    <w:wordWrap/>
                    <w:overflowPunct/>
                    <w:topLinePunct w:val="0"/>
                    <w:autoSpaceDE/>
                    <w:autoSpaceDN/>
                    <w:bidi w:val="0"/>
                    <w:adjustRightInd/>
                    <w:snapToGrid/>
                    <w:ind w:firstLine="0" w:firstLineChars="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0.01742</w:t>
                  </w:r>
                </w:p>
              </w:tc>
            </w:tr>
          </w:tbl>
          <w:p w14:paraId="4B9BD7FA">
            <w:pPr>
              <w:tabs>
                <w:tab w:val="left" w:pos="1081"/>
              </w:tabs>
              <w:adjustRightInd w:val="0"/>
              <w:snapToGrid w:val="0"/>
              <w:spacing w:line="360" w:lineRule="auto"/>
              <w:ind w:firstLine="480" w:firstLineChars="200"/>
              <w:rPr>
                <w:color w:val="auto"/>
                <w:sz w:val="24"/>
                <w:u w:val="none" w:color="auto"/>
              </w:rPr>
            </w:pPr>
            <w:r>
              <w:rPr>
                <w:color w:val="auto"/>
                <w:sz w:val="24"/>
                <w:u w:val="none" w:color="auto"/>
              </w:rPr>
              <w:t xml:space="preserve"> 根据计算结果，Q=</w:t>
            </w:r>
            <w:r>
              <w:rPr>
                <w:rFonts w:hint="eastAsia"/>
                <w:color w:val="auto"/>
                <w:sz w:val="24"/>
                <w:u w:val="none" w:color="auto"/>
                <w:lang w:val="en-US" w:eastAsia="zh-CN"/>
              </w:rPr>
              <w:t>0.01742</w:t>
            </w:r>
            <w:r>
              <w:rPr>
                <w:color w:val="auto"/>
                <w:sz w:val="24"/>
                <w:u w:val="none" w:color="auto"/>
              </w:rPr>
              <w:t>＜1，因此本项目的环境风险潜势为Ⅰ。</w:t>
            </w:r>
          </w:p>
          <w:p w14:paraId="5BAF5727">
            <w:pPr>
              <w:tabs>
                <w:tab w:val="left" w:pos="1081"/>
              </w:tabs>
              <w:adjustRightInd w:val="0"/>
              <w:snapToGrid w:val="0"/>
              <w:spacing w:line="360" w:lineRule="auto"/>
              <w:ind w:firstLine="480" w:firstLineChars="200"/>
              <w:rPr>
                <w:color w:val="auto"/>
                <w:sz w:val="24"/>
                <w:u w:val="none" w:color="auto"/>
              </w:rPr>
            </w:pPr>
            <w:r>
              <w:rPr>
                <w:color w:val="auto"/>
                <w:sz w:val="24"/>
                <w:u w:val="none" w:color="auto"/>
              </w:rPr>
              <w:t>（3）评价等级</w:t>
            </w:r>
          </w:p>
          <w:p w14:paraId="7A2E0F01">
            <w:pPr>
              <w:tabs>
                <w:tab w:val="left" w:pos="1081"/>
              </w:tabs>
              <w:adjustRightInd w:val="0"/>
              <w:snapToGrid w:val="0"/>
              <w:spacing w:line="360" w:lineRule="auto"/>
              <w:ind w:firstLine="480" w:firstLineChars="200"/>
              <w:rPr>
                <w:color w:val="auto"/>
                <w:sz w:val="24"/>
                <w:u w:val="none" w:color="auto"/>
              </w:rPr>
            </w:pPr>
            <w:r>
              <w:rPr>
                <w:color w:val="auto"/>
                <w:sz w:val="24"/>
                <w:u w:val="none" w:color="auto"/>
              </w:rPr>
              <w:t>根据</w:t>
            </w:r>
            <w:r>
              <w:rPr>
                <w:color w:val="auto"/>
                <w:sz w:val="24"/>
                <w:u w:val="none" w:color="auto"/>
                <w:lang w:val="en-GB"/>
              </w:rPr>
              <w:t>《建设项目环境风险评价技术导则》</w:t>
            </w:r>
            <w:r>
              <w:rPr>
                <w:color w:val="auto"/>
                <w:sz w:val="24"/>
                <w:u w:val="none" w:color="auto"/>
              </w:rPr>
              <w:t>（HJ169-2018）规定，环境风险评价工作等级划分见下表。</w:t>
            </w:r>
          </w:p>
          <w:p w14:paraId="736ED38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4"/>
                <w:szCs w:val="24"/>
                <w:highlight w:val="none"/>
                <w:u w:val="none" w:color="auto"/>
                <w:lang w:val="en-US" w:eastAsia="zh-CN" w:bidi="ar-SA"/>
              </w:rPr>
            </w:pPr>
            <w:r>
              <w:rPr>
                <w:rFonts w:hint="default" w:ascii="Times New Roman" w:hAnsi="Times New Roman" w:eastAsia="宋体" w:cs="Times New Roman"/>
                <w:b/>
                <w:bCs/>
                <w:color w:val="auto"/>
                <w:kern w:val="2"/>
                <w:sz w:val="24"/>
                <w:szCs w:val="24"/>
                <w:highlight w:val="none"/>
                <w:u w:val="none" w:color="auto"/>
                <w:lang w:val="en-US" w:eastAsia="zh-CN" w:bidi="ar-SA"/>
              </w:rPr>
              <w:t>表4-</w:t>
            </w:r>
            <w:r>
              <w:rPr>
                <w:rFonts w:hint="eastAsia" w:ascii="Times New Roman" w:hAnsi="Times New Roman" w:eastAsia="宋体" w:cs="Times New Roman"/>
                <w:b/>
                <w:bCs/>
                <w:color w:val="auto"/>
                <w:kern w:val="2"/>
                <w:sz w:val="24"/>
                <w:szCs w:val="24"/>
                <w:highlight w:val="none"/>
                <w:u w:val="none" w:color="auto"/>
                <w:lang w:val="en-US" w:eastAsia="zh-CN" w:bidi="ar-SA"/>
              </w:rPr>
              <w:t>22</w:t>
            </w:r>
            <w:r>
              <w:rPr>
                <w:rFonts w:hint="default" w:ascii="Times New Roman" w:hAnsi="Times New Roman" w:eastAsia="宋体" w:cs="Times New Roman"/>
                <w:b/>
                <w:bCs/>
                <w:color w:val="auto"/>
                <w:kern w:val="2"/>
                <w:sz w:val="24"/>
                <w:szCs w:val="24"/>
                <w:highlight w:val="none"/>
                <w:u w:val="none" w:color="auto"/>
                <w:lang w:val="en-US" w:eastAsia="zh-CN" w:bidi="ar-SA"/>
              </w:rPr>
              <w:t xml:space="preserve">       评价工作等级划分表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1"/>
              <w:gridCol w:w="1911"/>
              <w:gridCol w:w="1591"/>
              <w:gridCol w:w="1528"/>
              <w:gridCol w:w="2014"/>
            </w:tblGrid>
            <w:tr w14:paraId="25A7B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6" w:type="pct"/>
                  <w:vAlign w:val="center"/>
                </w:tcPr>
                <w:p w14:paraId="2767FBFE">
                  <w:pPr>
                    <w:jc w:val="center"/>
                    <w:rPr>
                      <w:color w:val="auto"/>
                      <w:szCs w:val="21"/>
                      <w:u w:val="none" w:color="auto"/>
                    </w:rPr>
                  </w:pPr>
                  <w:r>
                    <w:rPr>
                      <w:color w:val="auto"/>
                      <w:szCs w:val="21"/>
                      <w:u w:val="none" w:color="auto"/>
                    </w:rPr>
                    <w:t>环境风险潜势</w:t>
                  </w:r>
                </w:p>
              </w:tc>
              <w:tc>
                <w:tcPr>
                  <w:tcW w:w="1048" w:type="pct"/>
                  <w:vAlign w:val="center"/>
                </w:tcPr>
                <w:p w14:paraId="6BCA0D66">
                  <w:pPr>
                    <w:jc w:val="center"/>
                    <w:rPr>
                      <w:color w:val="auto"/>
                      <w:szCs w:val="21"/>
                      <w:u w:val="none" w:color="auto"/>
                    </w:rPr>
                  </w:pPr>
                  <w:r>
                    <w:rPr>
                      <w:color w:val="auto"/>
                      <w:szCs w:val="21"/>
                      <w:u w:val="none" w:color="auto"/>
                    </w:rPr>
                    <w:t>Ⅳ、Ⅳ</w:t>
                  </w:r>
                  <w:r>
                    <w:rPr>
                      <w:color w:val="auto"/>
                      <w:szCs w:val="21"/>
                      <w:u w:val="none" w:color="auto"/>
                      <w:vertAlign w:val="superscript"/>
                    </w:rPr>
                    <w:t>+</w:t>
                  </w:r>
                </w:p>
              </w:tc>
              <w:tc>
                <w:tcPr>
                  <w:tcW w:w="873" w:type="pct"/>
                  <w:vAlign w:val="center"/>
                </w:tcPr>
                <w:p w14:paraId="6052299C">
                  <w:pPr>
                    <w:jc w:val="center"/>
                    <w:rPr>
                      <w:color w:val="auto"/>
                      <w:szCs w:val="21"/>
                      <w:u w:val="none" w:color="auto"/>
                    </w:rPr>
                  </w:pPr>
                  <w:r>
                    <w:rPr>
                      <w:color w:val="auto"/>
                      <w:szCs w:val="21"/>
                      <w:u w:val="none" w:color="auto"/>
                    </w:rPr>
                    <w:t>Ⅲ</w:t>
                  </w:r>
                </w:p>
              </w:tc>
              <w:tc>
                <w:tcPr>
                  <w:tcW w:w="838" w:type="pct"/>
                  <w:vAlign w:val="center"/>
                </w:tcPr>
                <w:p w14:paraId="56F26517">
                  <w:pPr>
                    <w:jc w:val="center"/>
                    <w:rPr>
                      <w:color w:val="auto"/>
                      <w:szCs w:val="21"/>
                      <w:u w:val="none" w:color="auto"/>
                    </w:rPr>
                  </w:pPr>
                  <w:r>
                    <w:rPr>
                      <w:color w:val="auto"/>
                      <w:szCs w:val="21"/>
                      <w:u w:val="none" w:color="auto"/>
                    </w:rPr>
                    <w:t>Ⅱ</w:t>
                  </w:r>
                </w:p>
              </w:tc>
              <w:tc>
                <w:tcPr>
                  <w:tcW w:w="1102" w:type="pct"/>
                  <w:vAlign w:val="center"/>
                </w:tcPr>
                <w:p w14:paraId="37E1D39C">
                  <w:pPr>
                    <w:jc w:val="center"/>
                    <w:rPr>
                      <w:color w:val="auto"/>
                      <w:szCs w:val="21"/>
                      <w:u w:val="none" w:color="auto"/>
                    </w:rPr>
                  </w:pPr>
                  <w:r>
                    <w:rPr>
                      <w:color w:val="auto"/>
                      <w:szCs w:val="21"/>
                      <w:u w:val="none" w:color="auto"/>
                    </w:rPr>
                    <w:t>Ⅰ</w:t>
                  </w:r>
                </w:p>
              </w:tc>
            </w:tr>
            <w:tr w14:paraId="76DA7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6" w:type="pct"/>
                  <w:vAlign w:val="center"/>
                </w:tcPr>
                <w:p w14:paraId="2C5AF010">
                  <w:pPr>
                    <w:jc w:val="center"/>
                    <w:rPr>
                      <w:color w:val="auto"/>
                      <w:szCs w:val="21"/>
                      <w:u w:val="none" w:color="auto"/>
                    </w:rPr>
                  </w:pPr>
                  <w:r>
                    <w:rPr>
                      <w:color w:val="auto"/>
                      <w:szCs w:val="21"/>
                      <w:u w:val="none" w:color="auto"/>
                    </w:rPr>
                    <w:t>评级工作等级</w:t>
                  </w:r>
                </w:p>
              </w:tc>
              <w:tc>
                <w:tcPr>
                  <w:tcW w:w="1048" w:type="pct"/>
                  <w:vAlign w:val="center"/>
                </w:tcPr>
                <w:p w14:paraId="63FD0B6F">
                  <w:pPr>
                    <w:jc w:val="center"/>
                    <w:rPr>
                      <w:color w:val="auto"/>
                      <w:szCs w:val="21"/>
                      <w:u w:val="none" w:color="auto"/>
                    </w:rPr>
                  </w:pPr>
                  <w:r>
                    <w:rPr>
                      <w:color w:val="auto"/>
                      <w:szCs w:val="21"/>
                      <w:u w:val="none" w:color="auto"/>
                    </w:rPr>
                    <w:t>一</w:t>
                  </w:r>
                </w:p>
              </w:tc>
              <w:tc>
                <w:tcPr>
                  <w:tcW w:w="873" w:type="pct"/>
                  <w:vAlign w:val="center"/>
                </w:tcPr>
                <w:p w14:paraId="738C1CD8">
                  <w:pPr>
                    <w:jc w:val="center"/>
                    <w:rPr>
                      <w:color w:val="auto"/>
                      <w:szCs w:val="21"/>
                      <w:u w:val="none" w:color="auto"/>
                    </w:rPr>
                  </w:pPr>
                  <w:r>
                    <w:rPr>
                      <w:color w:val="auto"/>
                      <w:szCs w:val="21"/>
                      <w:u w:val="none" w:color="auto"/>
                    </w:rPr>
                    <w:t>二</w:t>
                  </w:r>
                </w:p>
              </w:tc>
              <w:tc>
                <w:tcPr>
                  <w:tcW w:w="838" w:type="pct"/>
                  <w:vAlign w:val="center"/>
                </w:tcPr>
                <w:p w14:paraId="729CB0F6">
                  <w:pPr>
                    <w:jc w:val="center"/>
                    <w:rPr>
                      <w:color w:val="auto"/>
                      <w:szCs w:val="21"/>
                      <w:u w:val="none" w:color="auto"/>
                    </w:rPr>
                  </w:pPr>
                  <w:r>
                    <w:rPr>
                      <w:color w:val="auto"/>
                      <w:szCs w:val="21"/>
                      <w:u w:val="none" w:color="auto"/>
                    </w:rPr>
                    <w:t>三</w:t>
                  </w:r>
                </w:p>
              </w:tc>
              <w:tc>
                <w:tcPr>
                  <w:tcW w:w="1102" w:type="pct"/>
                  <w:vAlign w:val="center"/>
                </w:tcPr>
                <w:p w14:paraId="6261A6F6">
                  <w:pPr>
                    <w:jc w:val="center"/>
                    <w:rPr>
                      <w:color w:val="auto"/>
                      <w:szCs w:val="21"/>
                      <w:u w:val="none" w:color="auto"/>
                    </w:rPr>
                  </w:pPr>
                  <w:r>
                    <w:rPr>
                      <w:color w:val="auto"/>
                      <w:szCs w:val="21"/>
                      <w:u w:val="none" w:color="auto"/>
                    </w:rPr>
                    <w:t>简单分析</w:t>
                  </w:r>
                  <w:r>
                    <w:rPr>
                      <w:color w:val="auto"/>
                      <w:szCs w:val="21"/>
                      <w:u w:val="none" w:color="auto"/>
                      <w:vertAlign w:val="superscript"/>
                    </w:rPr>
                    <w:t>a</w:t>
                  </w:r>
                </w:p>
              </w:tc>
            </w:tr>
            <w:tr w14:paraId="4480A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5"/>
                  <w:vAlign w:val="center"/>
                </w:tcPr>
                <w:p w14:paraId="5193AF96">
                  <w:pPr>
                    <w:jc w:val="center"/>
                    <w:rPr>
                      <w:color w:val="auto"/>
                      <w:szCs w:val="21"/>
                      <w:u w:val="none" w:color="auto"/>
                    </w:rPr>
                  </w:pPr>
                  <w:r>
                    <w:rPr>
                      <w:color w:val="auto"/>
                      <w:szCs w:val="21"/>
                      <w:u w:val="none" w:color="auto"/>
                    </w:rPr>
                    <w:t>a 是相对于详细评价工作内容而言，在描述危险物质、环境影响途径、环境危害后果、风险防范措施等方面给出定性的说明。</w:t>
                  </w:r>
                </w:p>
              </w:tc>
            </w:tr>
          </w:tbl>
          <w:p w14:paraId="6D14082C">
            <w:pPr>
              <w:tabs>
                <w:tab w:val="left" w:pos="1081"/>
              </w:tabs>
              <w:adjustRightInd w:val="0"/>
              <w:snapToGrid w:val="0"/>
              <w:spacing w:line="360" w:lineRule="auto"/>
              <w:ind w:firstLine="480" w:firstLineChars="200"/>
              <w:rPr>
                <w:color w:val="auto"/>
                <w:sz w:val="24"/>
                <w:u w:val="none" w:color="auto"/>
              </w:rPr>
            </w:pPr>
            <w:r>
              <w:rPr>
                <w:color w:val="auto"/>
                <w:sz w:val="24"/>
                <w:u w:val="none" w:color="auto"/>
              </w:rPr>
              <w:t>由于本项目环境风险潜势为Ⅰ，根据上表可知，本次仅需对项目环境风险进行简单分析。</w:t>
            </w:r>
          </w:p>
          <w:p w14:paraId="0CB5644F">
            <w:pPr>
              <w:tabs>
                <w:tab w:val="left" w:pos="1081"/>
              </w:tabs>
              <w:adjustRightInd w:val="0"/>
              <w:snapToGrid w:val="0"/>
              <w:spacing w:line="360" w:lineRule="auto"/>
              <w:ind w:firstLine="480" w:firstLineChars="200"/>
              <w:rPr>
                <w:color w:val="auto"/>
                <w:sz w:val="24"/>
                <w:u w:val="none" w:color="auto"/>
              </w:rPr>
            </w:pPr>
            <w:r>
              <w:rPr>
                <w:color w:val="auto"/>
                <w:sz w:val="24"/>
                <w:u w:val="none" w:color="auto"/>
              </w:rPr>
              <w:t>7.2环境敏感目标概况</w:t>
            </w:r>
          </w:p>
          <w:p w14:paraId="5D3D6926">
            <w:pPr>
              <w:tabs>
                <w:tab w:val="left" w:pos="1081"/>
              </w:tabs>
              <w:adjustRightInd w:val="0"/>
              <w:snapToGrid w:val="0"/>
              <w:spacing w:line="360" w:lineRule="auto"/>
              <w:ind w:firstLine="480" w:firstLineChars="200"/>
              <w:rPr>
                <w:color w:val="auto"/>
                <w:sz w:val="24"/>
                <w:u w:val="none" w:color="auto"/>
              </w:rPr>
            </w:pPr>
            <w:r>
              <w:rPr>
                <w:color w:val="auto"/>
                <w:sz w:val="24"/>
                <w:u w:val="none" w:color="auto"/>
              </w:rPr>
              <w:t>经现场调查，本项目周围主要环境敏感目标见下表。</w:t>
            </w:r>
          </w:p>
          <w:p w14:paraId="709EAF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4"/>
                <w:szCs w:val="24"/>
                <w:highlight w:val="none"/>
                <w:u w:val="none" w:color="auto"/>
                <w:lang w:val="en-US" w:eastAsia="zh-CN" w:bidi="ar-SA"/>
              </w:rPr>
            </w:pPr>
            <w:r>
              <w:rPr>
                <w:rFonts w:hint="default" w:ascii="Times New Roman" w:hAnsi="Times New Roman" w:eastAsia="宋体" w:cs="Times New Roman"/>
                <w:b/>
                <w:bCs/>
                <w:color w:val="auto"/>
                <w:kern w:val="2"/>
                <w:sz w:val="24"/>
                <w:szCs w:val="24"/>
                <w:highlight w:val="none"/>
                <w:u w:val="none" w:color="auto"/>
                <w:lang w:val="en-US" w:eastAsia="zh-CN" w:bidi="ar-SA"/>
              </w:rPr>
              <w:t>表4-</w:t>
            </w:r>
            <w:r>
              <w:rPr>
                <w:rFonts w:hint="eastAsia" w:ascii="Times New Roman" w:hAnsi="Times New Roman" w:eastAsia="宋体" w:cs="Times New Roman"/>
                <w:b/>
                <w:bCs/>
                <w:color w:val="auto"/>
                <w:kern w:val="2"/>
                <w:sz w:val="24"/>
                <w:szCs w:val="24"/>
                <w:highlight w:val="none"/>
                <w:u w:val="none" w:color="auto"/>
                <w:lang w:val="en-US" w:eastAsia="zh-CN" w:bidi="ar-SA"/>
              </w:rPr>
              <w:t>23</w:t>
            </w:r>
            <w:r>
              <w:rPr>
                <w:rFonts w:hint="default" w:ascii="Times New Roman" w:hAnsi="Times New Roman" w:eastAsia="宋体" w:cs="Times New Roman"/>
                <w:b/>
                <w:bCs/>
                <w:color w:val="auto"/>
                <w:kern w:val="2"/>
                <w:sz w:val="24"/>
                <w:szCs w:val="24"/>
                <w:highlight w:val="none"/>
                <w:u w:val="none" w:color="auto"/>
                <w:lang w:val="en-US" w:eastAsia="zh-CN" w:bidi="ar-SA"/>
              </w:rPr>
              <w:t xml:space="preserve">     项目周边环境保护目标一览表</w:t>
            </w:r>
          </w:p>
          <w:tbl>
            <w:tblPr>
              <w:tblStyle w:val="35"/>
              <w:tblW w:w="486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7"/>
              <w:gridCol w:w="1811"/>
              <w:gridCol w:w="1611"/>
              <w:gridCol w:w="1847"/>
              <w:gridCol w:w="2413"/>
            </w:tblGrid>
            <w:tr w14:paraId="00830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tcBorders>
                    <w:top w:val="single" w:color="auto" w:sz="4" w:space="0"/>
                    <w:left w:val="single" w:color="auto" w:sz="4" w:space="0"/>
                    <w:bottom w:val="single" w:color="auto" w:sz="4" w:space="0"/>
                    <w:right w:val="single" w:color="auto" w:sz="4" w:space="0"/>
                  </w:tcBorders>
                  <w:noWrap w:val="0"/>
                  <w:vAlign w:val="center"/>
                </w:tcPr>
                <w:p w14:paraId="3C3874C6">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lang w:eastAsia="zh-TW"/>
                    </w:rPr>
                    <w:t>环境因素</w:t>
                  </w:r>
                </w:p>
              </w:tc>
              <w:tc>
                <w:tcPr>
                  <w:tcW w:w="1021" w:type="pct"/>
                  <w:tcBorders>
                    <w:top w:val="single" w:color="auto" w:sz="4" w:space="0"/>
                    <w:left w:val="single" w:color="auto" w:sz="4" w:space="0"/>
                    <w:bottom w:val="single" w:color="auto" w:sz="4" w:space="0"/>
                    <w:right w:val="single" w:color="auto" w:sz="4" w:space="0"/>
                  </w:tcBorders>
                  <w:noWrap w:val="0"/>
                  <w:vAlign w:val="center"/>
                </w:tcPr>
                <w:p w14:paraId="73AE30BC">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lang w:eastAsia="zh-TW"/>
                    </w:rPr>
                    <w:t>保护目标</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11800772">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方位</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56379010">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距</w:t>
                  </w:r>
                  <w:r>
                    <w:rPr>
                      <w:rFonts w:hint="eastAsia" w:cs="Times New Roman"/>
                      <w:color w:val="auto"/>
                      <w:szCs w:val="21"/>
                      <w:u w:val="none" w:color="auto"/>
                      <w:lang w:eastAsia="zh-CN"/>
                    </w:rPr>
                    <w:t>校界</w:t>
                  </w:r>
                  <w:r>
                    <w:rPr>
                      <w:rFonts w:hint="default" w:ascii="Times New Roman" w:hAnsi="Times New Roman" w:cs="Times New Roman"/>
                      <w:color w:val="auto"/>
                      <w:szCs w:val="21"/>
                      <w:u w:val="none" w:color="auto"/>
                      <w:lang w:eastAsia="zh-TW"/>
                    </w:rPr>
                    <w:t>距离</w:t>
                  </w:r>
                </w:p>
              </w:tc>
              <w:tc>
                <w:tcPr>
                  <w:tcW w:w="1359" w:type="pct"/>
                  <w:tcBorders>
                    <w:top w:val="single" w:color="auto" w:sz="4" w:space="0"/>
                    <w:left w:val="single" w:color="auto" w:sz="4" w:space="0"/>
                    <w:bottom w:val="single" w:color="auto" w:sz="4" w:space="0"/>
                    <w:right w:val="single" w:color="auto" w:sz="4" w:space="0"/>
                  </w:tcBorders>
                  <w:noWrap w:val="0"/>
                  <w:vAlign w:val="center"/>
                </w:tcPr>
                <w:p w14:paraId="4AAD8C3D">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lang w:eastAsia="zh-TW"/>
                    </w:rPr>
                    <w:t>保</w:t>
                  </w:r>
                  <w:r>
                    <w:rPr>
                      <w:rFonts w:hint="default" w:ascii="Times New Roman" w:hAnsi="Times New Roman" w:cs="Times New Roman"/>
                      <w:color w:val="auto"/>
                      <w:szCs w:val="21"/>
                      <w:u w:val="none" w:color="auto"/>
                    </w:rPr>
                    <w:t xml:space="preserve">  </w:t>
                  </w:r>
                  <w:r>
                    <w:rPr>
                      <w:rFonts w:hint="default" w:ascii="Times New Roman" w:hAnsi="Times New Roman" w:cs="Times New Roman"/>
                      <w:color w:val="auto"/>
                      <w:szCs w:val="21"/>
                      <w:u w:val="none" w:color="auto"/>
                      <w:lang w:eastAsia="zh-TW"/>
                    </w:rPr>
                    <w:t>护</w:t>
                  </w:r>
                  <w:r>
                    <w:rPr>
                      <w:rFonts w:hint="default" w:ascii="Times New Roman" w:hAnsi="Times New Roman" w:cs="Times New Roman"/>
                      <w:color w:val="auto"/>
                      <w:szCs w:val="21"/>
                      <w:u w:val="none" w:color="auto"/>
                    </w:rPr>
                    <w:t xml:space="preserve">  </w:t>
                  </w:r>
                  <w:r>
                    <w:rPr>
                      <w:rFonts w:hint="default" w:ascii="Times New Roman" w:hAnsi="Times New Roman" w:cs="Times New Roman"/>
                      <w:color w:val="auto"/>
                      <w:szCs w:val="21"/>
                      <w:u w:val="none" w:color="auto"/>
                      <w:lang w:eastAsia="zh-TW"/>
                    </w:rPr>
                    <w:t>级</w:t>
                  </w:r>
                  <w:r>
                    <w:rPr>
                      <w:rFonts w:hint="default" w:ascii="Times New Roman" w:hAnsi="Times New Roman" w:cs="Times New Roman"/>
                      <w:color w:val="auto"/>
                      <w:szCs w:val="21"/>
                      <w:u w:val="none" w:color="auto"/>
                    </w:rPr>
                    <w:t xml:space="preserve">  </w:t>
                  </w:r>
                  <w:r>
                    <w:rPr>
                      <w:rFonts w:hint="default" w:ascii="Times New Roman" w:hAnsi="Times New Roman" w:cs="Times New Roman"/>
                      <w:color w:val="auto"/>
                      <w:szCs w:val="21"/>
                      <w:u w:val="none" w:color="auto"/>
                      <w:lang w:eastAsia="zh-TW"/>
                    </w:rPr>
                    <w:t>别</w:t>
                  </w:r>
                </w:p>
              </w:tc>
            </w:tr>
            <w:tr w14:paraId="7216A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restart"/>
                  <w:tcBorders>
                    <w:top w:val="single" w:color="auto" w:sz="4" w:space="0"/>
                    <w:left w:val="single" w:color="auto" w:sz="4" w:space="0"/>
                    <w:right w:val="single" w:color="auto" w:sz="4" w:space="0"/>
                  </w:tcBorders>
                  <w:noWrap w:val="0"/>
                  <w:vAlign w:val="center"/>
                </w:tcPr>
                <w:p w14:paraId="2377AB96">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大气环境</w:t>
                  </w:r>
                </w:p>
              </w:tc>
              <w:tc>
                <w:tcPr>
                  <w:tcW w:w="1021" w:type="pct"/>
                  <w:tcBorders>
                    <w:top w:val="single" w:color="auto" w:sz="4" w:space="0"/>
                    <w:left w:val="single" w:color="auto" w:sz="4" w:space="0"/>
                    <w:bottom w:val="single" w:color="auto" w:sz="4" w:space="0"/>
                    <w:right w:val="single" w:color="auto" w:sz="4" w:space="0"/>
                  </w:tcBorders>
                  <w:noWrap w:val="0"/>
                  <w:vAlign w:val="center"/>
                </w:tcPr>
                <w:p w14:paraId="0364902D">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lang w:val="en-US" w:eastAsia="zh-CN"/>
                    </w:rPr>
                    <w:t>镇平县项目西侧居民点</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7BFB147A">
                  <w:pPr>
                    <w:jc w:val="center"/>
                    <w:rPr>
                      <w:rFonts w:hint="eastAsia"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2A093223">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24m</w:t>
                  </w:r>
                </w:p>
              </w:tc>
              <w:tc>
                <w:tcPr>
                  <w:tcW w:w="1359" w:type="pct"/>
                  <w:vMerge w:val="restart"/>
                  <w:tcBorders>
                    <w:top w:val="single" w:color="auto" w:sz="4" w:space="0"/>
                    <w:left w:val="single" w:color="auto" w:sz="4" w:space="0"/>
                    <w:right w:val="single" w:color="auto" w:sz="4" w:space="0"/>
                  </w:tcBorders>
                  <w:noWrap w:val="0"/>
                  <w:vAlign w:val="center"/>
                </w:tcPr>
                <w:p w14:paraId="22017A40">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《环境空气质量标准》（GB 3095-2012）二级标准</w:t>
                  </w:r>
                </w:p>
              </w:tc>
            </w:tr>
            <w:tr w14:paraId="5014F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right w:val="single" w:color="auto" w:sz="4" w:space="0"/>
                  </w:tcBorders>
                  <w:noWrap w:val="0"/>
                  <w:vAlign w:val="center"/>
                </w:tcPr>
                <w:p w14:paraId="6AB3EF42">
                  <w:pPr>
                    <w:jc w:val="center"/>
                    <w:rPr>
                      <w:rFonts w:hint="default" w:ascii="Times New Roman" w:hAnsi="Times New Roman" w:cs="Times New Roman"/>
                      <w:color w:val="auto"/>
                      <w:szCs w:val="21"/>
                      <w:u w:val="none" w:color="auto"/>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7AFD0E60">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lang w:val="en-US" w:eastAsia="zh-CN"/>
                    </w:rPr>
                    <w:t>镇平县项目北侧居民点</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36BB4583">
                  <w:pPr>
                    <w:jc w:val="center"/>
                    <w:rPr>
                      <w:rFonts w:hint="eastAsia"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N</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48C4E975">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5m</w:t>
                  </w:r>
                </w:p>
              </w:tc>
              <w:tc>
                <w:tcPr>
                  <w:tcW w:w="1359" w:type="pct"/>
                  <w:vMerge w:val="continue"/>
                  <w:tcBorders>
                    <w:left w:val="single" w:color="auto" w:sz="4" w:space="0"/>
                    <w:right w:val="single" w:color="auto" w:sz="4" w:space="0"/>
                  </w:tcBorders>
                  <w:noWrap w:val="0"/>
                  <w:vAlign w:val="center"/>
                </w:tcPr>
                <w:p w14:paraId="190367BD">
                  <w:pPr>
                    <w:jc w:val="center"/>
                    <w:rPr>
                      <w:rFonts w:hint="default" w:ascii="Times New Roman" w:hAnsi="Times New Roman" w:cs="Times New Roman"/>
                      <w:color w:val="auto"/>
                      <w:szCs w:val="21"/>
                      <w:u w:val="none" w:color="auto"/>
                    </w:rPr>
                  </w:pPr>
                </w:p>
              </w:tc>
            </w:tr>
            <w:tr w14:paraId="6B577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right w:val="single" w:color="auto" w:sz="4" w:space="0"/>
                  </w:tcBorders>
                  <w:noWrap w:val="0"/>
                  <w:vAlign w:val="center"/>
                </w:tcPr>
                <w:p w14:paraId="6A366B47">
                  <w:pPr>
                    <w:jc w:val="center"/>
                    <w:rPr>
                      <w:rFonts w:hint="default" w:ascii="Times New Roman" w:hAnsi="Times New Roman" w:cs="Times New Roman"/>
                      <w:color w:val="auto"/>
                      <w:szCs w:val="21"/>
                      <w:u w:val="none" w:color="auto"/>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3186E862">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lang w:val="en-US" w:eastAsia="zh-CN"/>
                    </w:rPr>
                    <w:t>镇平县项目南侧居民点</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7ACF2214">
                  <w:pPr>
                    <w:jc w:val="center"/>
                    <w:rPr>
                      <w:rFonts w:hint="eastAsia"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S</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30F29D95">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3m</w:t>
                  </w:r>
                </w:p>
              </w:tc>
              <w:tc>
                <w:tcPr>
                  <w:tcW w:w="1359" w:type="pct"/>
                  <w:vMerge w:val="continue"/>
                  <w:tcBorders>
                    <w:left w:val="single" w:color="auto" w:sz="4" w:space="0"/>
                    <w:right w:val="single" w:color="auto" w:sz="4" w:space="0"/>
                  </w:tcBorders>
                  <w:noWrap w:val="0"/>
                  <w:vAlign w:val="center"/>
                </w:tcPr>
                <w:p w14:paraId="581970C6">
                  <w:pPr>
                    <w:jc w:val="center"/>
                    <w:rPr>
                      <w:rFonts w:hint="default" w:ascii="Times New Roman" w:hAnsi="Times New Roman" w:cs="Times New Roman"/>
                      <w:color w:val="auto"/>
                      <w:szCs w:val="21"/>
                      <w:u w:val="none" w:color="auto"/>
                    </w:rPr>
                  </w:pPr>
                </w:p>
              </w:tc>
            </w:tr>
            <w:tr w14:paraId="6EF27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right w:val="single" w:color="auto" w:sz="4" w:space="0"/>
                  </w:tcBorders>
                  <w:noWrap w:val="0"/>
                  <w:vAlign w:val="center"/>
                </w:tcPr>
                <w:p w14:paraId="131AB12F">
                  <w:pPr>
                    <w:jc w:val="center"/>
                    <w:rPr>
                      <w:rFonts w:hint="default" w:ascii="Times New Roman" w:hAnsi="Times New Roman" w:cs="Times New Roman"/>
                      <w:color w:val="auto"/>
                      <w:szCs w:val="21"/>
                      <w:u w:val="none" w:color="auto"/>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7969F17F">
                  <w:pPr>
                    <w:jc w:val="center"/>
                    <w:rPr>
                      <w:rFonts w:hint="default" w:ascii="Times New Roman" w:hAnsi="Times New Roman" w:cs="Times New Roman"/>
                      <w:color w:val="auto"/>
                      <w:szCs w:val="21"/>
                      <w:u w:val="none" w:color="auto"/>
                      <w:lang w:val="en-US" w:eastAsia="zh-CN"/>
                    </w:rPr>
                  </w:pPr>
                  <w:r>
                    <w:rPr>
                      <w:rFonts w:hint="eastAsia" w:cs="Times New Roman"/>
                      <w:color w:val="auto"/>
                      <w:szCs w:val="21"/>
                      <w:u w:val="none" w:color="auto"/>
                      <w:lang w:val="en-US" w:eastAsia="zh-CN"/>
                    </w:rPr>
                    <w:t>镇平县项目东侧居民点</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75927E9A">
                  <w:pPr>
                    <w:jc w:val="center"/>
                    <w:rPr>
                      <w:rFonts w:hint="default" w:cs="Times New Roman"/>
                      <w:color w:val="auto"/>
                      <w:szCs w:val="21"/>
                      <w:u w:val="none" w:color="auto"/>
                      <w:lang w:val="en-US" w:eastAsia="zh-CN"/>
                    </w:rPr>
                  </w:pPr>
                  <w:r>
                    <w:rPr>
                      <w:rFonts w:hint="eastAsia" w:cs="Times New Roman"/>
                      <w:color w:val="auto"/>
                      <w:szCs w:val="21"/>
                      <w:u w:val="none" w:color="auto"/>
                      <w:lang w:val="en-US" w:eastAsia="zh-CN"/>
                    </w:rPr>
                    <w:t>E</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4FC5DA7E">
                  <w:pPr>
                    <w:jc w:val="center"/>
                    <w:rPr>
                      <w:rFonts w:hint="default" w:cs="Times New Roman"/>
                      <w:color w:val="auto"/>
                      <w:szCs w:val="21"/>
                      <w:u w:val="none" w:color="auto"/>
                      <w:lang w:val="en-US" w:eastAsia="zh-CN"/>
                    </w:rPr>
                  </w:pPr>
                  <w:r>
                    <w:rPr>
                      <w:rFonts w:hint="eastAsia" w:cs="Times New Roman"/>
                      <w:color w:val="auto"/>
                      <w:szCs w:val="21"/>
                      <w:u w:val="none" w:color="auto"/>
                      <w:lang w:val="en-US" w:eastAsia="zh-CN"/>
                    </w:rPr>
                    <w:t>160m</w:t>
                  </w:r>
                </w:p>
              </w:tc>
              <w:tc>
                <w:tcPr>
                  <w:tcW w:w="1359" w:type="pct"/>
                  <w:vMerge w:val="continue"/>
                  <w:tcBorders>
                    <w:left w:val="single" w:color="auto" w:sz="4" w:space="0"/>
                    <w:right w:val="single" w:color="auto" w:sz="4" w:space="0"/>
                  </w:tcBorders>
                  <w:noWrap w:val="0"/>
                  <w:vAlign w:val="center"/>
                </w:tcPr>
                <w:p w14:paraId="79BA5929">
                  <w:pPr>
                    <w:jc w:val="center"/>
                    <w:rPr>
                      <w:rFonts w:hint="default" w:ascii="Times New Roman" w:hAnsi="Times New Roman" w:cs="Times New Roman"/>
                      <w:color w:val="auto"/>
                      <w:szCs w:val="21"/>
                      <w:u w:val="none" w:color="auto"/>
                    </w:rPr>
                  </w:pPr>
                </w:p>
              </w:tc>
            </w:tr>
            <w:tr w14:paraId="10EDC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right w:val="single" w:color="auto" w:sz="4" w:space="0"/>
                  </w:tcBorders>
                  <w:noWrap w:val="0"/>
                  <w:vAlign w:val="center"/>
                </w:tcPr>
                <w:p w14:paraId="739CE92C">
                  <w:pPr>
                    <w:jc w:val="center"/>
                    <w:rPr>
                      <w:rFonts w:hint="default" w:ascii="Times New Roman" w:hAnsi="Times New Roman" w:cs="Times New Roman"/>
                      <w:color w:val="auto"/>
                      <w:szCs w:val="21"/>
                      <w:u w:val="none" w:color="auto"/>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082B3962">
                  <w:pPr>
                    <w:jc w:val="center"/>
                    <w:rPr>
                      <w:rFonts w:hint="default" w:ascii="Times New Roman" w:hAnsi="Times New Roman" w:cs="Times New Roman"/>
                      <w:color w:val="auto"/>
                      <w:szCs w:val="21"/>
                      <w:u w:val="none" w:color="auto"/>
                      <w:lang w:val="en-US" w:eastAsia="zh-CN"/>
                    </w:rPr>
                  </w:pPr>
                  <w:r>
                    <w:rPr>
                      <w:rFonts w:hint="eastAsia" w:cs="Times New Roman"/>
                      <w:color w:val="auto"/>
                      <w:szCs w:val="21"/>
                      <w:u w:val="none" w:color="auto"/>
                      <w:lang w:val="en-US" w:eastAsia="zh-CN"/>
                    </w:rPr>
                    <w:t>项目区东北侧散户</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779EA853">
                  <w:pPr>
                    <w:jc w:val="center"/>
                    <w:rPr>
                      <w:rFonts w:hint="default" w:cs="Times New Roman"/>
                      <w:color w:val="auto"/>
                      <w:szCs w:val="21"/>
                      <w:u w:val="none" w:color="auto"/>
                      <w:lang w:val="en-US" w:eastAsia="zh-CN"/>
                    </w:rPr>
                  </w:pPr>
                  <w:r>
                    <w:rPr>
                      <w:rFonts w:hint="eastAsia" w:cs="Times New Roman"/>
                      <w:color w:val="auto"/>
                      <w:szCs w:val="21"/>
                      <w:u w:val="none" w:color="auto"/>
                      <w:lang w:val="en-US" w:eastAsia="zh-CN"/>
                    </w:rPr>
                    <w:t>NE</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7C9C48F6">
                  <w:pPr>
                    <w:jc w:val="center"/>
                    <w:rPr>
                      <w:rFonts w:hint="default" w:cs="Times New Roman"/>
                      <w:color w:val="auto"/>
                      <w:szCs w:val="21"/>
                      <w:u w:val="none" w:color="auto"/>
                      <w:lang w:val="en-US" w:eastAsia="zh-CN"/>
                    </w:rPr>
                  </w:pPr>
                  <w:r>
                    <w:rPr>
                      <w:rFonts w:hint="eastAsia" w:cs="Times New Roman"/>
                      <w:color w:val="auto"/>
                      <w:szCs w:val="21"/>
                      <w:u w:val="none" w:color="auto"/>
                      <w:lang w:val="en-US" w:eastAsia="zh-CN"/>
                    </w:rPr>
                    <w:t>230m</w:t>
                  </w:r>
                </w:p>
              </w:tc>
              <w:tc>
                <w:tcPr>
                  <w:tcW w:w="1359" w:type="pct"/>
                  <w:vMerge w:val="continue"/>
                  <w:tcBorders>
                    <w:left w:val="single" w:color="auto" w:sz="4" w:space="0"/>
                    <w:right w:val="single" w:color="auto" w:sz="4" w:space="0"/>
                  </w:tcBorders>
                  <w:noWrap w:val="0"/>
                  <w:vAlign w:val="center"/>
                </w:tcPr>
                <w:p w14:paraId="2688132F">
                  <w:pPr>
                    <w:jc w:val="center"/>
                    <w:rPr>
                      <w:rFonts w:hint="default" w:ascii="Times New Roman" w:hAnsi="Times New Roman" w:cs="Times New Roman"/>
                      <w:color w:val="auto"/>
                      <w:szCs w:val="21"/>
                      <w:u w:val="none" w:color="auto"/>
                    </w:rPr>
                  </w:pPr>
                </w:p>
              </w:tc>
            </w:tr>
            <w:tr w14:paraId="0BFA3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right w:val="single" w:color="auto" w:sz="4" w:space="0"/>
                  </w:tcBorders>
                  <w:noWrap w:val="0"/>
                  <w:vAlign w:val="center"/>
                </w:tcPr>
                <w:p w14:paraId="7A8CD320">
                  <w:pPr>
                    <w:jc w:val="center"/>
                    <w:rPr>
                      <w:rFonts w:hint="default" w:ascii="Times New Roman" w:hAnsi="Times New Roman" w:cs="Times New Roman"/>
                      <w:color w:val="auto"/>
                      <w:szCs w:val="21"/>
                      <w:u w:val="none" w:color="auto"/>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10AAD0E4">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lang w:val="en-US" w:eastAsia="zh-CN"/>
                    </w:rPr>
                    <w:t>四里沟</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3ECF0EC1">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NE</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2C137E32">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407m</w:t>
                  </w:r>
                </w:p>
              </w:tc>
              <w:tc>
                <w:tcPr>
                  <w:tcW w:w="1359" w:type="pct"/>
                  <w:vMerge w:val="continue"/>
                  <w:tcBorders>
                    <w:left w:val="single" w:color="auto" w:sz="4" w:space="0"/>
                    <w:right w:val="single" w:color="auto" w:sz="4" w:space="0"/>
                  </w:tcBorders>
                  <w:noWrap w:val="0"/>
                  <w:vAlign w:val="center"/>
                </w:tcPr>
                <w:p w14:paraId="016D6066">
                  <w:pPr>
                    <w:jc w:val="center"/>
                    <w:rPr>
                      <w:rFonts w:hint="default" w:ascii="Times New Roman" w:hAnsi="Times New Roman" w:cs="Times New Roman"/>
                      <w:color w:val="auto"/>
                      <w:szCs w:val="21"/>
                      <w:u w:val="none" w:color="auto"/>
                    </w:rPr>
                  </w:pPr>
                </w:p>
              </w:tc>
            </w:tr>
            <w:tr w14:paraId="25562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right w:val="single" w:color="auto" w:sz="4" w:space="0"/>
                  </w:tcBorders>
                  <w:noWrap w:val="0"/>
                  <w:vAlign w:val="center"/>
                </w:tcPr>
                <w:p w14:paraId="167B1FCD">
                  <w:pPr>
                    <w:jc w:val="center"/>
                    <w:rPr>
                      <w:rFonts w:hint="default" w:ascii="Times New Roman" w:hAnsi="Times New Roman" w:cs="Times New Roman"/>
                      <w:color w:val="auto"/>
                      <w:szCs w:val="21"/>
                      <w:u w:val="none" w:color="auto"/>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562245FC">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lang w:val="en-US" w:eastAsia="zh-CN"/>
                    </w:rPr>
                    <w:t>乔庄</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6D1A78EF">
                  <w:pPr>
                    <w:jc w:val="center"/>
                    <w:rPr>
                      <w:rFonts w:hint="eastAsia"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S</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500356C4">
                  <w:pPr>
                    <w:jc w:val="center"/>
                    <w:rPr>
                      <w:rFonts w:hint="default" w:ascii="Times New Roman" w:hAnsi="Times New Roman" w:eastAsia="宋体" w:cs="Times New Roman"/>
                      <w:b/>
                      <w:bCs/>
                      <w:color w:val="auto"/>
                      <w:szCs w:val="21"/>
                      <w:u w:val="none" w:color="auto"/>
                      <w:lang w:val="en-US" w:eastAsia="zh-CN"/>
                    </w:rPr>
                  </w:pPr>
                  <w:r>
                    <w:rPr>
                      <w:rFonts w:hint="eastAsia" w:cs="Times New Roman"/>
                      <w:b w:val="0"/>
                      <w:bCs w:val="0"/>
                      <w:color w:val="auto"/>
                      <w:szCs w:val="21"/>
                      <w:u w:val="none" w:color="auto"/>
                      <w:lang w:val="en-US" w:eastAsia="zh-CN"/>
                    </w:rPr>
                    <w:t>275m</w:t>
                  </w:r>
                </w:p>
              </w:tc>
              <w:tc>
                <w:tcPr>
                  <w:tcW w:w="1359" w:type="pct"/>
                  <w:vMerge w:val="continue"/>
                  <w:tcBorders>
                    <w:left w:val="single" w:color="auto" w:sz="4" w:space="0"/>
                    <w:right w:val="single" w:color="auto" w:sz="4" w:space="0"/>
                  </w:tcBorders>
                  <w:noWrap w:val="0"/>
                  <w:vAlign w:val="center"/>
                </w:tcPr>
                <w:p w14:paraId="4FFC79F2">
                  <w:pPr>
                    <w:jc w:val="center"/>
                    <w:rPr>
                      <w:rFonts w:hint="default" w:ascii="Times New Roman" w:hAnsi="Times New Roman" w:cs="Times New Roman"/>
                      <w:color w:val="auto"/>
                      <w:szCs w:val="21"/>
                      <w:u w:val="none" w:color="auto"/>
                    </w:rPr>
                  </w:pPr>
                </w:p>
              </w:tc>
            </w:tr>
            <w:tr w14:paraId="7646C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restart"/>
                  <w:tcBorders>
                    <w:top w:val="single" w:color="auto" w:sz="4" w:space="0"/>
                    <w:left w:val="single" w:color="auto" w:sz="4" w:space="0"/>
                    <w:right w:val="single" w:color="auto" w:sz="4" w:space="0"/>
                  </w:tcBorders>
                  <w:noWrap w:val="0"/>
                  <w:vAlign w:val="center"/>
                </w:tcPr>
                <w:p w14:paraId="58DEA5BC">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声环境</w:t>
                  </w:r>
                </w:p>
              </w:tc>
              <w:tc>
                <w:tcPr>
                  <w:tcW w:w="1021" w:type="pct"/>
                  <w:tcBorders>
                    <w:top w:val="single" w:color="auto" w:sz="4" w:space="0"/>
                    <w:left w:val="single" w:color="auto" w:sz="4" w:space="0"/>
                    <w:bottom w:val="single" w:color="auto" w:sz="4" w:space="0"/>
                    <w:right w:val="single" w:color="auto" w:sz="4" w:space="0"/>
                  </w:tcBorders>
                  <w:noWrap w:val="0"/>
                  <w:vAlign w:val="center"/>
                </w:tcPr>
                <w:p w14:paraId="6798F98F">
                  <w:pPr>
                    <w:jc w:val="center"/>
                    <w:rPr>
                      <w:rFonts w:hint="default" w:ascii="Times New Roman" w:hAnsi="Times New Roman" w:cs="Times New Roman"/>
                      <w:color w:val="auto"/>
                      <w:szCs w:val="21"/>
                      <w:u w:val="none" w:color="auto"/>
                      <w:lang w:bidi="ar"/>
                    </w:rPr>
                  </w:pPr>
                  <w:r>
                    <w:rPr>
                      <w:rFonts w:hint="default" w:ascii="Times New Roman" w:hAnsi="Times New Roman" w:cs="Times New Roman"/>
                      <w:color w:val="auto"/>
                      <w:szCs w:val="21"/>
                      <w:u w:val="none" w:color="auto"/>
                      <w:lang w:val="en-US" w:eastAsia="zh-CN"/>
                    </w:rPr>
                    <w:t>镇平县项目西侧居民点</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3357BE14">
                  <w:pPr>
                    <w:jc w:val="center"/>
                    <w:rPr>
                      <w:rFonts w:hint="default" w:ascii="Times New Roman" w:hAnsi="Times New Roman" w:cs="Times New Roman"/>
                      <w:color w:val="auto"/>
                      <w:szCs w:val="21"/>
                      <w:u w:val="none" w:color="auto"/>
                      <w:lang w:bidi="ar"/>
                    </w:rPr>
                  </w:pPr>
                  <w:r>
                    <w:rPr>
                      <w:rFonts w:hint="eastAsia" w:cs="Times New Roman"/>
                      <w:color w:val="auto"/>
                      <w:szCs w:val="21"/>
                      <w:u w:val="none" w:color="auto"/>
                      <w:lang w:val="en-US" w:eastAsia="zh-CN"/>
                    </w:rPr>
                    <w:t>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2F6DE75F">
                  <w:pPr>
                    <w:jc w:val="center"/>
                    <w:rPr>
                      <w:rFonts w:hint="default" w:ascii="Times New Roman" w:hAnsi="Times New Roman" w:cs="Times New Roman"/>
                      <w:color w:val="auto"/>
                      <w:szCs w:val="21"/>
                      <w:u w:val="none" w:color="auto"/>
                      <w:lang w:bidi="ar"/>
                    </w:rPr>
                  </w:pPr>
                  <w:r>
                    <w:rPr>
                      <w:rFonts w:hint="eastAsia" w:cs="Times New Roman"/>
                      <w:color w:val="auto"/>
                      <w:szCs w:val="21"/>
                      <w:u w:val="none" w:color="auto"/>
                      <w:lang w:val="en-US" w:eastAsia="zh-CN"/>
                    </w:rPr>
                    <w:t>24m</w:t>
                  </w:r>
                </w:p>
              </w:tc>
              <w:tc>
                <w:tcPr>
                  <w:tcW w:w="1359" w:type="pct"/>
                  <w:vMerge w:val="restart"/>
                  <w:tcBorders>
                    <w:top w:val="single" w:color="auto" w:sz="4" w:space="0"/>
                    <w:left w:val="single" w:color="auto" w:sz="4" w:space="0"/>
                    <w:right w:val="single" w:color="auto" w:sz="4" w:space="0"/>
                  </w:tcBorders>
                  <w:noWrap w:val="0"/>
                  <w:vAlign w:val="center"/>
                </w:tcPr>
                <w:p w14:paraId="44E9EC48">
                  <w:pPr>
                    <w:jc w:val="center"/>
                    <w:rPr>
                      <w:rFonts w:hint="default" w:ascii="Times New Roman" w:hAnsi="Times New Roman" w:cs="Times New Roman"/>
                      <w:color w:val="auto"/>
                      <w:szCs w:val="21"/>
                      <w:u w:val="none" w:color="auto"/>
                      <w:lang w:bidi="ar"/>
                    </w:rPr>
                  </w:pPr>
                  <w:r>
                    <w:rPr>
                      <w:rFonts w:hint="default" w:ascii="Times New Roman" w:hAnsi="Times New Roman" w:cs="Times New Roman"/>
                      <w:color w:val="auto"/>
                      <w:szCs w:val="21"/>
                      <w:u w:val="none" w:color="auto"/>
                      <w:lang w:bidi="ar"/>
                    </w:rPr>
                    <w:t>《声环境质量标准》（GB3096-2008）中2类区标准要求</w:t>
                  </w:r>
                </w:p>
              </w:tc>
            </w:tr>
            <w:tr w14:paraId="412EC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right w:val="single" w:color="auto" w:sz="4" w:space="0"/>
                  </w:tcBorders>
                  <w:noWrap w:val="0"/>
                  <w:vAlign w:val="center"/>
                </w:tcPr>
                <w:p w14:paraId="09AD9AC2">
                  <w:pPr>
                    <w:jc w:val="center"/>
                    <w:rPr>
                      <w:rFonts w:hint="default" w:ascii="Times New Roman" w:hAnsi="Times New Roman" w:cs="Times New Roman"/>
                      <w:color w:val="auto"/>
                      <w:szCs w:val="21"/>
                      <w:u w:val="none" w:color="auto"/>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72FC3B79">
                  <w:pPr>
                    <w:jc w:val="center"/>
                    <w:rPr>
                      <w:rFonts w:hint="default" w:ascii="Times New Roman" w:hAnsi="Times New Roman" w:cs="Times New Roman"/>
                      <w:color w:val="auto"/>
                      <w:szCs w:val="21"/>
                      <w:u w:val="none" w:color="auto"/>
                      <w:lang w:bidi="ar"/>
                    </w:rPr>
                  </w:pPr>
                  <w:r>
                    <w:rPr>
                      <w:rFonts w:hint="default" w:ascii="Times New Roman" w:hAnsi="Times New Roman" w:cs="Times New Roman"/>
                      <w:color w:val="auto"/>
                      <w:szCs w:val="21"/>
                      <w:u w:val="none" w:color="auto"/>
                      <w:lang w:val="en-US" w:eastAsia="zh-CN"/>
                    </w:rPr>
                    <w:t>镇平县项目北侧居民点</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14E050D0">
                  <w:pPr>
                    <w:jc w:val="center"/>
                    <w:rPr>
                      <w:rFonts w:hint="default" w:ascii="Times New Roman" w:hAnsi="Times New Roman" w:cs="Times New Roman"/>
                      <w:color w:val="auto"/>
                      <w:szCs w:val="21"/>
                      <w:u w:val="none" w:color="auto"/>
                    </w:rPr>
                  </w:pPr>
                  <w:r>
                    <w:rPr>
                      <w:rFonts w:hint="eastAsia" w:cs="Times New Roman"/>
                      <w:color w:val="auto"/>
                      <w:szCs w:val="21"/>
                      <w:u w:val="none" w:color="auto"/>
                      <w:lang w:val="en-US" w:eastAsia="zh-CN"/>
                    </w:rPr>
                    <w:t>N</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13459979">
                  <w:pPr>
                    <w:jc w:val="center"/>
                    <w:rPr>
                      <w:rFonts w:hint="default" w:ascii="Times New Roman" w:hAnsi="Times New Roman" w:cs="Times New Roman"/>
                      <w:color w:val="auto"/>
                      <w:szCs w:val="21"/>
                      <w:u w:val="none" w:color="auto"/>
                    </w:rPr>
                  </w:pPr>
                  <w:r>
                    <w:rPr>
                      <w:rFonts w:hint="eastAsia" w:cs="Times New Roman"/>
                      <w:color w:val="auto"/>
                      <w:szCs w:val="21"/>
                      <w:u w:val="none" w:color="auto"/>
                      <w:lang w:val="en-US" w:eastAsia="zh-CN"/>
                    </w:rPr>
                    <w:t>5m</w:t>
                  </w:r>
                </w:p>
              </w:tc>
              <w:tc>
                <w:tcPr>
                  <w:tcW w:w="1359" w:type="pct"/>
                  <w:vMerge w:val="continue"/>
                  <w:tcBorders>
                    <w:left w:val="single" w:color="auto" w:sz="4" w:space="0"/>
                    <w:right w:val="single" w:color="auto" w:sz="4" w:space="0"/>
                  </w:tcBorders>
                  <w:noWrap w:val="0"/>
                  <w:vAlign w:val="center"/>
                </w:tcPr>
                <w:p w14:paraId="360E2882">
                  <w:pPr>
                    <w:jc w:val="center"/>
                    <w:rPr>
                      <w:rFonts w:hint="default" w:ascii="Times New Roman" w:hAnsi="Times New Roman" w:cs="Times New Roman"/>
                      <w:color w:val="auto"/>
                      <w:szCs w:val="21"/>
                      <w:u w:val="none" w:color="auto"/>
                      <w:lang w:bidi="ar"/>
                    </w:rPr>
                  </w:pPr>
                </w:p>
              </w:tc>
            </w:tr>
            <w:tr w14:paraId="2F21D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bottom w:val="single" w:color="auto" w:sz="4" w:space="0"/>
                    <w:right w:val="single" w:color="auto" w:sz="4" w:space="0"/>
                  </w:tcBorders>
                  <w:noWrap w:val="0"/>
                  <w:vAlign w:val="center"/>
                </w:tcPr>
                <w:p w14:paraId="1600CE20">
                  <w:pPr>
                    <w:jc w:val="center"/>
                    <w:rPr>
                      <w:rFonts w:hint="default" w:ascii="Times New Roman" w:hAnsi="Times New Roman" w:cs="Times New Roman"/>
                      <w:color w:val="auto"/>
                      <w:szCs w:val="21"/>
                      <w:u w:val="none" w:color="auto"/>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7C67907A">
                  <w:pPr>
                    <w:jc w:val="center"/>
                    <w:rPr>
                      <w:rFonts w:hint="default" w:ascii="Times New Roman" w:hAnsi="Times New Roman" w:cs="Times New Roman"/>
                      <w:color w:val="auto"/>
                      <w:szCs w:val="21"/>
                      <w:u w:val="none" w:color="auto"/>
                      <w:lang w:bidi="ar"/>
                    </w:rPr>
                  </w:pPr>
                  <w:r>
                    <w:rPr>
                      <w:rFonts w:hint="default" w:ascii="Times New Roman" w:hAnsi="Times New Roman" w:cs="Times New Roman"/>
                      <w:color w:val="auto"/>
                      <w:szCs w:val="21"/>
                      <w:u w:val="none" w:color="auto"/>
                      <w:lang w:val="en-US" w:eastAsia="zh-CN"/>
                    </w:rPr>
                    <w:t>镇平县项目南侧居民点</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38CBDFD5">
                  <w:pPr>
                    <w:jc w:val="center"/>
                    <w:rPr>
                      <w:rFonts w:hint="default" w:ascii="Times New Roman" w:hAnsi="Times New Roman" w:cs="Times New Roman"/>
                      <w:color w:val="auto"/>
                      <w:szCs w:val="21"/>
                      <w:u w:val="none" w:color="auto"/>
                    </w:rPr>
                  </w:pPr>
                  <w:r>
                    <w:rPr>
                      <w:rFonts w:hint="eastAsia" w:cs="Times New Roman"/>
                      <w:color w:val="auto"/>
                      <w:szCs w:val="21"/>
                      <w:u w:val="none" w:color="auto"/>
                      <w:lang w:val="en-US" w:eastAsia="zh-CN"/>
                    </w:rPr>
                    <w:t>S</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6B528768">
                  <w:pPr>
                    <w:jc w:val="center"/>
                    <w:rPr>
                      <w:rFonts w:hint="default" w:ascii="Times New Roman" w:hAnsi="Times New Roman" w:cs="Times New Roman"/>
                      <w:color w:val="auto"/>
                      <w:szCs w:val="21"/>
                      <w:u w:val="none" w:color="auto"/>
                    </w:rPr>
                  </w:pPr>
                  <w:r>
                    <w:rPr>
                      <w:rFonts w:hint="eastAsia" w:cs="Times New Roman"/>
                      <w:color w:val="auto"/>
                      <w:szCs w:val="21"/>
                      <w:u w:val="none" w:color="auto"/>
                      <w:lang w:val="en-US" w:eastAsia="zh-CN"/>
                    </w:rPr>
                    <w:t>3m</w:t>
                  </w:r>
                </w:p>
              </w:tc>
              <w:tc>
                <w:tcPr>
                  <w:tcW w:w="1359" w:type="pct"/>
                  <w:vMerge w:val="continue"/>
                  <w:tcBorders>
                    <w:left w:val="single" w:color="auto" w:sz="4" w:space="0"/>
                    <w:bottom w:val="single" w:color="auto" w:sz="4" w:space="0"/>
                    <w:right w:val="single" w:color="auto" w:sz="4" w:space="0"/>
                  </w:tcBorders>
                  <w:noWrap w:val="0"/>
                  <w:vAlign w:val="center"/>
                </w:tcPr>
                <w:p w14:paraId="6CF30849">
                  <w:pPr>
                    <w:jc w:val="center"/>
                    <w:rPr>
                      <w:rFonts w:hint="default" w:ascii="Times New Roman" w:hAnsi="Times New Roman" w:cs="Times New Roman"/>
                      <w:color w:val="auto"/>
                      <w:szCs w:val="21"/>
                      <w:u w:val="none" w:color="auto"/>
                      <w:lang w:bidi="ar"/>
                    </w:rPr>
                  </w:pPr>
                </w:p>
              </w:tc>
            </w:tr>
            <w:tr w14:paraId="7E3AC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restart"/>
                  <w:tcBorders>
                    <w:top w:val="single" w:color="auto" w:sz="4" w:space="0"/>
                    <w:left w:val="single" w:color="auto" w:sz="4" w:space="0"/>
                    <w:right w:val="single" w:color="auto" w:sz="4" w:space="0"/>
                  </w:tcBorders>
                  <w:noWrap w:val="0"/>
                  <w:vAlign w:val="center"/>
                </w:tcPr>
                <w:p w14:paraId="13B297EE">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地表水</w:t>
                  </w:r>
                </w:p>
              </w:tc>
              <w:tc>
                <w:tcPr>
                  <w:tcW w:w="1021" w:type="pct"/>
                  <w:tcBorders>
                    <w:top w:val="single" w:color="auto" w:sz="4" w:space="0"/>
                    <w:left w:val="single" w:color="auto" w:sz="4" w:space="0"/>
                    <w:bottom w:val="single" w:color="auto" w:sz="4" w:space="0"/>
                    <w:right w:val="single" w:color="auto" w:sz="4" w:space="0"/>
                  </w:tcBorders>
                  <w:noWrap w:val="0"/>
                  <w:vAlign w:val="center"/>
                </w:tcPr>
                <w:p w14:paraId="746BF9AD">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三里河</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211E9BF9">
                  <w:pPr>
                    <w:jc w:val="center"/>
                    <w:rPr>
                      <w:rFonts w:hint="eastAsia"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E</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22D5991A">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276m</w:t>
                  </w:r>
                </w:p>
              </w:tc>
              <w:tc>
                <w:tcPr>
                  <w:tcW w:w="1359" w:type="pct"/>
                  <w:vMerge w:val="restart"/>
                  <w:tcBorders>
                    <w:top w:val="single" w:color="auto" w:sz="4" w:space="0"/>
                    <w:left w:val="single" w:color="auto" w:sz="4" w:space="0"/>
                    <w:right w:val="single" w:color="auto" w:sz="4" w:space="0"/>
                  </w:tcBorders>
                  <w:noWrap w:val="0"/>
                  <w:vAlign w:val="center"/>
                </w:tcPr>
                <w:p w14:paraId="1F21E16B">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《地表水环境质量标准》（GB 3838-2002）中Ⅲ类水质标准</w:t>
                  </w:r>
                </w:p>
              </w:tc>
            </w:tr>
            <w:tr w14:paraId="7D681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right w:val="single" w:color="auto" w:sz="4" w:space="0"/>
                  </w:tcBorders>
                  <w:noWrap w:val="0"/>
                  <w:vAlign w:val="center"/>
                </w:tcPr>
                <w:p w14:paraId="4D74355F">
                  <w:pPr>
                    <w:jc w:val="center"/>
                    <w:rPr>
                      <w:rFonts w:hint="default" w:ascii="Times New Roman" w:hAnsi="Times New Roman" w:cs="Times New Roman"/>
                      <w:color w:val="auto"/>
                      <w:szCs w:val="21"/>
                      <w:u w:val="none" w:color="auto"/>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1F4F9830">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西三里河</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72FF2ECA">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SW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092BFD9B">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1.6km</w:t>
                  </w:r>
                </w:p>
              </w:tc>
              <w:tc>
                <w:tcPr>
                  <w:tcW w:w="1359" w:type="pct"/>
                  <w:vMerge w:val="continue"/>
                  <w:tcBorders>
                    <w:left w:val="single" w:color="auto" w:sz="4" w:space="0"/>
                    <w:right w:val="single" w:color="auto" w:sz="4" w:space="0"/>
                  </w:tcBorders>
                  <w:noWrap w:val="0"/>
                  <w:vAlign w:val="center"/>
                </w:tcPr>
                <w:p w14:paraId="4C95049A">
                  <w:pPr>
                    <w:jc w:val="center"/>
                    <w:rPr>
                      <w:rFonts w:hint="default" w:ascii="Times New Roman" w:hAnsi="Times New Roman" w:cs="Times New Roman"/>
                      <w:color w:val="auto"/>
                      <w:szCs w:val="21"/>
                      <w:u w:val="none" w:color="auto"/>
                    </w:rPr>
                  </w:pPr>
                </w:p>
              </w:tc>
            </w:tr>
            <w:tr w14:paraId="71B67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right w:val="single" w:color="auto" w:sz="4" w:space="0"/>
                  </w:tcBorders>
                  <w:noWrap w:val="0"/>
                  <w:vAlign w:val="center"/>
                </w:tcPr>
                <w:p w14:paraId="03ED6BC0">
                  <w:pPr>
                    <w:jc w:val="center"/>
                    <w:rPr>
                      <w:rFonts w:hint="default" w:ascii="Times New Roman" w:hAnsi="Times New Roman" w:cs="Times New Roman"/>
                      <w:color w:val="auto"/>
                      <w:szCs w:val="21"/>
                      <w:u w:val="none" w:color="auto"/>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5D917F3F">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淇河</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2CDA2D7F">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SW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73119F6F">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2km</w:t>
                  </w:r>
                </w:p>
              </w:tc>
              <w:tc>
                <w:tcPr>
                  <w:tcW w:w="1359" w:type="pct"/>
                  <w:vMerge w:val="continue"/>
                  <w:tcBorders>
                    <w:left w:val="single" w:color="auto" w:sz="4" w:space="0"/>
                    <w:right w:val="single" w:color="auto" w:sz="4" w:space="0"/>
                  </w:tcBorders>
                  <w:noWrap w:val="0"/>
                  <w:vAlign w:val="center"/>
                </w:tcPr>
                <w:p w14:paraId="206AE6F1">
                  <w:pPr>
                    <w:jc w:val="center"/>
                    <w:rPr>
                      <w:rFonts w:hint="default" w:ascii="Times New Roman" w:hAnsi="Times New Roman" w:cs="Times New Roman"/>
                      <w:color w:val="auto"/>
                      <w:szCs w:val="21"/>
                      <w:u w:val="none" w:color="auto"/>
                    </w:rPr>
                  </w:pPr>
                </w:p>
              </w:tc>
            </w:tr>
            <w:tr w14:paraId="5DADB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right w:val="single" w:color="auto" w:sz="4" w:space="0"/>
                  </w:tcBorders>
                  <w:noWrap w:val="0"/>
                  <w:vAlign w:val="center"/>
                </w:tcPr>
                <w:p w14:paraId="39E6A0FF">
                  <w:pPr>
                    <w:jc w:val="center"/>
                    <w:rPr>
                      <w:rFonts w:hint="default" w:ascii="Times New Roman" w:hAnsi="Times New Roman" w:cs="Times New Roman"/>
                      <w:color w:val="auto"/>
                      <w:szCs w:val="21"/>
                      <w:u w:val="none" w:color="auto"/>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3355450A">
                  <w:pPr>
                    <w:jc w:val="center"/>
                    <w:rPr>
                      <w:rFonts w:hint="eastAsia" w:ascii="Times New Roman" w:hAnsi="Times New Roman" w:eastAsia="宋体" w:cs="Times New Roman"/>
                      <w:color w:val="auto"/>
                      <w:szCs w:val="21"/>
                      <w:u w:val="none" w:color="auto"/>
                      <w:lang w:eastAsia="zh-CN"/>
                    </w:rPr>
                  </w:pPr>
                  <w:r>
                    <w:rPr>
                      <w:rFonts w:hint="eastAsia" w:cs="Times New Roman"/>
                      <w:color w:val="auto"/>
                      <w:szCs w:val="21"/>
                      <w:u w:val="none" w:color="auto"/>
                      <w:lang w:val="en-US" w:eastAsia="zh-CN"/>
                    </w:rPr>
                    <w:t>赵河</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3ABC168E">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SW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6F3AF2B6">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9.8km</w:t>
                  </w:r>
                </w:p>
              </w:tc>
              <w:tc>
                <w:tcPr>
                  <w:tcW w:w="1359" w:type="pct"/>
                  <w:vMerge w:val="continue"/>
                  <w:tcBorders>
                    <w:left w:val="single" w:color="auto" w:sz="4" w:space="0"/>
                    <w:right w:val="single" w:color="auto" w:sz="4" w:space="0"/>
                  </w:tcBorders>
                  <w:noWrap w:val="0"/>
                  <w:vAlign w:val="center"/>
                </w:tcPr>
                <w:p w14:paraId="7D8EF727">
                  <w:pPr>
                    <w:jc w:val="center"/>
                    <w:rPr>
                      <w:rFonts w:hint="default" w:ascii="Times New Roman" w:hAnsi="Times New Roman" w:cs="Times New Roman"/>
                      <w:color w:val="auto"/>
                      <w:szCs w:val="21"/>
                      <w:u w:val="none" w:color="auto"/>
                    </w:rPr>
                  </w:pPr>
                </w:p>
              </w:tc>
            </w:tr>
            <w:tr w14:paraId="0DE19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tcBorders>
                    <w:top w:val="single" w:color="auto" w:sz="4" w:space="0"/>
                    <w:left w:val="single" w:color="auto" w:sz="4" w:space="0"/>
                    <w:bottom w:val="single" w:color="auto" w:sz="4" w:space="0"/>
                    <w:right w:val="single" w:color="auto" w:sz="4" w:space="0"/>
                  </w:tcBorders>
                  <w:noWrap w:val="0"/>
                  <w:vAlign w:val="center"/>
                </w:tcPr>
                <w:p w14:paraId="57CD6CD1">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地下水</w:t>
                  </w:r>
                </w:p>
              </w:tc>
              <w:tc>
                <w:tcPr>
                  <w:tcW w:w="4330" w:type="pct"/>
                  <w:gridSpan w:val="4"/>
                  <w:tcBorders>
                    <w:top w:val="single" w:color="auto" w:sz="4" w:space="0"/>
                    <w:left w:val="single" w:color="auto" w:sz="4" w:space="0"/>
                    <w:bottom w:val="single" w:color="auto" w:sz="4" w:space="0"/>
                    <w:right w:val="single" w:color="auto" w:sz="4" w:space="0"/>
                  </w:tcBorders>
                  <w:noWrap w:val="0"/>
                  <w:vAlign w:val="center"/>
                </w:tcPr>
                <w:p w14:paraId="5B708542">
                  <w:pPr>
                    <w:jc w:val="center"/>
                    <w:rPr>
                      <w:rFonts w:hint="default" w:ascii="Times New Roman" w:hAnsi="Times New Roman" w:cs="Times New Roman"/>
                      <w:color w:val="auto"/>
                      <w:szCs w:val="21"/>
                      <w:u w:val="none" w:color="auto"/>
                    </w:rPr>
                  </w:pPr>
                  <w:r>
                    <w:rPr>
                      <w:rFonts w:hint="eastAsia" w:cs="Times New Roman"/>
                      <w:color w:val="auto"/>
                      <w:szCs w:val="21"/>
                      <w:u w:val="none" w:color="auto"/>
                      <w:lang w:eastAsia="zh-CN" w:bidi="ar"/>
                    </w:rPr>
                    <w:t>校界</w:t>
                  </w:r>
                  <w:r>
                    <w:rPr>
                      <w:rFonts w:hint="default" w:ascii="Times New Roman" w:hAnsi="Times New Roman" w:cs="Times New Roman"/>
                      <w:color w:val="auto"/>
                      <w:szCs w:val="21"/>
                      <w:u w:val="none" w:color="auto"/>
                      <w:lang w:bidi="ar"/>
                    </w:rPr>
                    <w:t>外500m范围内无地下水集中式饮用水水源及特殊地水资源</w:t>
                  </w:r>
                </w:p>
              </w:tc>
            </w:tr>
            <w:tr w14:paraId="366B6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tcBorders>
                    <w:top w:val="single" w:color="auto" w:sz="4" w:space="0"/>
                    <w:left w:val="single" w:color="auto" w:sz="4" w:space="0"/>
                    <w:bottom w:val="single" w:color="auto" w:sz="4" w:space="0"/>
                    <w:right w:val="single" w:color="auto" w:sz="4" w:space="0"/>
                  </w:tcBorders>
                  <w:noWrap w:val="0"/>
                  <w:vAlign w:val="center"/>
                </w:tcPr>
                <w:p w14:paraId="1B92DA61">
                  <w:pPr>
                    <w:jc w:val="center"/>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生态环境</w:t>
                  </w:r>
                </w:p>
              </w:tc>
              <w:tc>
                <w:tcPr>
                  <w:tcW w:w="4330" w:type="pct"/>
                  <w:gridSpan w:val="4"/>
                  <w:tcBorders>
                    <w:top w:val="single" w:color="auto" w:sz="4" w:space="0"/>
                    <w:left w:val="single" w:color="auto" w:sz="4" w:space="0"/>
                    <w:bottom w:val="single" w:color="auto" w:sz="4" w:space="0"/>
                    <w:right w:val="single" w:color="auto" w:sz="4" w:space="0"/>
                  </w:tcBorders>
                  <w:noWrap w:val="0"/>
                  <w:vAlign w:val="center"/>
                </w:tcPr>
                <w:p w14:paraId="69D8FA46">
                  <w:pPr>
                    <w:jc w:val="center"/>
                    <w:rPr>
                      <w:rFonts w:hint="default" w:ascii="Times New Roman" w:hAnsi="Times New Roman" w:cs="Times New Roman"/>
                      <w:color w:val="auto"/>
                      <w:szCs w:val="21"/>
                      <w:u w:val="none" w:color="auto"/>
                      <w:lang w:bidi="ar"/>
                    </w:rPr>
                  </w:pPr>
                  <w:r>
                    <w:rPr>
                      <w:rFonts w:hint="default" w:ascii="Times New Roman" w:hAnsi="Times New Roman" w:cs="Times New Roman"/>
                      <w:color w:val="auto"/>
                      <w:szCs w:val="21"/>
                      <w:u w:val="none" w:color="auto"/>
                      <w:lang w:val="en-GB" w:bidi="ar"/>
                    </w:rPr>
                    <w:t>项目用地范围内无生态环境保护目标</w:t>
                  </w:r>
                </w:p>
              </w:tc>
            </w:tr>
          </w:tbl>
          <w:p w14:paraId="404858A7">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7.3环境风险识别</w:t>
            </w:r>
          </w:p>
          <w:p w14:paraId="2928FBA4">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lang w:val="en-GB"/>
              </w:rPr>
            </w:pPr>
            <w:r>
              <w:rPr>
                <w:color w:val="auto"/>
                <w:sz w:val="24"/>
                <w:u w:val="none" w:color="auto"/>
                <w:lang w:val="en-GB"/>
              </w:rPr>
              <w:t>项目最大可信事故主要为：</w:t>
            </w:r>
            <w:r>
              <w:rPr>
                <w:rFonts w:hint="eastAsia"/>
                <w:color w:val="auto"/>
                <w:sz w:val="24"/>
                <w:u w:val="none" w:color="auto"/>
                <w:lang w:val="en-US" w:eastAsia="zh-CN"/>
              </w:rPr>
              <w:t>柴油</w:t>
            </w:r>
            <w:r>
              <w:rPr>
                <w:color w:val="auto"/>
                <w:sz w:val="24"/>
                <w:u w:val="none" w:color="auto"/>
              </w:rPr>
              <w:t>等物料的储存和使用如遇明火，易引起火灾</w:t>
            </w:r>
            <w:r>
              <w:rPr>
                <w:rFonts w:hint="eastAsia"/>
                <w:color w:val="auto"/>
                <w:sz w:val="24"/>
                <w:u w:val="none" w:color="auto"/>
              </w:rPr>
              <w:t>、</w:t>
            </w:r>
            <w:r>
              <w:rPr>
                <w:rFonts w:hint="eastAsia"/>
                <w:color w:val="auto"/>
                <w:sz w:val="24"/>
                <w:u w:val="none" w:color="auto"/>
                <w:lang w:val="en-US" w:eastAsia="zh-CN"/>
              </w:rPr>
              <w:t>柴油、硝酸、盐酸</w:t>
            </w:r>
            <w:r>
              <w:rPr>
                <w:color w:val="auto"/>
                <w:sz w:val="24"/>
                <w:u w:val="none" w:color="auto"/>
              </w:rPr>
              <w:t>等物料</w:t>
            </w:r>
            <w:r>
              <w:rPr>
                <w:rFonts w:hint="eastAsia"/>
                <w:color w:val="auto"/>
                <w:sz w:val="24"/>
                <w:u w:val="none" w:color="auto"/>
              </w:rPr>
              <w:t>贮存和运输过程中泄露、遗撒对周围的土壤、地下水造成污染，从而间接引起对周围人群健康的危害</w:t>
            </w:r>
            <w:r>
              <w:rPr>
                <w:color w:val="auto"/>
                <w:sz w:val="24"/>
                <w:u w:val="none" w:color="auto"/>
              </w:rPr>
              <w:t>、废</w:t>
            </w:r>
            <w:r>
              <w:rPr>
                <w:rFonts w:hint="eastAsia"/>
                <w:color w:val="auto"/>
                <w:sz w:val="24"/>
                <w:u w:val="none" w:color="auto"/>
                <w:lang w:val="en-US" w:eastAsia="zh-CN"/>
              </w:rPr>
              <w:t>柴油桶</w:t>
            </w:r>
            <w:r>
              <w:rPr>
                <w:color w:val="auto"/>
                <w:sz w:val="24"/>
                <w:u w:val="none" w:color="auto"/>
              </w:rPr>
              <w:t>等危险废物的暂存过程中发生泄漏</w:t>
            </w:r>
            <w:r>
              <w:rPr>
                <w:rFonts w:hint="eastAsia"/>
                <w:color w:val="auto"/>
                <w:sz w:val="24"/>
                <w:u w:val="none" w:color="auto"/>
              </w:rPr>
              <w:t>。</w:t>
            </w:r>
          </w:p>
          <w:p w14:paraId="20540C4E">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 xml:space="preserve">7.3.1 </w:t>
            </w:r>
            <w:r>
              <w:rPr>
                <w:rFonts w:hint="eastAsia"/>
                <w:color w:val="auto"/>
                <w:sz w:val="24"/>
                <w:u w:val="none" w:color="auto"/>
                <w:lang w:val="en-US" w:eastAsia="zh-CN"/>
              </w:rPr>
              <w:t>柴油、硝酸、盐酸</w:t>
            </w:r>
            <w:r>
              <w:rPr>
                <w:color w:val="auto"/>
                <w:sz w:val="24"/>
                <w:u w:val="none" w:color="auto"/>
              </w:rPr>
              <w:t>等物料的储存和使用风险识别</w:t>
            </w:r>
          </w:p>
          <w:p w14:paraId="3C0A3EB0">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lang w:val="en-GB"/>
              </w:rPr>
            </w:pPr>
            <w:r>
              <w:rPr>
                <w:color w:val="auto"/>
                <w:sz w:val="24"/>
                <w:u w:val="none" w:color="auto"/>
                <w:lang w:val="en-GB"/>
              </w:rPr>
              <w:t>项目所用</w:t>
            </w:r>
            <w:r>
              <w:rPr>
                <w:rFonts w:hint="eastAsia"/>
                <w:color w:val="auto"/>
                <w:sz w:val="24"/>
                <w:u w:val="none" w:color="auto"/>
                <w:lang w:val="en-US" w:eastAsia="zh-CN"/>
              </w:rPr>
              <w:t>柴油</w:t>
            </w:r>
            <w:r>
              <w:rPr>
                <w:color w:val="auto"/>
                <w:sz w:val="24"/>
                <w:u w:val="none" w:color="auto"/>
              </w:rPr>
              <w:t>等物料</w:t>
            </w:r>
            <w:r>
              <w:rPr>
                <w:color w:val="auto"/>
                <w:sz w:val="24"/>
                <w:u w:val="none" w:color="auto"/>
                <w:lang w:val="en-GB"/>
              </w:rPr>
              <w:t>易燃，原料储存过程一旦发生泄露，挥发出来的易燃蒸汽扩散到存放该物品的库房间，与空气混合，若遇到易燃物质或明火等可能引起火灾爆炸，当浓度达到一定范围，即达到爆炸极限时，遇明火或火花即能引起爆炸</w:t>
            </w:r>
            <w:r>
              <w:rPr>
                <w:rFonts w:hint="eastAsia"/>
                <w:color w:val="auto"/>
                <w:sz w:val="24"/>
                <w:u w:val="none" w:color="auto"/>
                <w:lang w:val="en-GB"/>
              </w:rPr>
              <w:t>，</w:t>
            </w:r>
            <w:r>
              <w:rPr>
                <w:rFonts w:hint="eastAsia"/>
                <w:color w:val="auto"/>
                <w:sz w:val="24"/>
                <w:u w:val="none" w:color="auto"/>
                <w:lang w:val="en-US" w:eastAsia="zh-CN"/>
              </w:rPr>
              <w:t>柴油、硝酸、盐酸</w:t>
            </w:r>
            <w:r>
              <w:rPr>
                <w:color w:val="auto"/>
                <w:sz w:val="24"/>
                <w:u w:val="none" w:color="auto"/>
              </w:rPr>
              <w:t>等物料</w:t>
            </w:r>
            <w:r>
              <w:rPr>
                <w:rFonts w:hint="eastAsia"/>
                <w:color w:val="auto"/>
                <w:sz w:val="24"/>
                <w:u w:val="none" w:color="auto"/>
              </w:rPr>
              <w:t>贮存和运输过程中泄露、遗撒对周围的土壤、地下水造成污染，从而间接引起对周围人群健康的危害</w:t>
            </w:r>
            <w:r>
              <w:rPr>
                <w:color w:val="auto"/>
                <w:sz w:val="24"/>
                <w:u w:val="none" w:color="auto"/>
                <w:lang w:val="en-GB"/>
              </w:rPr>
              <w:t>。</w:t>
            </w:r>
          </w:p>
          <w:p w14:paraId="083E4311">
            <w:pPr>
              <w:pStyle w:val="34"/>
              <w:keepNext w:val="0"/>
              <w:keepLines w:val="0"/>
              <w:pageBreakBefore w:val="0"/>
              <w:kinsoku/>
              <w:wordWrap/>
              <w:overflowPunct/>
              <w:topLinePunct w:val="0"/>
              <w:autoSpaceDE/>
              <w:autoSpaceDN/>
              <w:bidi w:val="0"/>
              <w:spacing w:after="0" w:line="360" w:lineRule="auto"/>
              <w:ind w:left="0" w:leftChars="0" w:firstLine="480" w:firstLineChars="200"/>
              <w:jc w:val="both"/>
              <w:textAlignment w:val="auto"/>
              <w:rPr>
                <w:color w:val="auto"/>
                <w:sz w:val="24"/>
                <w:u w:val="none" w:color="auto"/>
                <w:lang w:val="en-GB"/>
              </w:rPr>
            </w:pPr>
            <w:r>
              <w:rPr>
                <w:color w:val="auto"/>
                <w:sz w:val="24"/>
                <w:u w:val="none" w:color="auto"/>
                <w:lang w:val="en-GB"/>
              </w:rPr>
              <w:t>7.3.2 危险废物的暂存风险识别</w:t>
            </w:r>
          </w:p>
          <w:p w14:paraId="1878E67D">
            <w:pPr>
              <w:pStyle w:val="34"/>
              <w:keepNext w:val="0"/>
              <w:keepLines w:val="0"/>
              <w:pageBreakBefore w:val="0"/>
              <w:kinsoku/>
              <w:wordWrap/>
              <w:overflowPunct/>
              <w:topLinePunct w:val="0"/>
              <w:autoSpaceDE/>
              <w:autoSpaceDN/>
              <w:bidi w:val="0"/>
              <w:spacing w:after="0" w:line="360" w:lineRule="auto"/>
              <w:ind w:left="0" w:leftChars="0" w:firstLine="480" w:firstLineChars="200"/>
              <w:jc w:val="both"/>
              <w:textAlignment w:val="auto"/>
              <w:rPr>
                <w:color w:val="auto"/>
                <w:sz w:val="24"/>
                <w:u w:val="none" w:color="auto"/>
                <w:lang w:val="en-GB"/>
              </w:rPr>
            </w:pPr>
            <w:r>
              <w:rPr>
                <w:color w:val="auto"/>
                <w:sz w:val="24"/>
                <w:u w:val="none" w:color="auto"/>
                <w:lang w:val="en-GB"/>
              </w:rPr>
              <w:t>项目</w:t>
            </w:r>
            <w:r>
              <w:rPr>
                <w:color w:val="auto"/>
                <w:sz w:val="24"/>
                <w:u w:val="none" w:color="auto"/>
              </w:rPr>
              <w:t>生产过程中产生废</w:t>
            </w:r>
            <w:r>
              <w:rPr>
                <w:rFonts w:hint="eastAsia"/>
                <w:color w:val="auto"/>
                <w:sz w:val="24"/>
                <w:u w:val="none" w:color="auto"/>
                <w:lang w:val="en-US" w:eastAsia="zh-CN"/>
              </w:rPr>
              <w:t>柴油</w:t>
            </w:r>
            <w:r>
              <w:rPr>
                <w:color w:val="auto"/>
                <w:sz w:val="24"/>
                <w:u w:val="none" w:color="auto"/>
              </w:rPr>
              <w:t>桶、废活性炭等危险废物</w:t>
            </w:r>
            <w:r>
              <w:rPr>
                <w:color w:val="auto"/>
                <w:sz w:val="24"/>
                <w:u w:val="none" w:color="auto"/>
                <w:lang w:val="en-GB"/>
              </w:rPr>
              <w:t>，该风险物质暂存危废暂存间（风险区域），在暂存过程中一旦发生泄漏事故，可能会对区域土壤环境和水环境产生影响。</w:t>
            </w:r>
          </w:p>
          <w:p w14:paraId="5695DCBB">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7.3.3风险类型识别结果</w:t>
            </w:r>
          </w:p>
          <w:p w14:paraId="0F6F7FC8">
            <w:pPr>
              <w:keepNext w:val="0"/>
              <w:keepLines w:val="0"/>
              <w:pageBreakBefore w:val="0"/>
              <w:kinsoku/>
              <w:wordWrap/>
              <w:overflowPunct/>
              <w:topLinePunct w:val="0"/>
              <w:autoSpaceDE/>
              <w:autoSpaceDN/>
              <w:bidi w:val="0"/>
              <w:snapToGrid w:val="0"/>
              <w:spacing w:line="360" w:lineRule="auto"/>
              <w:ind w:firstLine="480" w:firstLineChars="200"/>
              <w:jc w:val="both"/>
              <w:textAlignment w:val="auto"/>
              <w:rPr>
                <w:color w:val="auto"/>
                <w:sz w:val="24"/>
                <w:u w:val="none" w:color="auto"/>
              </w:rPr>
            </w:pPr>
            <w:r>
              <w:rPr>
                <w:color w:val="auto"/>
                <w:sz w:val="24"/>
                <w:u w:val="none" w:color="auto"/>
              </w:rPr>
              <w:t>综上分析，本次评价确定项目的风险类型主要为：</w:t>
            </w:r>
          </w:p>
          <w:p w14:paraId="41E1AB79">
            <w:pPr>
              <w:keepNext w:val="0"/>
              <w:keepLines w:val="0"/>
              <w:pageBreakBefore w:val="0"/>
              <w:kinsoku/>
              <w:wordWrap/>
              <w:overflowPunct/>
              <w:topLinePunct w:val="0"/>
              <w:autoSpaceDE/>
              <w:autoSpaceDN/>
              <w:bidi w:val="0"/>
              <w:snapToGrid w:val="0"/>
              <w:spacing w:line="360" w:lineRule="auto"/>
              <w:ind w:firstLine="480" w:firstLineChars="200"/>
              <w:jc w:val="both"/>
              <w:textAlignment w:val="auto"/>
              <w:rPr>
                <w:color w:val="auto"/>
                <w:sz w:val="24"/>
                <w:u w:val="none" w:color="auto"/>
              </w:rPr>
            </w:pPr>
            <w:r>
              <w:rPr>
                <w:color w:val="auto"/>
                <w:sz w:val="24"/>
                <w:u w:val="none" w:color="auto"/>
              </w:rPr>
              <w:t>①</w:t>
            </w:r>
            <w:r>
              <w:rPr>
                <w:rFonts w:hint="eastAsia"/>
                <w:color w:val="auto"/>
                <w:sz w:val="24"/>
                <w:u w:val="none" w:color="auto"/>
                <w:lang w:val="en-US" w:eastAsia="zh-CN"/>
              </w:rPr>
              <w:t>柴油</w:t>
            </w:r>
            <w:r>
              <w:rPr>
                <w:color w:val="auto"/>
                <w:sz w:val="24"/>
                <w:u w:val="none" w:color="auto"/>
              </w:rPr>
              <w:t>等物料储存和使用，如遇</w:t>
            </w:r>
            <w:r>
              <w:rPr>
                <w:color w:val="auto"/>
                <w:sz w:val="24"/>
                <w:u w:val="none" w:color="auto"/>
                <w:lang w:val="en-GB"/>
              </w:rPr>
              <w:t>易燃物质或明火等可能引起火灾</w:t>
            </w:r>
            <w:r>
              <w:rPr>
                <w:color w:val="auto"/>
                <w:sz w:val="24"/>
                <w:u w:val="none" w:color="auto"/>
              </w:rPr>
              <w:t>；</w:t>
            </w:r>
          </w:p>
          <w:p w14:paraId="3C3FE777">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lang w:val="en-GB"/>
              </w:rPr>
            </w:pPr>
            <w:r>
              <w:rPr>
                <w:rFonts w:hint="eastAsia"/>
                <w:color w:val="auto"/>
                <w:sz w:val="24"/>
                <w:u w:val="none" w:color="auto"/>
              </w:rPr>
              <w:t>②</w:t>
            </w:r>
            <w:r>
              <w:rPr>
                <w:rFonts w:hint="eastAsia"/>
                <w:color w:val="auto"/>
                <w:sz w:val="24"/>
                <w:u w:val="none" w:color="auto"/>
                <w:lang w:val="en-US" w:eastAsia="zh-CN"/>
              </w:rPr>
              <w:t>柴油、硝酸、盐酸</w:t>
            </w:r>
            <w:r>
              <w:rPr>
                <w:color w:val="auto"/>
                <w:sz w:val="24"/>
                <w:u w:val="none" w:color="auto"/>
              </w:rPr>
              <w:t>等物料</w:t>
            </w:r>
            <w:r>
              <w:rPr>
                <w:rFonts w:hint="eastAsia"/>
                <w:color w:val="auto"/>
                <w:sz w:val="24"/>
                <w:u w:val="none" w:color="auto"/>
              </w:rPr>
              <w:t>贮存和运输过程中泄露、遗撒对周围的土壤、地下水造成污染，从而间接引起对周围人群健康的危害</w:t>
            </w:r>
            <w:r>
              <w:rPr>
                <w:color w:val="auto"/>
                <w:sz w:val="24"/>
                <w:u w:val="none" w:color="auto"/>
                <w:lang w:val="en-GB"/>
              </w:rPr>
              <w:t>。</w:t>
            </w:r>
          </w:p>
          <w:p w14:paraId="37645CE4">
            <w:pPr>
              <w:keepNext w:val="0"/>
              <w:keepLines w:val="0"/>
              <w:pageBreakBefore w:val="0"/>
              <w:kinsoku/>
              <w:wordWrap/>
              <w:overflowPunct/>
              <w:topLinePunct w:val="0"/>
              <w:autoSpaceDE/>
              <w:autoSpaceDN/>
              <w:bidi w:val="0"/>
              <w:snapToGrid w:val="0"/>
              <w:spacing w:line="360" w:lineRule="auto"/>
              <w:ind w:firstLine="480" w:firstLineChars="200"/>
              <w:jc w:val="both"/>
              <w:textAlignment w:val="auto"/>
              <w:rPr>
                <w:color w:val="auto"/>
                <w:sz w:val="24"/>
                <w:u w:val="none" w:color="auto"/>
              </w:rPr>
            </w:pPr>
            <w:r>
              <w:rPr>
                <w:rFonts w:hint="eastAsia"/>
                <w:color w:val="auto"/>
                <w:sz w:val="24"/>
                <w:u w:val="none" w:color="auto"/>
              </w:rPr>
              <w:t>③</w:t>
            </w:r>
            <w:r>
              <w:rPr>
                <w:color w:val="auto"/>
                <w:sz w:val="24"/>
                <w:u w:val="none" w:color="auto"/>
              </w:rPr>
              <w:t>废</w:t>
            </w:r>
            <w:r>
              <w:rPr>
                <w:rFonts w:hint="eastAsia"/>
                <w:color w:val="auto"/>
                <w:sz w:val="24"/>
                <w:u w:val="none" w:color="auto"/>
                <w:lang w:val="en-US" w:eastAsia="zh-CN"/>
              </w:rPr>
              <w:t>柴油</w:t>
            </w:r>
            <w:r>
              <w:rPr>
                <w:color w:val="auto"/>
                <w:sz w:val="24"/>
                <w:u w:val="none" w:color="auto"/>
              </w:rPr>
              <w:t>桶、废活性炭等危险废物的储存对周边地表水、土壤、地下水环境造成的风险影响。</w:t>
            </w:r>
          </w:p>
          <w:p w14:paraId="7D24503F">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7.4环境风险分析</w:t>
            </w:r>
          </w:p>
          <w:p w14:paraId="4990595B">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（1）火灾事故分析</w:t>
            </w:r>
          </w:p>
          <w:p w14:paraId="74B33AFA">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bCs/>
                <w:color w:val="auto"/>
                <w:sz w:val="24"/>
                <w:u w:val="none" w:color="auto"/>
              </w:rPr>
            </w:pPr>
            <w:r>
              <w:rPr>
                <w:bCs/>
                <w:color w:val="auto"/>
                <w:sz w:val="24"/>
                <w:u w:val="none" w:color="auto"/>
              </w:rPr>
              <w:t>①大气环境</w:t>
            </w:r>
          </w:p>
          <w:p w14:paraId="7082ABDB">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bCs/>
                <w:color w:val="auto"/>
                <w:sz w:val="24"/>
                <w:u w:val="none" w:color="auto"/>
              </w:rPr>
            </w:pPr>
            <w:r>
              <w:rPr>
                <w:bCs/>
                <w:color w:val="auto"/>
                <w:sz w:val="24"/>
                <w:u w:val="none" w:color="auto"/>
              </w:rPr>
              <w:t>本项目涉及的</w:t>
            </w:r>
            <w:r>
              <w:rPr>
                <w:rFonts w:hint="eastAsia"/>
                <w:color w:val="auto"/>
                <w:sz w:val="24"/>
                <w:u w:val="none" w:color="auto"/>
                <w:lang w:val="en-US" w:eastAsia="zh-CN"/>
              </w:rPr>
              <w:t>柴油</w:t>
            </w:r>
            <w:r>
              <w:rPr>
                <w:color w:val="auto"/>
                <w:sz w:val="24"/>
                <w:u w:val="none" w:color="auto"/>
              </w:rPr>
              <w:t>等物料</w:t>
            </w:r>
            <w:r>
              <w:rPr>
                <w:bCs/>
                <w:color w:val="auto"/>
                <w:sz w:val="24"/>
                <w:u w:val="none" w:color="auto"/>
              </w:rPr>
              <w:t>属于易燃物质、电气设备由于超负荷运转等因素，一旦车间管理不当，遇明火或自燃燃烧，其燃烧产物中一氧化碳、二氧化碳、氮氧化物和烟雾可能会对大气环境产生一定的影响。一旦发生火灾事故，随着大气的扩散作用，CO的浓度降低，大气环境可恢复到现状水平，预计本项目火灾不会对周围外界大气环境造成持续的影响。一旦发生事故，建设单位应及时采用正确方法处理所发生事故，应急处理人员穿戴全身专用防护服，佩戴氧气呼吸器对事故进行应急处理，尽量减轻对人员的影响。</w:t>
            </w:r>
          </w:p>
          <w:p w14:paraId="48622146">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bCs/>
                <w:color w:val="auto"/>
                <w:sz w:val="24"/>
                <w:u w:val="none" w:color="auto"/>
              </w:rPr>
            </w:pPr>
            <w:r>
              <w:rPr>
                <w:bCs/>
                <w:color w:val="auto"/>
                <w:sz w:val="24"/>
                <w:u w:val="none" w:color="auto"/>
              </w:rPr>
              <w:t>②地表水环境</w:t>
            </w:r>
          </w:p>
          <w:p w14:paraId="38996E7C">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bCs/>
                <w:color w:val="auto"/>
                <w:sz w:val="24"/>
                <w:u w:val="none" w:color="auto"/>
              </w:rPr>
            </w:pPr>
            <w:r>
              <w:rPr>
                <w:bCs/>
                <w:color w:val="auto"/>
                <w:sz w:val="24"/>
                <w:u w:val="none" w:color="auto"/>
              </w:rPr>
              <w:t>发生小面积火灾情况，可采用干粉灭火器、消防沙灭火，不会产生消防废水；大面积火灾需使用消防水灭火时，产生大量消防废水，若收集不当将会对地表水产生不利影响。</w:t>
            </w:r>
          </w:p>
          <w:p w14:paraId="2D4EBDC7">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bCs/>
                <w:color w:val="auto"/>
                <w:sz w:val="24"/>
                <w:u w:val="none" w:color="auto"/>
              </w:rPr>
            </w:pPr>
            <w:r>
              <w:rPr>
                <w:bCs/>
                <w:color w:val="auto"/>
                <w:sz w:val="24"/>
                <w:u w:val="none" w:color="auto"/>
              </w:rPr>
              <w:t>本项目厂区内存放有灭火器。发生小范围火灾事故时，使用干粉灭火器及时灭火；发生大范围火灾事故时，使用消防水及时灭火。若发生大范围火灾事故时，使用消防水进行灭火，会产生消防废水，建设单位应及时用沙袋封堵厂区雨水总排口，截留有限的消防废水。待事故结束后，委托有资质单位对截留的消防废水水质进行检测，若水质满足污水处理厂进水水质要求，将消防废水经市政污水管网排入市政污水管网；若水质不能满足污水处理厂进水水质要求，将消防废水外运委托有资质单位处理。</w:t>
            </w:r>
          </w:p>
          <w:p w14:paraId="576B7728">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bCs/>
                <w:color w:val="auto"/>
                <w:sz w:val="24"/>
                <w:u w:val="none" w:color="auto"/>
              </w:rPr>
            </w:pPr>
            <w:r>
              <w:rPr>
                <w:rFonts w:hint="eastAsia"/>
                <w:bCs/>
                <w:color w:val="auto"/>
                <w:sz w:val="24"/>
                <w:u w:val="none" w:color="auto"/>
              </w:rPr>
              <w:t>（2）</w:t>
            </w:r>
            <w:r>
              <w:rPr>
                <w:rFonts w:hint="eastAsia"/>
                <w:color w:val="auto"/>
                <w:sz w:val="24"/>
                <w:u w:val="none" w:color="auto"/>
                <w:lang w:val="en-US" w:eastAsia="zh-CN"/>
              </w:rPr>
              <w:t>柴油、硝酸、盐酸</w:t>
            </w:r>
            <w:r>
              <w:rPr>
                <w:color w:val="auto"/>
                <w:sz w:val="24"/>
                <w:u w:val="none" w:color="auto"/>
              </w:rPr>
              <w:t>等物料</w:t>
            </w:r>
            <w:r>
              <w:rPr>
                <w:rFonts w:hint="eastAsia"/>
                <w:bCs/>
                <w:color w:val="auto"/>
                <w:sz w:val="24"/>
                <w:u w:val="none" w:color="auto"/>
              </w:rPr>
              <w:t>泄漏环境风险分析</w:t>
            </w:r>
          </w:p>
          <w:p w14:paraId="4D0D44F8">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bCs/>
                <w:color w:val="auto"/>
                <w:sz w:val="24"/>
                <w:u w:val="none" w:color="auto"/>
              </w:rPr>
            </w:pPr>
            <w:r>
              <w:rPr>
                <w:rFonts w:hint="eastAsia"/>
                <w:bCs/>
                <w:color w:val="auto"/>
                <w:sz w:val="24"/>
                <w:u w:val="none" w:color="auto"/>
              </w:rPr>
              <w:t>油类物质进入河流后，由于有机物烃类物质难溶于水，大部分上浮在水层表面，首先造成对河流的景观破坏，产生严重的刺鼻气味；其次油膜使空气与水隔离，造成水中溶解氧浓度降低，逐渐形成死水，致使水中生物死亡；再次，油类物质一旦进入水环境，由于可生化性差，可能造成被污染水体长时间得不到净化。如果泄漏的油品下渗进入地下水体，会对地下水产生影响，影响地下水水质。</w:t>
            </w:r>
          </w:p>
          <w:p w14:paraId="0AC860DE">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w:t>
            </w:r>
            <w:r>
              <w:rPr>
                <w:rFonts w:hint="eastAsia"/>
                <w:color w:val="auto"/>
                <w:sz w:val="24"/>
                <w:u w:val="none" w:color="auto"/>
              </w:rPr>
              <w:t>3</w:t>
            </w:r>
            <w:r>
              <w:rPr>
                <w:color w:val="auto"/>
                <w:sz w:val="24"/>
                <w:u w:val="none" w:color="auto"/>
              </w:rPr>
              <w:t>）危险废物暂存泄漏事故分析</w:t>
            </w:r>
          </w:p>
          <w:p w14:paraId="3A0A39EE">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废</w:t>
            </w:r>
            <w:r>
              <w:rPr>
                <w:rFonts w:hint="eastAsia"/>
                <w:color w:val="auto"/>
                <w:sz w:val="24"/>
                <w:u w:val="none" w:color="auto"/>
                <w:lang w:val="en-US" w:eastAsia="zh-CN"/>
              </w:rPr>
              <w:t>柴油</w:t>
            </w:r>
            <w:r>
              <w:rPr>
                <w:color w:val="auto"/>
                <w:sz w:val="24"/>
                <w:u w:val="none" w:color="auto"/>
              </w:rPr>
              <w:t>桶、废活性炭等危险废物一旦发生泄漏事故，应及时进行收集处理，未收集的部分可能会导致土壤受到污染。</w:t>
            </w:r>
          </w:p>
          <w:p w14:paraId="5116CDA7">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由于本项废</w:t>
            </w:r>
            <w:r>
              <w:rPr>
                <w:rFonts w:hint="eastAsia"/>
                <w:color w:val="auto"/>
                <w:sz w:val="24"/>
                <w:u w:val="none" w:color="auto"/>
                <w:lang w:val="en-US" w:eastAsia="zh-CN"/>
              </w:rPr>
              <w:t>柴油</w:t>
            </w:r>
            <w:r>
              <w:rPr>
                <w:color w:val="auto"/>
                <w:sz w:val="24"/>
                <w:u w:val="none" w:color="auto"/>
              </w:rPr>
              <w:t>桶存储量不大，在不发生爆炸的情况下，泄漏的概率几乎为零，其发生泄漏而不引起火灾爆炸事故时，主要影响是</w:t>
            </w:r>
            <w:r>
              <w:rPr>
                <w:rFonts w:hint="eastAsia"/>
                <w:color w:val="auto"/>
                <w:sz w:val="24"/>
                <w:u w:val="none" w:color="auto"/>
                <w:lang w:val="en-US" w:eastAsia="zh-CN"/>
              </w:rPr>
              <w:t>桶内残存物料</w:t>
            </w:r>
            <w:r>
              <w:rPr>
                <w:color w:val="auto"/>
                <w:sz w:val="24"/>
                <w:u w:val="none" w:color="auto"/>
              </w:rPr>
              <w:t>挥发的有机废气对环境空气的影响，由于单桶量相对较小，对厂区大气环境造成影响较小；项目废活性炭主要来源于废气处理设施，其吸附介质主要为挥发性有机物，储存过程采用密闭储存，储存过程基本无有机废气挥发出，其发生泄漏而不引起火灾爆炸事故时，主要影响是挥发的有机废气对环境空气的影响，由于废活性炭产生量少，产生频次低且及时委托有资质单位转运，基本不会对周围环境造成影响。</w:t>
            </w:r>
          </w:p>
          <w:p w14:paraId="5D0D79DD">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7.4环境风险防范措施及应急要求</w:t>
            </w:r>
          </w:p>
          <w:p w14:paraId="3FFE8E4D">
            <w:pPr>
              <w:pStyle w:val="34"/>
              <w:keepNext w:val="0"/>
              <w:keepLines w:val="0"/>
              <w:pageBreakBefore w:val="0"/>
              <w:kinsoku/>
              <w:wordWrap/>
              <w:overflowPunct/>
              <w:topLinePunct w:val="0"/>
              <w:autoSpaceDE/>
              <w:autoSpaceDN/>
              <w:bidi w:val="0"/>
              <w:spacing w:after="0" w:line="360" w:lineRule="auto"/>
              <w:ind w:left="0" w:leftChars="0" w:firstLine="480" w:firstLineChars="200"/>
              <w:jc w:val="both"/>
              <w:textAlignment w:val="auto"/>
              <w:rPr>
                <w:color w:val="auto"/>
                <w:sz w:val="24"/>
                <w:u w:val="none" w:color="auto"/>
              </w:rPr>
            </w:pPr>
            <w:r>
              <w:rPr>
                <w:color w:val="auto"/>
                <w:sz w:val="24"/>
                <w:u w:val="none" w:color="auto"/>
              </w:rPr>
              <w:t>7.4.1风险防范措施</w:t>
            </w:r>
          </w:p>
          <w:p w14:paraId="1700B7B8">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（1）原料储存过程事故收集措施</w:t>
            </w:r>
          </w:p>
          <w:p w14:paraId="40C37E51">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原料（</w:t>
            </w:r>
            <w:r>
              <w:rPr>
                <w:rFonts w:hint="eastAsia"/>
                <w:color w:val="auto"/>
                <w:sz w:val="24"/>
                <w:u w:val="none" w:color="auto"/>
                <w:lang w:val="en-US" w:eastAsia="zh-CN"/>
              </w:rPr>
              <w:t>柴油、硝酸、盐酸</w:t>
            </w:r>
            <w:r>
              <w:rPr>
                <w:color w:val="auto"/>
                <w:sz w:val="24"/>
                <w:u w:val="none" w:color="auto"/>
              </w:rPr>
              <w:t>等物料）加强贮存使用管理，及时检查包装容器完好使用情况，严防出现泄漏事故。原料仓库四周设置围堰（容积2m</w:t>
            </w:r>
            <w:r>
              <w:rPr>
                <w:color w:val="auto"/>
                <w:sz w:val="24"/>
                <w:u w:val="none" w:color="auto"/>
                <w:vertAlign w:val="superscript"/>
              </w:rPr>
              <w:t>3</w:t>
            </w:r>
            <w:r>
              <w:rPr>
                <w:color w:val="auto"/>
                <w:sz w:val="24"/>
                <w:u w:val="none" w:color="auto"/>
              </w:rPr>
              <w:t>），泄露物料及时收集后作为危废处理，危废间设置</w:t>
            </w:r>
            <w:r>
              <w:rPr>
                <w:rFonts w:hint="eastAsia"/>
                <w:color w:val="auto"/>
                <w:sz w:val="24"/>
                <w:u w:val="none" w:color="auto"/>
                <w:lang w:eastAsia="zh-CN"/>
              </w:rPr>
              <w:t>“</w:t>
            </w:r>
            <w:r>
              <w:rPr>
                <w:color w:val="auto"/>
                <w:sz w:val="24"/>
                <w:u w:val="none" w:color="auto"/>
              </w:rPr>
              <w:t>“六防</w:t>
            </w:r>
            <w:r>
              <w:rPr>
                <w:rFonts w:hint="eastAsia"/>
                <w:color w:val="auto"/>
                <w:sz w:val="24"/>
                <w:u w:val="none" w:color="auto"/>
                <w:lang w:eastAsia="zh-CN"/>
              </w:rPr>
              <w:t>”</w:t>
            </w:r>
            <w:r>
              <w:rPr>
                <w:color w:val="auto"/>
                <w:sz w:val="24"/>
                <w:u w:val="none" w:color="auto"/>
              </w:rPr>
              <w:t>措施。一旦发生泄漏情况，应迅速撤离污染区人员至上风处，设置一定隔离距离，严格限制无关人员出入；建议应急处理人员戴自给正压式呼吸器，穿防护服，从上风处进入现场，及时清理现场泄漏物料，防止外排污染水环境。</w:t>
            </w:r>
          </w:p>
          <w:p w14:paraId="0549AA36">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（2）危废暂存过程中风险防范措施：</w:t>
            </w:r>
          </w:p>
          <w:p w14:paraId="50A9D679">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①危废暂存间贮存区域应符合有关安全、防火规定，并设置相应的通风、防爆、防火、灭火等安全设施。</w:t>
            </w:r>
          </w:p>
          <w:p w14:paraId="1FC57A2B">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②储存地点设置围堰，防止事故泄露</w:t>
            </w:r>
          </w:p>
          <w:p w14:paraId="7A3A5648">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③危废暂存间设置事故沟等风险防范措施；</w:t>
            </w:r>
          </w:p>
          <w:p w14:paraId="5D2E678F">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④建立安全生产岗位责任制，制定安全生产规章制度、安全操作规程，加强员工安全环保意识教育，树立安全生产意识，防止人为事故发生。</w:t>
            </w:r>
          </w:p>
          <w:p w14:paraId="1D745955">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rFonts w:hint="eastAsia"/>
                <w:color w:val="auto"/>
                <w:sz w:val="24"/>
                <w:u w:val="none" w:color="auto"/>
              </w:rPr>
              <w:t>⑤根据《危险废物贮存污染控制标准》(GB18597-2023)中的相关要求液态危险废物的堵截设施最小容积不应低于对应贮存区域最大液态废物容器容积或液态废物总储量 1/10（二者取较大者），本项目危废暂存间实验室废液</w:t>
            </w:r>
            <w:r>
              <w:rPr>
                <w:rFonts w:hint="eastAsia"/>
                <w:color w:val="auto"/>
                <w:sz w:val="24"/>
                <w:u w:val="none" w:color="auto"/>
                <w:lang w:val="en-US" w:eastAsia="zh-CN"/>
              </w:rPr>
              <w:t>以及过期试剂</w:t>
            </w:r>
            <w:r>
              <w:rPr>
                <w:rFonts w:hint="eastAsia"/>
                <w:color w:val="auto"/>
                <w:sz w:val="24"/>
                <w:u w:val="none" w:color="auto"/>
              </w:rPr>
              <w:t>暂存采用的带盖密闭塑料桶单个容积为50L，实验室废液</w:t>
            </w:r>
            <w:r>
              <w:rPr>
                <w:rFonts w:hint="eastAsia"/>
                <w:color w:val="auto"/>
                <w:sz w:val="24"/>
                <w:u w:val="none" w:color="auto"/>
                <w:lang w:val="en-US" w:eastAsia="zh-CN"/>
              </w:rPr>
              <w:t>以及过期试剂</w:t>
            </w:r>
            <w:r>
              <w:rPr>
                <w:rFonts w:hint="eastAsia"/>
                <w:color w:val="auto"/>
                <w:sz w:val="24"/>
                <w:u w:val="none" w:color="auto"/>
              </w:rPr>
              <w:t>的最大产生量为</w:t>
            </w:r>
            <w:r>
              <w:rPr>
                <w:rFonts w:hint="eastAsia"/>
                <w:color w:val="auto"/>
                <w:sz w:val="24"/>
                <w:u w:val="none" w:color="auto"/>
                <w:lang w:val="en-US" w:eastAsia="zh-CN"/>
              </w:rPr>
              <w:t>1.32</w:t>
            </w:r>
            <w:r>
              <w:rPr>
                <w:rFonts w:hint="eastAsia"/>
                <w:color w:val="auto"/>
                <w:sz w:val="24"/>
                <w:u w:val="none" w:color="auto"/>
              </w:rPr>
              <w:t>t/a，约为</w:t>
            </w:r>
            <w:r>
              <w:rPr>
                <w:rFonts w:hint="eastAsia"/>
                <w:color w:val="auto"/>
                <w:sz w:val="24"/>
                <w:u w:val="none" w:color="auto"/>
                <w:lang w:val="en-US" w:eastAsia="zh-CN"/>
              </w:rPr>
              <w:t>2.8</w:t>
            </w:r>
            <w:r>
              <w:rPr>
                <w:rFonts w:hint="eastAsia"/>
                <w:color w:val="auto"/>
                <w:sz w:val="24"/>
                <w:u w:val="none" w:color="auto"/>
              </w:rPr>
              <w:t>m</w:t>
            </w:r>
            <w:r>
              <w:rPr>
                <w:rFonts w:hint="eastAsia"/>
                <w:color w:val="auto"/>
                <w:sz w:val="24"/>
                <w:u w:val="none" w:color="auto"/>
                <w:vertAlign w:val="superscript"/>
              </w:rPr>
              <w:t>3</w:t>
            </w:r>
            <w:r>
              <w:rPr>
                <w:rFonts w:hint="eastAsia"/>
                <w:color w:val="auto"/>
                <w:sz w:val="24"/>
                <w:u w:val="none" w:color="auto"/>
              </w:rPr>
              <w:t>/a，项目每半年委托一次危废处理资质单位进行处置废油液，可得出，项目危废暂存间</w:t>
            </w:r>
            <w:r>
              <w:rPr>
                <w:rFonts w:hint="eastAsia"/>
                <w:color w:val="auto"/>
                <w:sz w:val="24"/>
                <w:u w:val="none" w:color="auto"/>
                <w:lang w:val="en-US" w:eastAsia="zh-CN"/>
              </w:rPr>
              <w:t>液态</w:t>
            </w:r>
            <w:r>
              <w:rPr>
                <w:rFonts w:hint="eastAsia"/>
                <w:color w:val="auto"/>
                <w:sz w:val="24"/>
                <w:u w:val="none" w:color="auto"/>
              </w:rPr>
              <w:t>暂存区实验室废液</w:t>
            </w:r>
            <w:r>
              <w:rPr>
                <w:rFonts w:hint="eastAsia"/>
                <w:color w:val="auto"/>
                <w:sz w:val="24"/>
                <w:u w:val="none" w:color="auto"/>
                <w:lang w:val="en-US" w:eastAsia="zh-CN"/>
              </w:rPr>
              <w:t>以及过期试剂</w:t>
            </w:r>
            <w:r>
              <w:rPr>
                <w:rFonts w:hint="eastAsia"/>
                <w:color w:val="auto"/>
                <w:sz w:val="24"/>
                <w:u w:val="none" w:color="auto"/>
              </w:rPr>
              <w:t>的最大储存量为</w:t>
            </w:r>
            <w:r>
              <w:rPr>
                <w:rFonts w:hint="eastAsia"/>
                <w:color w:val="auto"/>
                <w:sz w:val="24"/>
                <w:u w:val="none" w:color="auto"/>
                <w:lang w:val="en-US" w:eastAsia="zh-CN"/>
              </w:rPr>
              <w:t>0.14</w:t>
            </w:r>
            <w:r>
              <w:rPr>
                <w:rFonts w:hint="eastAsia"/>
                <w:color w:val="auto"/>
                <w:sz w:val="24"/>
                <w:u w:val="none" w:color="auto"/>
              </w:rPr>
              <w:t>m</w:t>
            </w:r>
            <w:r>
              <w:rPr>
                <w:rFonts w:hint="eastAsia"/>
                <w:color w:val="auto"/>
                <w:sz w:val="24"/>
                <w:u w:val="none" w:color="auto"/>
                <w:vertAlign w:val="superscript"/>
              </w:rPr>
              <w:t>3</w:t>
            </w:r>
            <w:r>
              <w:rPr>
                <w:rFonts w:hint="eastAsia"/>
                <w:color w:val="auto"/>
                <w:sz w:val="24"/>
                <w:u w:val="none" w:color="auto"/>
              </w:rPr>
              <w:t>，因此，应在危废暂存间内设置一座</w:t>
            </w:r>
            <w:r>
              <w:rPr>
                <w:rFonts w:hint="eastAsia"/>
                <w:color w:val="auto"/>
                <w:sz w:val="24"/>
                <w:u w:val="none" w:color="auto"/>
                <w:lang w:val="en-US" w:eastAsia="zh-CN"/>
              </w:rPr>
              <w:t>0.5</w:t>
            </w:r>
            <w:r>
              <w:rPr>
                <w:rFonts w:hint="eastAsia"/>
                <w:color w:val="auto"/>
                <w:sz w:val="24"/>
                <w:u w:val="none" w:color="auto"/>
              </w:rPr>
              <w:t>m</w:t>
            </w:r>
            <w:r>
              <w:rPr>
                <w:rFonts w:hint="eastAsia"/>
                <w:color w:val="auto"/>
                <w:sz w:val="24"/>
                <w:u w:val="none" w:color="auto"/>
                <w:vertAlign w:val="superscript"/>
              </w:rPr>
              <w:t>3</w:t>
            </w:r>
            <w:r>
              <w:rPr>
                <w:rFonts w:hint="eastAsia"/>
                <w:color w:val="auto"/>
                <w:sz w:val="24"/>
                <w:u w:val="none" w:color="auto"/>
              </w:rPr>
              <w:t>的事故收集池。</w:t>
            </w:r>
          </w:p>
          <w:p w14:paraId="0FF0DDD1">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（3）火灾事故风险防范措施</w:t>
            </w:r>
          </w:p>
          <w:p w14:paraId="014BC17F">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①在工程设计中，应严格按照国家有关规范和标准进行平面布置、建筑设计。生产区与办公室之间根据消防部门意见保持足够的安全距离。原料及产品库区设计按规范要求进行；平面布置上建筑物间的距离必须符合有关防火设计规范，各区可利用道路进行功能分区，必须满足交通和消防两方面要求。</w:t>
            </w:r>
          </w:p>
          <w:p w14:paraId="7CDE6F74">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②建立健全安全、环境管理体系及高效的安全生产机构，一旦发生事故，要做到快速、高效、安全处置。</w:t>
            </w:r>
          </w:p>
          <w:p w14:paraId="5ADA802D">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③厂内的电气设备严格按照防爆区划分配置。</w:t>
            </w:r>
          </w:p>
          <w:p w14:paraId="3B227928">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④如突发火灾，应立即采取急救措施，并及时向当地环保局等有关部门报告。一旦发生火灾事故，迅速按灭火作战预案紧急处理。</w:t>
            </w:r>
          </w:p>
          <w:p w14:paraId="5A105796">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color w:val="auto"/>
                <w:sz w:val="24"/>
                <w:u w:val="none" w:color="auto"/>
              </w:rPr>
            </w:pPr>
            <w:r>
              <w:rPr>
                <w:color w:val="auto"/>
                <w:sz w:val="24"/>
                <w:u w:val="none" w:color="auto"/>
              </w:rPr>
              <w:t>⑤</w:t>
            </w:r>
            <w:r>
              <w:rPr>
                <w:bCs/>
                <w:color w:val="auto"/>
                <w:sz w:val="24"/>
                <w:u w:val="none" w:color="auto"/>
              </w:rPr>
              <w:t>一旦发生事故，建设单位应及时采用正确方法处理所发生事故，应急处理人员穿戴全身专用防护服，佩戴氧气呼吸器对事故进行应急处理，尽量减轻对人员的影响，发生小范围火灾事故时，使用干粉灭火器及时灭火；发生大范围火灾事故时，使用消防水及时灭火。若发生大范围火灾事故时，使用消防水进行灭火，会产生消防废水，建设单位应及时用沙袋封堵厂区雨水总排口，截留有限的消防废水，</w:t>
            </w:r>
            <w:r>
              <w:rPr>
                <w:color w:val="auto"/>
                <w:kern w:val="0"/>
                <w:sz w:val="24"/>
                <w:u w:val="none" w:color="auto"/>
                <w:lang w:bidi="ar"/>
              </w:rPr>
              <w:t xml:space="preserve">参考《水体污染防控紧急措施设计导则》，消防废水储存设施总有效容积计算公式为： </w:t>
            </w:r>
          </w:p>
          <w:p w14:paraId="2987FB30">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color w:val="auto"/>
                <w:sz w:val="24"/>
                <w:u w:val="none" w:color="auto"/>
              </w:rPr>
            </w:pPr>
            <w:r>
              <w:rPr>
                <w:color w:val="auto"/>
                <w:kern w:val="0"/>
                <w:sz w:val="24"/>
                <w:u w:val="none" w:color="auto"/>
                <w:lang w:bidi="ar"/>
              </w:rPr>
              <w:t>V</w:t>
            </w:r>
            <w:r>
              <w:rPr>
                <w:color w:val="auto"/>
                <w:kern w:val="0"/>
                <w:sz w:val="24"/>
                <w:u w:val="none" w:color="auto"/>
                <w:vertAlign w:val="subscript"/>
                <w:lang w:bidi="ar"/>
              </w:rPr>
              <w:t>2</w:t>
            </w:r>
            <w:r>
              <w:rPr>
                <w:color w:val="auto"/>
                <w:kern w:val="0"/>
                <w:sz w:val="24"/>
                <w:u w:val="none" w:color="auto"/>
                <w:lang w:bidi="ar"/>
              </w:rPr>
              <w:t>—发生事故的储罐或装置的消防水量，m</w:t>
            </w:r>
            <w:r>
              <w:rPr>
                <w:color w:val="auto"/>
                <w:kern w:val="0"/>
                <w:sz w:val="24"/>
                <w:u w:val="none" w:color="auto"/>
                <w:vertAlign w:val="superscript"/>
                <w:lang w:bidi="ar"/>
              </w:rPr>
              <w:t>3</w:t>
            </w:r>
            <w:r>
              <w:rPr>
                <w:color w:val="auto"/>
                <w:kern w:val="0"/>
                <w:sz w:val="24"/>
                <w:u w:val="none" w:color="auto"/>
                <w:lang w:bidi="ar"/>
              </w:rPr>
              <w:t xml:space="preserve">； </w:t>
            </w:r>
          </w:p>
          <w:p w14:paraId="61890179">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color w:val="auto"/>
                <w:sz w:val="24"/>
                <w:u w:val="none" w:color="auto"/>
              </w:rPr>
            </w:pPr>
            <w:r>
              <w:rPr>
                <w:color w:val="auto"/>
                <w:kern w:val="0"/>
                <w:sz w:val="24"/>
                <w:u w:val="none" w:color="auto"/>
                <w:lang w:bidi="ar"/>
              </w:rPr>
              <w:t>V</w:t>
            </w:r>
            <w:r>
              <w:rPr>
                <w:color w:val="auto"/>
                <w:kern w:val="0"/>
                <w:sz w:val="24"/>
                <w:u w:val="none" w:color="auto"/>
                <w:vertAlign w:val="subscript"/>
                <w:lang w:bidi="ar"/>
              </w:rPr>
              <w:t>2</w:t>
            </w:r>
            <w:r>
              <w:rPr>
                <w:color w:val="auto"/>
                <w:kern w:val="0"/>
                <w:sz w:val="24"/>
                <w:u w:val="none" w:color="auto"/>
                <w:lang w:bidi="ar"/>
              </w:rPr>
              <w:t>=∑Q</w:t>
            </w:r>
            <w:r>
              <w:rPr>
                <w:color w:val="auto"/>
                <w:kern w:val="0"/>
                <w:sz w:val="24"/>
                <w:u w:val="none" w:color="auto"/>
                <w:vertAlign w:val="subscript"/>
                <w:lang w:bidi="ar"/>
              </w:rPr>
              <w:t>消</w:t>
            </w:r>
            <w:r>
              <w:rPr>
                <w:color w:val="auto"/>
                <w:kern w:val="0"/>
                <w:sz w:val="24"/>
                <w:u w:val="none" w:color="auto"/>
                <w:lang w:bidi="ar"/>
              </w:rPr>
              <w:t>t</w:t>
            </w:r>
            <w:r>
              <w:rPr>
                <w:color w:val="auto"/>
                <w:kern w:val="0"/>
                <w:sz w:val="24"/>
                <w:u w:val="none" w:color="auto"/>
                <w:vertAlign w:val="subscript"/>
                <w:lang w:bidi="ar"/>
              </w:rPr>
              <w:t>消</w:t>
            </w:r>
          </w:p>
          <w:p w14:paraId="6951EB72">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color w:val="auto"/>
                <w:sz w:val="24"/>
                <w:u w:val="none" w:color="auto"/>
              </w:rPr>
            </w:pPr>
            <w:r>
              <w:rPr>
                <w:color w:val="auto"/>
                <w:kern w:val="0"/>
                <w:sz w:val="24"/>
                <w:u w:val="none" w:color="auto"/>
                <w:lang w:bidi="ar"/>
              </w:rPr>
              <w:t>Q</w:t>
            </w:r>
            <w:r>
              <w:rPr>
                <w:color w:val="auto"/>
                <w:kern w:val="0"/>
                <w:sz w:val="24"/>
                <w:u w:val="none" w:color="auto"/>
                <w:vertAlign w:val="subscript"/>
                <w:lang w:bidi="ar"/>
              </w:rPr>
              <w:t>消</w:t>
            </w:r>
            <w:r>
              <w:rPr>
                <w:color w:val="auto"/>
                <w:kern w:val="0"/>
                <w:sz w:val="24"/>
                <w:u w:val="none" w:color="auto"/>
                <w:lang w:bidi="ar"/>
              </w:rPr>
              <w:t>—发生事故时的储罐或装置同时使用的消防设施给水流量，m</w:t>
            </w:r>
            <w:r>
              <w:rPr>
                <w:color w:val="auto"/>
                <w:kern w:val="0"/>
                <w:sz w:val="24"/>
                <w:u w:val="none" w:color="auto"/>
                <w:vertAlign w:val="superscript"/>
                <w:lang w:bidi="ar"/>
              </w:rPr>
              <w:t>3</w:t>
            </w:r>
            <w:r>
              <w:rPr>
                <w:color w:val="auto"/>
                <w:kern w:val="0"/>
                <w:sz w:val="24"/>
                <w:u w:val="none" w:color="auto"/>
                <w:lang w:bidi="ar"/>
              </w:rPr>
              <w:t xml:space="preserve"> /h；综合考虑灭火喷淋消防给水量，取10L/s； </w:t>
            </w:r>
          </w:p>
          <w:p w14:paraId="64F9D46F">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color w:val="auto"/>
                <w:sz w:val="24"/>
                <w:u w:val="none" w:color="auto"/>
              </w:rPr>
            </w:pPr>
            <w:r>
              <w:rPr>
                <w:color w:val="auto"/>
                <w:kern w:val="0"/>
                <w:sz w:val="24"/>
                <w:u w:val="none" w:color="auto"/>
                <w:lang w:bidi="ar"/>
              </w:rPr>
              <w:t>t</w:t>
            </w:r>
            <w:r>
              <w:rPr>
                <w:color w:val="auto"/>
                <w:kern w:val="0"/>
                <w:sz w:val="24"/>
                <w:u w:val="none" w:color="auto"/>
                <w:vertAlign w:val="subscript"/>
                <w:lang w:bidi="ar"/>
              </w:rPr>
              <w:t>消</w:t>
            </w:r>
            <w:r>
              <w:rPr>
                <w:color w:val="auto"/>
                <w:kern w:val="0"/>
                <w:sz w:val="24"/>
                <w:u w:val="none" w:color="auto"/>
                <w:lang w:bidi="ar"/>
              </w:rPr>
              <w:t>—消防设施对应的设计消防历时（h），取2.0h；</w:t>
            </w:r>
          </w:p>
          <w:p w14:paraId="08C432B9">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bCs/>
                <w:color w:val="auto"/>
                <w:sz w:val="24"/>
                <w:u w:val="none" w:color="auto"/>
              </w:rPr>
            </w:pPr>
            <w:r>
              <w:rPr>
                <w:color w:val="auto"/>
                <w:kern w:val="0"/>
                <w:sz w:val="24"/>
                <w:u w:val="none" w:color="auto"/>
                <w:lang w:bidi="ar"/>
              </w:rPr>
              <w:t>经计算，消防用水量为72m</w:t>
            </w:r>
            <w:r>
              <w:rPr>
                <w:color w:val="auto"/>
                <w:kern w:val="0"/>
                <w:sz w:val="24"/>
                <w:u w:val="none" w:color="auto"/>
                <w:vertAlign w:val="superscript"/>
                <w:lang w:bidi="ar"/>
              </w:rPr>
              <w:t>3</w:t>
            </w:r>
            <w:r>
              <w:rPr>
                <w:color w:val="auto"/>
                <w:kern w:val="0"/>
                <w:sz w:val="24"/>
                <w:u w:val="none" w:color="auto"/>
                <w:lang w:bidi="ar"/>
              </w:rPr>
              <w:t>。项目设计1座</w:t>
            </w:r>
            <w:r>
              <w:rPr>
                <w:rFonts w:hint="eastAsia"/>
                <w:color w:val="auto"/>
                <w:kern w:val="0"/>
                <w:sz w:val="24"/>
                <w:u w:val="none" w:color="auto"/>
                <w:lang w:bidi="ar"/>
              </w:rPr>
              <w:t>100</w:t>
            </w:r>
            <w:r>
              <w:rPr>
                <w:color w:val="auto"/>
                <w:kern w:val="0"/>
                <w:sz w:val="24"/>
                <w:u w:val="none" w:color="auto"/>
                <w:lang w:bidi="ar"/>
              </w:rPr>
              <w:t>m</w:t>
            </w:r>
            <w:r>
              <w:rPr>
                <w:color w:val="auto"/>
                <w:kern w:val="0"/>
                <w:sz w:val="24"/>
                <w:u w:val="none" w:color="auto"/>
                <w:vertAlign w:val="superscript"/>
                <w:lang w:bidi="ar"/>
              </w:rPr>
              <w:t>3</w:t>
            </w:r>
            <w:r>
              <w:rPr>
                <w:rFonts w:hint="eastAsia"/>
                <w:color w:val="auto"/>
                <w:kern w:val="0"/>
                <w:sz w:val="24"/>
                <w:u w:val="none" w:color="auto"/>
                <w:lang w:bidi="ar"/>
              </w:rPr>
              <w:t>消防废</w:t>
            </w:r>
            <w:r>
              <w:rPr>
                <w:color w:val="auto"/>
                <w:kern w:val="0"/>
                <w:sz w:val="24"/>
                <w:u w:val="none" w:color="auto"/>
                <w:lang w:bidi="ar"/>
              </w:rPr>
              <w:t>水池，</w:t>
            </w:r>
            <w:r>
              <w:rPr>
                <w:rFonts w:hint="eastAsia"/>
                <w:color w:val="auto"/>
                <w:kern w:val="0"/>
                <w:sz w:val="24"/>
                <w:u w:val="none" w:color="auto"/>
                <w:lang w:bidi="ar"/>
              </w:rPr>
              <w:t>消防废</w:t>
            </w:r>
            <w:r>
              <w:rPr>
                <w:color w:val="auto"/>
                <w:kern w:val="0"/>
                <w:sz w:val="24"/>
                <w:u w:val="none" w:color="auto"/>
                <w:lang w:bidi="ar"/>
              </w:rPr>
              <w:t>水池建设应按照《危险废物贮存污染控制标准》（GB18597-2023）中的相关要求做好防渗措施；生产车间和污水站应设置收集槽，以保证事故发生时，废水能够收集到</w:t>
            </w:r>
            <w:r>
              <w:rPr>
                <w:rFonts w:hint="eastAsia"/>
                <w:color w:val="auto"/>
                <w:kern w:val="0"/>
                <w:sz w:val="24"/>
                <w:u w:val="none" w:color="auto"/>
                <w:lang w:bidi="ar"/>
              </w:rPr>
              <w:t>消防废</w:t>
            </w:r>
            <w:r>
              <w:rPr>
                <w:color w:val="auto"/>
                <w:kern w:val="0"/>
                <w:sz w:val="24"/>
                <w:u w:val="none" w:color="auto"/>
                <w:lang w:bidi="ar"/>
              </w:rPr>
              <w:t>水池内</w:t>
            </w:r>
            <w:r>
              <w:rPr>
                <w:bCs/>
                <w:color w:val="auto"/>
                <w:sz w:val="24"/>
                <w:u w:val="none" w:color="auto"/>
              </w:rPr>
              <w:t>，若水质满足污水处理厂进水水质要求，将消防废水经市政污水管网排入市政污水管网；若水质不能满足污水处理厂进水水质要求，将消防废水外运委托有资质单位处理。</w:t>
            </w:r>
          </w:p>
          <w:p w14:paraId="031ACB73">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7.4.2风险应急要求</w:t>
            </w:r>
          </w:p>
          <w:p w14:paraId="1EFD1223">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（1）最早发现者应迅速报警。接警后迅速组织撤离泄漏污染区人员至安全区，并进行隔离，严格限制出入。切断火源、电源，并迅速通知应急救援中心采取相应救援措施。</w:t>
            </w:r>
          </w:p>
          <w:p w14:paraId="0237DE77">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2）值班人员应尽可能的查明泄漏点、佩戴空气呼吸器、穿防毒服，进入现场采取堵漏措施，尽可能的降低事故程度。防止流入下水道、防洪沟等限制性空间。应急救援组和专业救援队伍到现场后，工作人员尽可能详细的向他们汇报现场情况。</w:t>
            </w:r>
          </w:p>
          <w:p w14:paraId="1FF2FB48">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（3）若发生小量泄漏：用消防砂或其他惰性材料吸收。</w:t>
            </w:r>
          </w:p>
          <w:p w14:paraId="5B443AEE">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（4）若泄漏量大时，用泡沫覆盖，降低蒸汽灾害。喷雾状水或泡沫冷却和稀释蒸汽，保护现场人员。</w:t>
            </w:r>
          </w:p>
          <w:p w14:paraId="345440EB">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（5）事故不可控时，启动公司应急救援预案，本环评要求企业定期进行事故演练。</w:t>
            </w:r>
          </w:p>
          <w:p w14:paraId="142CC72E">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（6）禁止使用金属器具敲打所泄漏管线和设备，避免二次事故的发生。</w:t>
            </w:r>
          </w:p>
          <w:p w14:paraId="467F7767">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（7）现场禁止吸烟，进食饮水。工作完毕后，沐浴更衣。</w:t>
            </w:r>
          </w:p>
          <w:p w14:paraId="71E41342">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7.4.3风险应急预案</w:t>
            </w:r>
          </w:p>
          <w:p w14:paraId="7D305E4A">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color w:val="auto"/>
                <w:sz w:val="24"/>
                <w:u w:val="none" w:color="auto"/>
              </w:rPr>
            </w:pPr>
            <w:r>
              <w:rPr>
                <w:color w:val="auto"/>
                <w:sz w:val="24"/>
                <w:u w:val="none" w:color="auto"/>
              </w:rPr>
              <w:t>根据国家环保局（90）环管字第057号文《关于对重大环境污染事故隐患进行风险评价的通知》的要求，通过对污染事故的风险评价，各有关企业单位应加强安全生产管理，制定重大环境事故发生的应急预案，消除事故隐患的实施及突发性事故应急办法等。本项目应根据生产特点和事故隐患分析，制定突发事故应急预案，见下表。</w:t>
            </w:r>
          </w:p>
          <w:p w14:paraId="7021A9A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4"/>
                <w:szCs w:val="24"/>
                <w:highlight w:val="none"/>
                <w:u w:val="none" w:color="auto"/>
                <w:lang w:val="en-US" w:eastAsia="zh-CN" w:bidi="ar-SA"/>
              </w:rPr>
            </w:pPr>
            <w:r>
              <w:rPr>
                <w:rFonts w:hint="default" w:ascii="Times New Roman" w:hAnsi="Times New Roman" w:eastAsia="宋体" w:cs="Times New Roman"/>
                <w:b/>
                <w:bCs/>
                <w:color w:val="auto"/>
                <w:kern w:val="2"/>
                <w:sz w:val="24"/>
                <w:szCs w:val="24"/>
                <w:highlight w:val="none"/>
                <w:u w:val="none" w:color="auto"/>
                <w:lang w:val="en-US" w:eastAsia="zh-CN" w:bidi="ar-SA"/>
              </w:rPr>
              <w:t>表4-</w:t>
            </w:r>
            <w:r>
              <w:rPr>
                <w:rFonts w:hint="eastAsia" w:ascii="Times New Roman" w:hAnsi="Times New Roman" w:eastAsia="宋体" w:cs="Times New Roman"/>
                <w:b/>
                <w:bCs/>
                <w:color w:val="auto"/>
                <w:kern w:val="2"/>
                <w:sz w:val="24"/>
                <w:szCs w:val="24"/>
                <w:highlight w:val="none"/>
                <w:u w:val="none" w:color="auto"/>
                <w:lang w:val="en-US" w:eastAsia="zh-CN" w:bidi="ar-SA"/>
              </w:rPr>
              <w:t>24</w:t>
            </w:r>
            <w:r>
              <w:rPr>
                <w:rFonts w:hint="default" w:ascii="Times New Roman" w:hAnsi="Times New Roman" w:eastAsia="宋体" w:cs="Times New Roman"/>
                <w:b/>
                <w:bCs/>
                <w:color w:val="auto"/>
                <w:kern w:val="2"/>
                <w:sz w:val="24"/>
                <w:szCs w:val="24"/>
                <w:highlight w:val="none"/>
                <w:u w:val="none" w:color="auto"/>
                <w:lang w:val="en-US" w:eastAsia="zh-CN" w:bidi="ar-SA"/>
              </w:rPr>
              <w:t xml:space="preserve">      应急预案内容表</w:t>
            </w:r>
          </w:p>
          <w:tbl>
            <w:tblPr>
              <w:tblStyle w:val="3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0"/>
              <w:gridCol w:w="2243"/>
              <w:gridCol w:w="6090"/>
            </w:tblGrid>
            <w:tr w14:paraId="17619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8" w:type="pct"/>
                  <w:vAlign w:val="center"/>
                </w:tcPr>
                <w:p w14:paraId="08198E8C">
                  <w:pPr>
                    <w:jc w:val="center"/>
                    <w:rPr>
                      <w:color w:val="auto"/>
                      <w:szCs w:val="21"/>
                      <w:u w:val="none" w:color="auto"/>
                    </w:rPr>
                  </w:pPr>
                  <w:r>
                    <w:rPr>
                      <w:color w:val="auto"/>
                      <w:szCs w:val="21"/>
                      <w:u w:val="none" w:color="auto"/>
                    </w:rPr>
                    <w:t>序号</w:t>
                  </w:r>
                </w:p>
              </w:tc>
              <w:tc>
                <w:tcPr>
                  <w:tcW w:w="1230" w:type="pct"/>
                  <w:vAlign w:val="center"/>
                </w:tcPr>
                <w:p w14:paraId="7139EE41">
                  <w:pPr>
                    <w:jc w:val="center"/>
                    <w:rPr>
                      <w:color w:val="auto"/>
                      <w:szCs w:val="21"/>
                      <w:u w:val="none" w:color="auto"/>
                    </w:rPr>
                  </w:pPr>
                  <w:r>
                    <w:rPr>
                      <w:color w:val="auto"/>
                      <w:szCs w:val="21"/>
                      <w:u w:val="none" w:color="auto"/>
                    </w:rPr>
                    <w:t>项目</w:t>
                  </w:r>
                </w:p>
              </w:tc>
              <w:tc>
                <w:tcPr>
                  <w:tcW w:w="3340" w:type="pct"/>
                  <w:vAlign w:val="center"/>
                </w:tcPr>
                <w:p w14:paraId="3D7D4C4B">
                  <w:pPr>
                    <w:jc w:val="center"/>
                    <w:rPr>
                      <w:color w:val="auto"/>
                      <w:szCs w:val="21"/>
                      <w:u w:val="none" w:color="auto"/>
                    </w:rPr>
                  </w:pPr>
                  <w:r>
                    <w:rPr>
                      <w:color w:val="auto"/>
                      <w:szCs w:val="21"/>
                      <w:u w:val="none" w:color="auto"/>
                    </w:rPr>
                    <w:t>内容及要求</w:t>
                  </w:r>
                </w:p>
              </w:tc>
            </w:tr>
            <w:tr w14:paraId="439BC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8" w:type="pct"/>
                  <w:vAlign w:val="center"/>
                </w:tcPr>
                <w:p w14:paraId="23F05970">
                  <w:pPr>
                    <w:jc w:val="center"/>
                    <w:rPr>
                      <w:color w:val="auto"/>
                      <w:szCs w:val="21"/>
                      <w:u w:val="none" w:color="auto"/>
                    </w:rPr>
                  </w:pPr>
                  <w:r>
                    <w:rPr>
                      <w:color w:val="auto"/>
                      <w:szCs w:val="21"/>
                      <w:u w:val="none" w:color="auto"/>
                    </w:rPr>
                    <w:t>1</w:t>
                  </w:r>
                </w:p>
              </w:tc>
              <w:tc>
                <w:tcPr>
                  <w:tcW w:w="1230" w:type="pct"/>
                  <w:vAlign w:val="center"/>
                </w:tcPr>
                <w:p w14:paraId="00FEE73D">
                  <w:pPr>
                    <w:snapToGrid w:val="0"/>
                    <w:jc w:val="center"/>
                    <w:rPr>
                      <w:color w:val="auto"/>
                      <w:szCs w:val="21"/>
                      <w:u w:val="none" w:color="auto"/>
                    </w:rPr>
                  </w:pPr>
                  <w:r>
                    <w:rPr>
                      <w:color w:val="auto"/>
                      <w:szCs w:val="21"/>
                      <w:u w:val="none" w:color="auto"/>
                    </w:rPr>
                    <w:t>应急计划区</w:t>
                  </w:r>
                </w:p>
              </w:tc>
              <w:tc>
                <w:tcPr>
                  <w:tcW w:w="3340" w:type="pct"/>
                  <w:vAlign w:val="center"/>
                </w:tcPr>
                <w:p w14:paraId="0982849C">
                  <w:pPr>
                    <w:jc w:val="center"/>
                    <w:rPr>
                      <w:color w:val="auto"/>
                      <w:szCs w:val="21"/>
                      <w:u w:val="none" w:color="auto"/>
                    </w:rPr>
                  </w:pPr>
                  <w:r>
                    <w:rPr>
                      <w:color w:val="auto"/>
                      <w:szCs w:val="21"/>
                      <w:u w:val="none" w:color="auto"/>
                    </w:rPr>
                    <w:t>危险目标：危废暂存间、环境保护目标</w:t>
                  </w:r>
                </w:p>
              </w:tc>
            </w:tr>
            <w:tr w14:paraId="5DC92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8" w:type="pct"/>
                  <w:vAlign w:val="center"/>
                </w:tcPr>
                <w:p w14:paraId="376D5DC7">
                  <w:pPr>
                    <w:jc w:val="center"/>
                    <w:rPr>
                      <w:color w:val="auto"/>
                      <w:szCs w:val="21"/>
                      <w:u w:val="none" w:color="auto"/>
                    </w:rPr>
                  </w:pPr>
                  <w:r>
                    <w:rPr>
                      <w:color w:val="auto"/>
                      <w:szCs w:val="21"/>
                      <w:u w:val="none" w:color="auto"/>
                    </w:rPr>
                    <w:t>2</w:t>
                  </w:r>
                </w:p>
              </w:tc>
              <w:tc>
                <w:tcPr>
                  <w:tcW w:w="1230" w:type="pct"/>
                  <w:vAlign w:val="center"/>
                </w:tcPr>
                <w:p w14:paraId="4956A6CF">
                  <w:pPr>
                    <w:jc w:val="center"/>
                    <w:rPr>
                      <w:color w:val="auto"/>
                      <w:szCs w:val="21"/>
                      <w:u w:val="none" w:color="auto"/>
                    </w:rPr>
                  </w:pPr>
                  <w:r>
                    <w:rPr>
                      <w:color w:val="auto"/>
                      <w:szCs w:val="21"/>
                      <w:u w:val="none" w:color="auto"/>
                    </w:rPr>
                    <w:t>应急组织机构、人员</w:t>
                  </w:r>
                </w:p>
              </w:tc>
              <w:tc>
                <w:tcPr>
                  <w:tcW w:w="3340" w:type="pct"/>
                  <w:vAlign w:val="center"/>
                </w:tcPr>
                <w:p w14:paraId="3C12D4CE">
                  <w:pPr>
                    <w:jc w:val="center"/>
                    <w:rPr>
                      <w:color w:val="auto"/>
                      <w:szCs w:val="21"/>
                      <w:u w:val="none" w:color="auto"/>
                    </w:rPr>
                  </w:pPr>
                  <w:r>
                    <w:rPr>
                      <w:color w:val="auto"/>
                      <w:szCs w:val="21"/>
                      <w:u w:val="none" w:color="auto"/>
                    </w:rPr>
                    <w:t>工厂、地区应急组织机构、人员</w:t>
                  </w:r>
                </w:p>
              </w:tc>
            </w:tr>
            <w:tr w14:paraId="216BD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8" w:type="pct"/>
                  <w:vAlign w:val="center"/>
                </w:tcPr>
                <w:p w14:paraId="493A31FC">
                  <w:pPr>
                    <w:jc w:val="center"/>
                    <w:rPr>
                      <w:color w:val="auto"/>
                      <w:szCs w:val="21"/>
                      <w:u w:val="none" w:color="auto"/>
                    </w:rPr>
                  </w:pPr>
                  <w:r>
                    <w:rPr>
                      <w:color w:val="auto"/>
                      <w:szCs w:val="21"/>
                      <w:u w:val="none" w:color="auto"/>
                    </w:rPr>
                    <w:t>3</w:t>
                  </w:r>
                </w:p>
              </w:tc>
              <w:tc>
                <w:tcPr>
                  <w:tcW w:w="1230" w:type="pct"/>
                  <w:vAlign w:val="center"/>
                </w:tcPr>
                <w:p w14:paraId="6C757C18">
                  <w:pPr>
                    <w:jc w:val="center"/>
                    <w:rPr>
                      <w:color w:val="auto"/>
                      <w:szCs w:val="21"/>
                      <w:u w:val="none" w:color="auto"/>
                    </w:rPr>
                  </w:pPr>
                  <w:r>
                    <w:rPr>
                      <w:color w:val="auto"/>
                      <w:szCs w:val="21"/>
                      <w:u w:val="none" w:color="auto"/>
                    </w:rPr>
                    <w:t>预案分级响应条件</w:t>
                  </w:r>
                </w:p>
              </w:tc>
              <w:tc>
                <w:tcPr>
                  <w:tcW w:w="3340" w:type="pct"/>
                  <w:vAlign w:val="center"/>
                </w:tcPr>
                <w:p w14:paraId="75955BF8">
                  <w:pPr>
                    <w:jc w:val="center"/>
                    <w:rPr>
                      <w:color w:val="auto"/>
                      <w:szCs w:val="21"/>
                      <w:u w:val="none" w:color="auto"/>
                    </w:rPr>
                  </w:pPr>
                  <w:r>
                    <w:rPr>
                      <w:color w:val="auto"/>
                      <w:szCs w:val="21"/>
                      <w:u w:val="none" w:color="auto"/>
                    </w:rPr>
                    <w:t>规定预案的级别及分级响应程序</w:t>
                  </w:r>
                </w:p>
              </w:tc>
            </w:tr>
            <w:tr w14:paraId="41A79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8" w:type="pct"/>
                  <w:vAlign w:val="center"/>
                </w:tcPr>
                <w:p w14:paraId="613C9562">
                  <w:pPr>
                    <w:jc w:val="center"/>
                    <w:rPr>
                      <w:color w:val="auto"/>
                      <w:szCs w:val="21"/>
                      <w:u w:val="none" w:color="auto"/>
                    </w:rPr>
                  </w:pPr>
                  <w:r>
                    <w:rPr>
                      <w:color w:val="auto"/>
                      <w:szCs w:val="21"/>
                      <w:u w:val="none" w:color="auto"/>
                    </w:rPr>
                    <w:t>4</w:t>
                  </w:r>
                </w:p>
              </w:tc>
              <w:tc>
                <w:tcPr>
                  <w:tcW w:w="1230" w:type="pct"/>
                  <w:vAlign w:val="center"/>
                </w:tcPr>
                <w:p w14:paraId="1F28A668">
                  <w:pPr>
                    <w:jc w:val="center"/>
                    <w:rPr>
                      <w:color w:val="auto"/>
                      <w:szCs w:val="21"/>
                      <w:u w:val="none" w:color="auto"/>
                    </w:rPr>
                  </w:pPr>
                  <w:r>
                    <w:rPr>
                      <w:color w:val="auto"/>
                      <w:szCs w:val="21"/>
                      <w:u w:val="none" w:color="auto"/>
                    </w:rPr>
                    <w:t>应急救援保障</w:t>
                  </w:r>
                </w:p>
              </w:tc>
              <w:tc>
                <w:tcPr>
                  <w:tcW w:w="3340" w:type="pct"/>
                  <w:vAlign w:val="center"/>
                </w:tcPr>
                <w:p w14:paraId="1A0127E2">
                  <w:pPr>
                    <w:jc w:val="center"/>
                    <w:rPr>
                      <w:color w:val="auto"/>
                      <w:szCs w:val="21"/>
                      <w:u w:val="none" w:color="auto"/>
                    </w:rPr>
                  </w:pPr>
                  <w:r>
                    <w:rPr>
                      <w:color w:val="auto"/>
                      <w:szCs w:val="21"/>
                      <w:u w:val="none" w:color="auto"/>
                    </w:rPr>
                    <w:t>应急设施、设备与器材等</w:t>
                  </w:r>
                </w:p>
              </w:tc>
            </w:tr>
            <w:tr w14:paraId="034A4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8" w:type="pct"/>
                  <w:vAlign w:val="center"/>
                </w:tcPr>
                <w:p w14:paraId="442A54F5">
                  <w:pPr>
                    <w:jc w:val="center"/>
                    <w:rPr>
                      <w:color w:val="auto"/>
                      <w:szCs w:val="21"/>
                      <w:u w:val="none" w:color="auto"/>
                    </w:rPr>
                  </w:pPr>
                  <w:r>
                    <w:rPr>
                      <w:color w:val="auto"/>
                      <w:szCs w:val="21"/>
                      <w:u w:val="none" w:color="auto"/>
                    </w:rPr>
                    <w:t>5</w:t>
                  </w:r>
                </w:p>
              </w:tc>
              <w:tc>
                <w:tcPr>
                  <w:tcW w:w="1230" w:type="pct"/>
                  <w:vAlign w:val="center"/>
                </w:tcPr>
                <w:p w14:paraId="704B4BCC">
                  <w:pPr>
                    <w:jc w:val="center"/>
                    <w:rPr>
                      <w:color w:val="auto"/>
                      <w:szCs w:val="21"/>
                      <w:u w:val="none" w:color="auto"/>
                    </w:rPr>
                  </w:pPr>
                  <w:r>
                    <w:rPr>
                      <w:color w:val="auto"/>
                      <w:szCs w:val="21"/>
                      <w:u w:val="none" w:color="auto"/>
                    </w:rPr>
                    <w:t>报警、通讯联络方式</w:t>
                  </w:r>
                </w:p>
              </w:tc>
              <w:tc>
                <w:tcPr>
                  <w:tcW w:w="3340" w:type="pct"/>
                  <w:vAlign w:val="center"/>
                </w:tcPr>
                <w:p w14:paraId="7FCF004A">
                  <w:pPr>
                    <w:jc w:val="center"/>
                    <w:rPr>
                      <w:color w:val="auto"/>
                      <w:szCs w:val="21"/>
                      <w:u w:val="none" w:color="auto"/>
                    </w:rPr>
                  </w:pPr>
                  <w:r>
                    <w:rPr>
                      <w:color w:val="auto"/>
                      <w:szCs w:val="21"/>
                      <w:u w:val="none" w:color="auto"/>
                    </w:rPr>
                    <w:t>规定应急状态下的报警通讯方式，通知方式和交通保障、管制</w:t>
                  </w:r>
                </w:p>
              </w:tc>
            </w:tr>
            <w:tr w14:paraId="68C76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8" w:type="pct"/>
                  <w:vAlign w:val="center"/>
                </w:tcPr>
                <w:p w14:paraId="455B3687">
                  <w:pPr>
                    <w:jc w:val="center"/>
                    <w:rPr>
                      <w:color w:val="auto"/>
                      <w:szCs w:val="21"/>
                      <w:u w:val="none" w:color="auto"/>
                    </w:rPr>
                  </w:pPr>
                  <w:r>
                    <w:rPr>
                      <w:color w:val="auto"/>
                      <w:szCs w:val="21"/>
                      <w:u w:val="none" w:color="auto"/>
                    </w:rPr>
                    <w:t>6</w:t>
                  </w:r>
                </w:p>
              </w:tc>
              <w:tc>
                <w:tcPr>
                  <w:tcW w:w="1230" w:type="pct"/>
                  <w:vAlign w:val="center"/>
                </w:tcPr>
                <w:p w14:paraId="18A27AF4">
                  <w:pPr>
                    <w:jc w:val="center"/>
                    <w:rPr>
                      <w:color w:val="auto"/>
                      <w:szCs w:val="21"/>
                      <w:u w:val="none" w:color="auto"/>
                    </w:rPr>
                  </w:pPr>
                  <w:r>
                    <w:rPr>
                      <w:color w:val="auto"/>
                      <w:szCs w:val="21"/>
                      <w:u w:val="none" w:color="auto"/>
                    </w:rPr>
                    <w:t>应急环境监测、抢险、救援及控制措施</w:t>
                  </w:r>
                </w:p>
              </w:tc>
              <w:tc>
                <w:tcPr>
                  <w:tcW w:w="3340" w:type="pct"/>
                  <w:vAlign w:val="center"/>
                </w:tcPr>
                <w:p w14:paraId="5A93D975">
                  <w:pPr>
                    <w:jc w:val="center"/>
                    <w:rPr>
                      <w:color w:val="auto"/>
                      <w:szCs w:val="21"/>
                      <w:u w:val="none" w:color="auto"/>
                    </w:rPr>
                  </w:pPr>
                  <w:r>
                    <w:rPr>
                      <w:color w:val="auto"/>
                      <w:szCs w:val="21"/>
                      <w:u w:val="none" w:color="auto"/>
                    </w:rPr>
                    <w:t>由专业队伍负责对事故现场进行侦查监测，对事故性质、参数与后果进行评估，为指挥部门提供决策依据</w:t>
                  </w:r>
                </w:p>
              </w:tc>
            </w:tr>
            <w:tr w14:paraId="4D3C1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8" w:type="pct"/>
                  <w:vAlign w:val="center"/>
                </w:tcPr>
                <w:p w14:paraId="6C68EA39">
                  <w:pPr>
                    <w:jc w:val="center"/>
                    <w:rPr>
                      <w:color w:val="auto"/>
                      <w:szCs w:val="21"/>
                      <w:u w:val="none" w:color="auto"/>
                    </w:rPr>
                  </w:pPr>
                  <w:r>
                    <w:rPr>
                      <w:color w:val="auto"/>
                      <w:szCs w:val="21"/>
                      <w:u w:val="none" w:color="auto"/>
                    </w:rPr>
                    <w:t>7</w:t>
                  </w:r>
                </w:p>
              </w:tc>
              <w:tc>
                <w:tcPr>
                  <w:tcW w:w="1230" w:type="pct"/>
                  <w:vAlign w:val="center"/>
                </w:tcPr>
                <w:p w14:paraId="0C2A1DDC">
                  <w:pPr>
                    <w:jc w:val="center"/>
                    <w:rPr>
                      <w:color w:val="auto"/>
                      <w:szCs w:val="21"/>
                      <w:u w:val="none" w:color="auto"/>
                    </w:rPr>
                  </w:pPr>
                  <w:r>
                    <w:rPr>
                      <w:color w:val="auto"/>
                      <w:szCs w:val="21"/>
                      <w:u w:val="none" w:color="auto"/>
                    </w:rPr>
                    <w:t>应急检测、防护措施、清除措施和器材</w:t>
                  </w:r>
                </w:p>
              </w:tc>
              <w:tc>
                <w:tcPr>
                  <w:tcW w:w="3340" w:type="pct"/>
                  <w:vAlign w:val="center"/>
                </w:tcPr>
                <w:p w14:paraId="76258FCF">
                  <w:pPr>
                    <w:jc w:val="center"/>
                    <w:rPr>
                      <w:color w:val="auto"/>
                      <w:szCs w:val="21"/>
                      <w:u w:val="none" w:color="auto"/>
                    </w:rPr>
                  </w:pPr>
                  <w:r>
                    <w:rPr>
                      <w:color w:val="auto"/>
                      <w:szCs w:val="21"/>
                      <w:u w:val="none" w:color="auto"/>
                    </w:rPr>
                    <w:t>事故现场、邻近区域、控制防火区域、控制和清除污染措施及相应设备</w:t>
                  </w:r>
                </w:p>
              </w:tc>
            </w:tr>
            <w:tr w14:paraId="29EA7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8" w:type="pct"/>
                  <w:vAlign w:val="center"/>
                </w:tcPr>
                <w:p w14:paraId="6EDF2C29">
                  <w:pPr>
                    <w:jc w:val="center"/>
                    <w:rPr>
                      <w:color w:val="auto"/>
                      <w:szCs w:val="21"/>
                      <w:u w:val="none" w:color="auto"/>
                    </w:rPr>
                  </w:pPr>
                  <w:r>
                    <w:rPr>
                      <w:color w:val="auto"/>
                      <w:szCs w:val="21"/>
                      <w:u w:val="none" w:color="auto"/>
                    </w:rPr>
                    <w:t>8</w:t>
                  </w:r>
                </w:p>
              </w:tc>
              <w:tc>
                <w:tcPr>
                  <w:tcW w:w="1230" w:type="pct"/>
                  <w:vAlign w:val="center"/>
                </w:tcPr>
                <w:p w14:paraId="6C3D8FB5">
                  <w:pPr>
                    <w:jc w:val="center"/>
                    <w:rPr>
                      <w:color w:val="auto"/>
                      <w:szCs w:val="21"/>
                      <w:u w:val="none" w:color="auto"/>
                    </w:rPr>
                  </w:pPr>
                  <w:r>
                    <w:rPr>
                      <w:color w:val="auto"/>
                      <w:szCs w:val="21"/>
                      <w:u w:val="none" w:color="auto"/>
                    </w:rPr>
                    <w:t>人员紧急撤离、疏散，应急剂量控制、撤离组织计划</w:t>
                  </w:r>
                </w:p>
              </w:tc>
              <w:tc>
                <w:tcPr>
                  <w:tcW w:w="3340" w:type="pct"/>
                  <w:vAlign w:val="center"/>
                </w:tcPr>
                <w:p w14:paraId="19084482">
                  <w:pPr>
                    <w:jc w:val="center"/>
                    <w:rPr>
                      <w:color w:val="auto"/>
                      <w:szCs w:val="21"/>
                      <w:u w:val="none" w:color="auto"/>
                    </w:rPr>
                  </w:pPr>
                  <w:r>
                    <w:rPr>
                      <w:color w:val="auto"/>
                      <w:szCs w:val="21"/>
                      <w:u w:val="none" w:color="auto"/>
                    </w:rPr>
                    <w:t>事故现场、工厂邻近区、受事故影响的区域人员及公众对毒物应急剂量控制规定，撤离组织计划及救护，医疗救护与公众健康</w:t>
                  </w:r>
                </w:p>
              </w:tc>
            </w:tr>
            <w:tr w14:paraId="0672D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8" w:type="pct"/>
                  <w:vAlign w:val="center"/>
                </w:tcPr>
                <w:p w14:paraId="5C1CC136">
                  <w:pPr>
                    <w:jc w:val="center"/>
                    <w:rPr>
                      <w:color w:val="auto"/>
                      <w:szCs w:val="21"/>
                      <w:u w:val="none" w:color="auto"/>
                    </w:rPr>
                  </w:pPr>
                  <w:r>
                    <w:rPr>
                      <w:color w:val="auto"/>
                      <w:szCs w:val="21"/>
                      <w:u w:val="none" w:color="auto"/>
                    </w:rPr>
                    <w:t>9</w:t>
                  </w:r>
                </w:p>
              </w:tc>
              <w:tc>
                <w:tcPr>
                  <w:tcW w:w="1230" w:type="pct"/>
                  <w:vAlign w:val="center"/>
                </w:tcPr>
                <w:p w14:paraId="589F85D8">
                  <w:pPr>
                    <w:jc w:val="center"/>
                    <w:rPr>
                      <w:color w:val="auto"/>
                      <w:szCs w:val="21"/>
                      <w:u w:val="none" w:color="auto"/>
                    </w:rPr>
                  </w:pPr>
                  <w:r>
                    <w:rPr>
                      <w:color w:val="auto"/>
                      <w:szCs w:val="21"/>
                      <w:u w:val="none" w:color="auto"/>
                    </w:rPr>
                    <w:t>事故应急救援关闭程序与恢复措施</w:t>
                  </w:r>
                </w:p>
              </w:tc>
              <w:tc>
                <w:tcPr>
                  <w:tcW w:w="3340" w:type="pct"/>
                  <w:vAlign w:val="center"/>
                </w:tcPr>
                <w:p w14:paraId="2BEBB876">
                  <w:pPr>
                    <w:jc w:val="center"/>
                    <w:rPr>
                      <w:color w:val="auto"/>
                      <w:szCs w:val="21"/>
                      <w:u w:val="none" w:color="auto"/>
                    </w:rPr>
                  </w:pPr>
                  <w:r>
                    <w:rPr>
                      <w:color w:val="auto"/>
                      <w:szCs w:val="21"/>
                      <w:u w:val="none" w:color="auto"/>
                    </w:rPr>
                    <w:t>规定应急状态终止程序；事故现场善后处理，恢复措施；邻近区域解除事故警戒及善后恢复措施</w:t>
                  </w:r>
                </w:p>
              </w:tc>
            </w:tr>
            <w:tr w14:paraId="22360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8" w:type="pct"/>
                  <w:vAlign w:val="center"/>
                </w:tcPr>
                <w:p w14:paraId="0D833879">
                  <w:pPr>
                    <w:jc w:val="center"/>
                    <w:rPr>
                      <w:color w:val="auto"/>
                      <w:szCs w:val="21"/>
                      <w:u w:val="none" w:color="auto"/>
                    </w:rPr>
                  </w:pPr>
                  <w:r>
                    <w:rPr>
                      <w:color w:val="auto"/>
                      <w:szCs w:val="21"/>
                      <w:u w:val="none" w:color="auto"/>
                    </w:rPr>
                    <w:t>10</w:t>
                  </w:r>
                </w:p>
              </w:tc>
              <w:tc>
                <w:tcPr>
                  <w:tcW w:w="1230" w:type="pct"/>
                  <w:vAlign w:val="center"/>
                </w:tcPr>
                <w:p w14:paraId="0FA8C847">
                  <w:pPr>
                    <w:jc w:val="center"/>
                    <w:rPr>
                      <w:color w:val="auto"/>
                      <w:szCs w:val="21"/>
                      <w:u w:val="none" w:color="auto"/>
                    </w:rPr>
                  </w:pPr>
                  <w:r>
                    <w:rPr>
                      <w:color w:val="auto"/>
                      <w:szCs w:val="21"/>
                      <w:u w:val="none" w:color="auto"/>
                    </w:rPr>
                    <w:t>应急培训计划</w:t>
                  </w:r>
                </w:p>
              </w:tc>
              <w:tc>
                <w:tcPr>
                  <w:tcW w:w="3340" w:type="pct"/>
                  <w:vAlign w:val="center"/>
                </w:tcPr>
                <w:p w14:paraId="41729460">
                  <w:pPr>
                    <w:jc w:val="center"/>
                    <w:rPr>
                      <w:color w:val="auto"/>
                      <w:szCs w:val="21"/>
                      <w:u w:val="none" w:color="auto"/>
                    </w:rPr>
                  </w:pPr>
                  <w:r>
                    <w:rPr>
                      <w:color w:val="auto"/>
                      <w:szCs w:val="21"/>
                      <w:u w:val="none" w:color="auto"/>
                    </w:rPr>
                    <w:t>应急计划制定后，平时安排人员培训与演练</w:t>
                  </w:r>
                </w:p>
              </w:tc>
            </w:tr>
            <w:tr w14:paraId="66421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8" w:type="pct"/>
                  <w:vAlign w:val="center"/>
                </w:tcPr>
                <w:p w14:paraId="38E662AA">
                  <w:pPr>
                    <w:jc w:val="center"/>
                    <w:rPr>
                      <w:color w:val="auto"/>
                      <w:szCs w:val="21"/>
                      <w:u w:val="none" w:color="auto"/>
                    </w:rPr>
                  </w:pPr>
                  <w:r>
                    <w:rPr>
                      <w:color w:val="auto"/>
                      <w:szCs w:val="21"/>
                      <w:u w:val="none" w:color="auto"/>
                    </w:rPr>
                    <w:t>11</w:t>
                  </w:r>
                </w:p>
              </w:tc>
              <w:tc>
                <w:tcPr>
                  <w:tcW w:w="1230" w:type="pct"/>
                  <w:vAlign w:val="center"/>
                </w:tcPr>
                <w:p w14:paraId="595B5793">
                  <w:pPr>
                    <w:jc w:val="center"/>
                    <w:rPr>
                      <w:color w:val="auto"/>
                      <w:szCs w:val="21"/>
                      <w:u w:val="none" w:color="auto"/>
                    </w:rPr>
                  </w:pPr>
                  <w:r>
                    <w:rPr>
                      <w:color w:val="auto"/>
                      <w:szCs w:val="21"/>
                      <w:u w:val="none" w:color="auto"/>
                    </w:rPr>
                    <w:t>公众教育和信息</w:t>
                  </w:r>
                </w:p>
              </w:tc>
              <w:tc>
                <w:tcPr>
                  <w:tcW w:w="3340" w:type="pct"/>
                  <w:vAlign w:val="center"/>
                </w:tcPr>
                <w:p w14:paraId="3946A15C">
                  <w:pPr>
                    <w:jc w:val="center"/>
                    <w:rPr>
                      <w:color w:val="auto"/>
                      <w:szCs w:val="21"/>
                      <w:u w:val="none" w:color="auto"/>
                    </w:rPr>
                  </w:pPr>
                  <w:r>
                    <w:rPr>
                      <w:color w:val="auto"/>
                      <w:szCs w:val="21"/>
                      <w:u w:val="none" w:color="auto"/>
                    </w:rPr>
                    <w:t>对工厂邻近地区开展公众教育、培训和发布有关信息</w:t>
                  </w:r>
                </w:p>
              </w:tc>
            </w:tr>
          </w:tbl>
          <w:p w14:paraId="78DC7560">
            <w:pPr>
              <w:snapToGrid w:val="0"/>
              <w:spacing w:line="360" w:lineRule="auto"/>
              <w:ind w:firstLine="480" w:firstLineChars="200"/>
              <w:rPr>
                <w:color w:val="auto"/>
                <w:sz w:val="24"/>
                <w:u w:val="none" w:color="auto"/>
              </w:rPr>
            </w:pPr>
            <w:r>
              <w:rPr>
                <w:color w:val="auto"/>
                <w:sz w:val="24"/>
                <w:u w:val="none" w:color="auto"/>
              </w:rPr>
              <w:t>7.5分析结论</w:t>
            </w:r>
          </w:p>
          <w:p w14:paraId="70266275">
            <w:pPr>
              <w:tabs>
                <w:tab w:val="left" w:pos="1081"/>
              </w:tabs>
              <w:adjustRightInd w:val="0"/>
              <w:snapToGrid w:val="0"/>
              <w:spacing w:line="360" w:lineRule="auto"/>
              <w:ind w:firstLine="480" w:firstLineChars="200"/>
              <w:rPr>
                <w:color w:val="auto"/>
                <w:sz w:val="24"/>
                <w:u w:val="none" w:color="auto"/>
              </w:rPr>
            </w:pPr>
            <w:r>
              <w:rPr>
                <w:color w:val="auto"/>
                <w:sz w:val="24"/>
                <w:u w:val="none" w:color="auto"/>
              </w:rPr>
              <w:t>综上所述，本项目营运期涉及的主要风险物质为</w:t>
            </w:r>
            <w:r>
              <w:rPr>
                <w:rFonts w:hint="eastAsia"/>
                <w:color w:val="auto"/>
                <w:sz w:val="24"/>
                <w:u w:val="none" w:color="auto"/>
                <w:lang w:val="en-US" w:eastAsia="zh-CN"/>
              </w:rPr>
              <w:t>硝酸</w:t>
            </w:r>
            <w:r>
              <w:rPr>
                <w:rFonts w:hint="eastAsia"/>
                <w:color w:val="auto"/>
                <w:sz w:val="24"/>
                <w:u w:val="none" w:color="auto"/>
                <w:lang w:eastAsia="zh-CN"/>
              </w:rPr>
              <w:t>、</w:t>
            </w:r>
            <w:r>
              <w:rPr>
                <w:rFonts w:hint="eastAsia"/>
                <w:color w:val="auto"/>
                <w:sz w:val="24"/>
                <w:u w:val="none" w:color="auto"/>
              </w:rPr>
              <w:t>硫酸</w:t>
            </w:r>
            <w:r>
              <w:rPr>
                <w:rFonts w:hint="eastAsia"/>
                <w:color w:val="auto"/>
                <w:sz w:val="24"/>
                <w:u w:val="none" w:color="auto"/>
                <w:lang w:eastAsia="zh-CN"/>
              </w:rPr>
              <w:t>、</w:t>
            </w:r>
            <w:r>
              <w:rPr>
                <w:rFonts w:hint="eastAsia"/>
                <w:color w:val="auto"/>
                <w:sz w:val="24"/>
                <w:u w:val="none" w:color="auto"/>
                <w:lang w:val="en-US" w:eastAsia="zh-CN"/>
              </w:rPr>
              <w:t>盐酸</w:t>
            </w:r>
            <w:r>
              <w:rPr>
                <w:rFonts w:hint="eastAsia"/>
                <w:color w:val="auto"/>
                <w:sz w:val="24"/>
                <w:u w:val="none" w:color="auto"/>
                <w:lang w:eastAsia="zh-CN"/>
              </w:rPr>
              <w:t>、</w:t>
            </w:r>
            <w:r>
              <w:rPr>
                <w:rFonts w:hint="default"/>
                <w:color w:val="auto"/>
                <w:sz w:val="24"/>
                <w:u w:val="none" w:color="auto"/>
              </w:rPr>
              <w:t>氯水</w:t>
            </w:r>
            <w:r>
              <w:rPr>
                <w:rFonts w:hint="eastAsia"/>
                <w:color w:val="auto"/>
                <w:sz w:val="24"/>
                <w:u w:val="none" w:color="auto"/>
                <w:lang w:eastAsia="zh-CN"/>
              </w:rPr>
              <w:t>、</w:t>
            </w:r>
            <w:r>
              <w:rPr>
                <w:rFonts w:hint="default"/>
                <w:color w:val="auto"/>
                <w:sz w:val="24"/>
                <w:u w:val="none" w:color="auto"/>
              </w:rPr>
              <w:t>溴水</w:t>
            </w:r>
            <w:r>
              <w:rPr>
                <w:rFonts w:hint="eastAsia"/>
                <w:color w:val="auto"/>
                <w:sz w:val="24"/>
                <w:u w:val="none" w:color="auto"/>
                <w:lang w:eastAsia="zh-CN"/>
              </w:rPr>
              <w:t>、</w:t>
            </w:r>
            <w:r>
              <w:rPr>
                <w:rFonts w:hint="eastAsia"/>
                <w:color w:val="auto"/>
                <w:sz w:val="24"/>
                <w:u w:val="none" w:color="auto"/>
                <w:lang w:val="en-US" w:eastAsia="zh-CN"/>
              </w:rPr>
              <w:t>柴油</w:t>
            </w:r>
            <w:r>
              <w:rPr>
                <w:rFonts w:hint="eastAsia"/>
                <w:color w:val="auto"/>
                <w:sz w:val="24"/>
                <w:u w:val="none" w:color="auto"/>
              </w:rPr>
              <w:t>以及危险废物</w:t>
            </w:r>
            <w:r>
              <w:rPr>
                <w:color w:val="auto"/>
                <w:sz w:val="24"/>
                <w:u w:val="none" w:color="auto"/>
              </w:rPr>
              <w:t>，在落实本次环评提出的风险防范措施后，其发生事故的概率降低，环境危害较小，环境风险影响可以接受。</w:t>
            </w:r>
          </w:p>
          <w:p w14:paraId="7CC71A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4"/>
                <w:szCs w:val="24"/>
                <w:highlight w:val="none"/>
                <w:u w:val="none" w:color="auto"/>
                <w:lang w:val="en-GB" w:eastAsia="zh-CN" w:bidi="ar-SA"/>
              </w:rPr>
            </w:pPr>
            <w:r>
              <w:rPr>
                <w:rFonts w:hint="default" w:ascii="Times New Roman" w:hAnsi="Times New Roman" w:eastAsia="宋体" w:cs="Times New Roman"/>
                <w:b/>
                <w:bCs/>
                <w:color w:val="auto"/>
                <w:kern w:val="2"/>
                <w:sz w:val="24"/>
                <w:szCs w:val="24"/>
                <w:highlight w:val="none"/>
                <w:u w:val="none" w:color="auto"/>
                <w:lang w:val="en-GB" w:eastAsia="zh-CN" w:bidi="ar-SA"/>
              </w:rPr>
              <w:t>表4-</w:t>
            </w:r>
            <w:r>
              <w:rPr>
                <w:rFonts w:hint="eastAsia" w:ascii="Times New Roman" w:hAnsi="Times New Roman" w:eastAsia="宋体" w:cs="Times New Roman"/>
                <w:b/>
                <w:bCs/>
                <w:color w:val="auto"/>
                <w:kern w:val="2"/>
                <w:sz w:val="24"/>
                <w:szCs w:val="24"/>
                <w:highlight w:val="none"/>
                <w:u w:val="none" w:color="auto"/>
                <w:lang w:val="en-US" w:eastAsia="zh-CN" w:bidi="ar-SA"/>
              </w:rPr>
              <w:t>25</w:t>
            </w:r>
            <w:r>
              <w:rPr>
                <w:rFonts w:hint="default" w:ascii="Times New Roman" w:hAnsi="Times New Roman" w:eastAsia="宋体" w:cs="Times New Roman"/>
                <w:b/>
                <w:bCs/>
                <w:color w:val="auto"/>
                <w:kern w:val="2"/>
                <w:sz w:val="24"/>
                <w:szCs w:val="24"/>
                <w:highlight w:val="none"/>
                <w:u w:val="none" w:color="auto"/>
                <w:lang w:val="en-GB" w:eastAsia="zh-CN" w:bidi="ar-SA"/>
              </w:rPr>
              <w:t xml:space="preserve">  环境风险简单分析内容表</w:t>
            </w:r>
          </w:p>
          <w:tbl>
            <w:tblPr>
              <w:tblStyle w:val="35"/>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969"/>
              <w:gridCol w:w="1103"/>
              <w:gridCol w:w="2471"/>
              <w:gridCol w:w="872"/>
              <w:gridCol w:w="2703"/>
            </w:tblGrid>
            <w:tr w14:paraId="4531F5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80" w:type="pct"/>
                  <w:vAlign w:val="center"/>
                </w:tcPr>
                <w:p w14:paraId="02A426BA">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8"/>
                      <w:sz w:val="21"/>
                      <w:szCs w:val="21"/>
                      <w:u w:val="none" w:color="auto"/>
                    </w:rPr>
                    <w:t>项</w:t>
                  </w:r>
                  <w:r>
                    <w:rPr>
                      <w:rFonts w:hint="default" w:ascii="Times New Roman" w:hAnsi="Times New Roman" w:eastAsia="宋体" w:cs="Times New Roman"/>
                      <w:color w:val="auto"/>
                      <w:spacing w:val="6"/>
                      <w:sz w:val="21"/>
                      <w:szCs w:val="21"/>
                      <w:u w:val="none" w:color="auto"/>
                    </w:rPr>
                    <w:t>目名称</w:t>
                  </w:r>
                </w:p>
              </w:tc>
              <w:tc>
                <w:tcPr>
                  <w:tcW w:w="3919" w:type="pct"/>
                  <w:gridSpan w:val="4"/>
                  <w:vAlign w:val="center"/>
                </w:tcPr>
                <w:p w14:paraId="4B172830">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镇平县雪枫中学扩建项目</w:t>
                  </w:r>
                </w:p>
              </w:tc>
            </w:tr>
            <w:tr w14:paraId="7FC0F4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80" w:type="pct"/>
                  <w:vAlign w:val="center"/>
                </w:tcPr>
                <w:p w14:paraId="219E6204">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9"/>
                      <w:sz w:val="21"/>
                      <w:szCs w:val="21"/>
                      <w:u w:val="none" w:color="auto"/>
                    </w:rPr>
                    <w:t>建</w:t>
                  </w:r>
                  <w:r>
                    <w:rPr>
                      <w:rFonts w:hint="default" w:ascii="Times New Roman" w:hAnsi="Times New Roman" w:eastAsia="宋体" w:cs="Times New Roman"/>
                      <w:color w:val="auto"/>
                      <w:spacing w:val="6"/>
                      <w:sz w:val="21"/>
                      <w:szCs w:val="21"/>
                      <w:u w:val="none" w:color="auto"/>
                    </w:rPr>
                    <w:t>设地点</w:t>
                  </w:r>
                </w:p>
              </w:tc>
              <w:tc>
                <w:tcPr>
                  <w:tcW w:w="3919" w:type="pct"/>
                  <w:gridSpan w:val="4"/>
                  <w:vAlign w:val="center"/>
                </w:tcPr>
                <w:p w14:paraId="1608F582">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镇平县涅阳街道中山街东段北侧，镇平县雪枫中学西侧</w:t>
                  </w:r>
                </w:p>
              </w:tc>
            </w:tr>
            <w:tr w14:paraId="52B50D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80" w:type="pct"/>
                  <w:vAlign w:val="center"/>
                </w:tcPr>
                <w:p w14:paraId="05218BC4">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8"/>
                      <w:sz w:val="21"/>
                      <w:szCs w:val="21"/>
                      <w:u w:val="none" w:color="auto"/>
                    </w:rPr>
                    <w:t>地</w:t>
                  </w:r>
                  <w:r>
                    <w:rPr>
                      <w:rFonts w:hint="default" w:ascii="Times New Roman" w:hAnsi="Times New Roman" w:eastAsia="宋体" w:cs="Times New Roman"/>
                      <w:color w:val="auto"/>
                      <w:spacing w:val="7"/>
                      <w:sz w:val="21"/>
                      <w:szCs w:val="21"/>
                      <w:u w:val="none" w:color="auto"/>
                    </w:rPr>
                    <w:t>理坐标</w:t>
                  </w:r>
                </w:p>
              </w:tc>
              <w:tc>
                <w:tcPr>
                  <w:tcW w:w="605" w:type="pct"/>
                  <w:vAlign w:val="center"/>
                </w:tcPr>
                <w:p w14:paraId="224A0A5A">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4"/>
                      <w:sz w:val="21"/>
                      <w:szCs w:val="21"/>
                      <w:u w:val="none" w:color="auto"/>
                    </w:rPr>
                    <w:t>经</w:t>
                  </w:r>
                  <w:r>
                    <w:rPr>
                      <w:rFonts w:hint="default" w:ascii="Times New Roman" w:hAnsi="Times New Roman" w:eastAsia="宋体" w:cs="Times New Roman"/>
                      <w:color w:val="auto"/>
                      <w:spacing w:val="3"/>
                      <w:sz w:val="21"/>
                      <w:szCs w:val="21"/>
                      <w:u w:val="none" w:color="auto"/>
                    </w:rPr>
                    <w:t>度</w:t>
                  </w:r>
                </w:p>
              </w:tc>
              <w:tc>
                <w:tcPr>
                  <w:tcW w:w="1355" w:type="pct"/>
                  <w:vAlign w:val="center"/>
                </w:tcPr>
                <w:p w14:paraId="69402181">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112</w:t>
                  </w:r>
                  <w:r>
                    <w:rPr>
                      <w:rFonts w:hint="default" w:ascii="Times New Roman" w:hAnsi="Times New Roman" w:eastAsia="宋体" w:cs="Times New Roman"/>
                      <w:color w:val="auto"/>
                      <w:sz w:val="21"/>
                      <w:szCs w:val="21"/>
                      <w:u w:val="none" w:color="auto"/>
                      <w:lang w:val="en-US" w:eastAsia="zh-CN"/>
                    </w:rPr>
                    <w:t>度</w:t>
                  </w:r>
                  <w:r>
                    <w:rPr>
                      <w:rFonts w:hint="default" w:ascii="Times New Roman" w:hAnsi="Times New Roman" w:eastAsia="宋体" w:cs="Times New Roman"/>
                      <w:color w:val="auto"/>
                      <w:sz w:val="21"/>
                      <w:szCs w:val="21"/>
                      <w:u w:val="none" w:color="auto"/>
                    </w:rPr>
                    <w:t>15</w:t>
                  </w:r>
                  <w:r>
                    <w:rPr>
                      <w:rFonts w:hint="default" w:ascii="Times New Roman" w:hAnsi="Times New Roman" w:eastAsia="宋体" w:cs="Times New Roman"/>
                      <w:color w:val="auto"/>
                      <w:sz w:val="21"/>
                      <w:szCs w:val="21"/>
                      <w:u w:val="none" w:color="auto"/>
                      <w:lang w:val="en-US" w:eastAsia="zh-CN"/>
                    </w:rPr>
                    <w:t>分</w:t>
                  </w:r>
                  <w:r>
                    <w:rPr>
                      <w:rFonts w:hint="default" w:ascii="Times New Roman" w:hAnsi="Times New Roman" w:eastAsia="宋体" w:cs="Times New Roman"/>
                      <w:color w:val="auto"/>
                      <w:sz w:val="21"/>
                      <w:szCs w:val="21"/>
                      <w:u w:val="none" w:color="auto"/>
                    </w:rPr>
                    <w:t>7.82</w:t>
                  </w:r>
                  <w:r>
                    <w:rPr>
                      <w:rFonts w:hint="default" w:ascii="Times New Roman" w:hAnsi="Times New Roman" w:eastAsia="宋体" w:cs="Times New Roman"/>
                      <w:color w:val="auto"/>
                      <w:sz w:val="21"/>
                      <w:szCs w:val="21"/>
                      <w:u w:val="none" w:color="auto"/>
                      <w:lang w:val="en-US" w:eastAsia="zh-CN"/>
                    </w:rPr>
                    <w:t>8秒</w:t>
                  </w:r>
                </w:p>
              </w:tc>
              <w:tc>
                <w:tcPr>
                  <w:tcW w:w="478" w:type="pct"/>
                  <w:vAlign w:val="center"/>
                </w:tcPr>
                <w:p w14:paraId="11273F9A">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4"/>
                      <w:sz w:val="21"/>
                      <w:szCs w:val="21"/>
                      <w:u w:val="none" w:color="auto"/>
                    </w:rPr>
                    <w:t>纬度</w:t>
                  </w:r>
                </w:p>
              </w:tc>
              <w:tc>
                <w:tcPr>
                  <w:tcW w:w="1479" w:type="pct"/>
                  <w:vAlign w:val="center"/>
                </w:tcPr>
                <w:p w14:paraId="5D409609">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33</w:t>
                  </w:r>
                  <w:r>
                    <w:rPr>
                      <w:rFonts w:hint="default" w:ascii="Times New Roman" w:hAnsi="Times New Roman" w:eastAsia="宋体" w:cs="Times New Roman"/>
                      <w:color w:val="auto"/>
                      <w:sz w:val="21"/>
                      <w:szCs w:val="21"/>
                      <w:u w:val="none" w:color="auto"/>
                      <w:lang w:val="en-US" w:eastAsia="zh-CN"/>
                    </w:rPr>
                    <w:t>度</w:t>
                  </w:r>
                  <w:r>
                    <w:rPr>
                      <w:rFonts w:hint="default" w:ascii="Times New Roman" w:hAnsi="Times New Roman" w:eastAsia="宋体" w:cs="Times New Roman"/>
                      <w:color w:val="auto"/>
                      <w:sz w:val="21"/>
                      <w:szCs w:val="21"/>
                      <w:u w:val="none" w:color="auto"/>
                    </w:rPr>
                    <w:t>2</w:t>
                  </w:r>
                  <w:r>
                    <w:rPr>
                      <w:rFonts w:hint="default" w:ascii="Times New Roman" w:hAnsi="Times New Roman" w:eastAsia="宋体" w:cs="Times New Roman"/>
                      <w:color w:val="auto"/>
                      <w:sz w:val="21"/>
                      <w:szCs w:val="21"/>
                      <w:u w:val="none" w:color="auto"/>
                      <w:lang w:val="en-US" w:eastAsia="zh-CN"/>
                    </w:rPr>
                    <w:t>分</w:t>
                  </w:r>
                  <w:r>
                    <w:rPr>
                      <w:rFonts w:hint="default" w:ascii="Times New Roman" w:hAnsi="Times New Roman" w:eastAsia="宋体" w:cs="Times New Roman"/>
                      <w:color w:val="auto"/>
                      <w:sz w:val="21"/>
                      <w:szCs w:val="21"/>
                      <w:u w:val="none" w:color="auto"/>
                    </w:rPr>
                    <w:t>14.49</w:t>
                  </w:r>
                  <w:r>
                    <w:rPr>
                      <w:rFonts w:hint="default" w:ascii="Times New Roman" w:hAnsi="Times New Roman" w:eastAsia="宋体" w:cs="Times New Roman"/>
                      <w:color w:val="auto"/>
                      <w:sz w:val="21"/>
                      <w:szCs w:val="21"/>
                      <w:u w:val="none" w:color="auto"/>
                      <w:lang w:val="en-US" w:eastAsia="zh-CN"/>
                    </w:rPr>
                    <w:t>9秒</w:t>
                  </w:r>
                </w:p>
              </w:tc>
            </w:tr>
            <w:tr w14:paraId="314AFA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80" w:type="pct"/>
                  <w:vAlign w:val="center"/>
                </w:tcPr>
                <w:p w14:paraId="398E6CB1">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8"/>
                      <w:sz w:val="21"/>
                      <w:szCs w:val="21"/>
                      <w:u w:val="none" w:color="auto"/>
                    </w:rPr>
                    <w:t>主要危险</w:t>
                  </w:r>
                  <w:r>
                    <w:rPr>
                      <w:rFonts w:hint="default" w:ascii="Times New Roman" w:hAnsi="Times New Roman" w:eastAsia="宋体" w:cs="Times New Roman"/>
                      <w:color w:val="auto"/>
                      <w:spacing w:val="7"/>
                      <w:sz w:val="21"/>
                      <w:szCs w:val="21"/>
                      <w:u w:val="none" w:color="auto"/>
                    </w:rPr>
                    <w:t>物质及分布</w:t>
                  </w:r>
                </w:p>
              </w:tc>
              <w:tc>
                <w:tcPr>
                  <w:tcW w:w="3919" w:type="pct"/>
                  <w:gridSpan w:val="4"/>
                  <w:vAlign w:val="center"/>
                </w:tcPr>
                <w:p w14:paraId="4B0F060B">
                  <w:pPr>
                    <w:tabs>
                      <w:tab w:val="left" w:pos="1081"/>
                    </w:tabs>
                    <w:adjustRightInd w:val="0"/>
                    <w:snapToGrid w:val="0"/>
                    <w:ind w:firstLine="420" w:firstLineChars="20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柴油</w:t>
                  </w:r>
                  <w:r>
                    <w:rPr>
                      <w:rFonts w:hint="default" w:ascii="Times New Roman" w:hAnsi="Times New Roman" w:eastAsia="宋体" w:cs="Times New Roman"/>
                      <w:color w:val="auto"/>
                      <w:sz w:val="21"/>
                      <w:szCs w:val="21"/>
                      <w:u w:val="none" w:color="auto"/>
                    </w:rPr>
                    <w:t>等物料的储存和使用如遇明火，易引起火灾、</w:t>
                  </w:r>
                  <w:r>
                    <w:rPr>
                      <w:rFonts w:hint="default" w:ascii="Times New Roman" w:hAnsi="Times New Roman" w:eastAsia="宋体" w:cs="Times New Roman"/>
                      <w:color w:val="auto"/>
                      <w:sz w:val="21"/>
                      <w:szCs w:val="21"/>
                      <w:u w:val="none" w:color="auto"/>
                      <w:lang w:val="en-US" w:eastAsia="zh-CN"/>
                    </w:rPr>
                    <w:t>柴油、硝酸、盐酸</w:t>
                  </w:r>
                  <w:r>
                    <w:rPr>
                      <w:rFonts w:hint="default" w:ascii="Times New Roman" w:hAnsi="Times New Roman" w:eastAsia="宋体" w:cs="Times New Roman"/>
                      <w:color w:val="auto"/>
                      <w:sz w:val="21"/>
                      <w:szCs w:val="21"/>
                      <w:u w:val="none" w:color="auto"/>
                    </w:rPr>
                    <w:t>等物料贮存和运输过程中泄露、遗撒对周围的土壤、地下水造成污染，从而间接引起对周围人群健康的危害、废</w:t>
                  </w:r>
                  <w:r>
                    <w:rPr>
                      <w:rFonts w:hint="eastAsia" w:cs="Times New Roman"/>
                      <w:color w:val="auto"/>
                      <w:sz w:val="21"/>
                      <w:szCs w:val="21"/>
                      <w:u w:val="none" w:color="auto"/>
                      <w:lang w:val="en-US" w:eastAsia="zh-CN"/>
                    </w:rPr>
                    <w:t>柴油桶</w:t>
                  </w:r>
                  <w:r>
                    <w:rPr>
                      <w:rFonts w:hint="default" w:ascii="Times New Roman" w:hAnsi="Times New Roman" w:eastAsia="宋体" w:cs="Times New Roman"/>
                      <w:color w:val="auto"/>
                      <w:sz w:val="21"/>
                      <w:szCs w:val="21"/>
                      <w:u w:val="none" w:color="auto"/>
                    </w:rPr>
                    <w:t>等危险废物的暂存过程中发生泄漏。</w:t>
                  </w:r>
                </w:p>
              </w:tc>
            </w:tr>
            <w:tr w14:paraId="0D351A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80" w:type="pct"/>
                  <w:vAlign w:val="center"/>
                </w:tcPr>
                <w:p w14:paraId="2D859F4C">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9"/>
                      <w:sz w:val="21"/>
                      <w:szCs w:val="21"/>
                      <w:u w:val="none" w:color="auto"/>
                    </w:rPr>
                    <w:t>环</w:t>
                  </w:r>
                  <w:r>
                    <w:rPr>
                      <w:rFonts w:hint="default" w:ascii="Times New Roman" w:hAnsi="Times New Roman" w:eastAsia="宋体" w:cs="Times New Roman"/>
                      <w:color w:val="auto"/>
                      <w:spacing w:val="8"/>
                      <w:sz w:val="21"/>
                      <w:szCs w:val="21"/>
                      <w:u w:val="none" w:color="auto"/>
                    </w:rPr>
                    <w:t>境影响途径</w:t>
                  </w:r>
                  <w:r>
                    <w:rPr>
                      <w:rFonts w:hint="default" w:ascii="Times New Roman" w:hAnsi="Times New Roman" w:eastAsia="宋体" w:cs="Times New Roman"/>
                      <w:color w:val="auto"/>
                      <w:spacing w:val="15"/>
                      <w:sz w:val="21"/>
                      <w:szCs w:val="21"/>
                      <w:u w:val="none" w:color="auto"/>
                    </w:rPr>
                    <w:t>及危害后果(</w:t>
                  </w:r>
                  <w:r>
                    <w:rPr>
                      <w:rFonts w:hint="default" w:ascii="Times New Roman" w:hAnsi="Times New Roman" w:eastAsia="宋体" w:cs="Times New Roman"/>
                      <w:color w:val="auto"/>
                      <w:spacing w:val="14"/>
                      <w:sz w:val="21"/>
                      <w:szCs w:val="21"/>
                      <w:u w:val="none" w:color="auto"/>
                    </w:rPr>
                    <w:t>大</w:t>
                  </w:r>
                  <w:r>
                    <w:rPr>
                      <w:rFonts w:hint="default" w:ascii="Times New Roman" w:hAnsi="Times New Roman" w:eastAsia="宋体" w:cs="Times New Roman"/>
                      <w:color w:val="auto"/>
                      <w:sz w:val="21"/>
                      <w:szCs w:val="21"/>
                      <w:u w:val="none" w:color="auto"/>
                    </w:rPr>
                    <w:t xml:space="preserve"> </w:t>
                  </w:r>
                  <w:r>
                    <w:rPr>
                      <w:rFonts w:hint="default" w:ascii="Times New Roman" w:hAnsi="Times New Roman" w:eastAsia="宋体" w:cs="Times New Roman"/>
                      <w:color w:val="auto"/>
                      <w:spacing w:val="1"/>
                      <w:sz w:val="21"/>
                      <w:szCs w:val="21"/>
                      <w:u w:val="none" w:color="auto"/>
                    </w:rPr>
                    <w:t>气、地表</w:t>
                  </w:r>
                  <w:r>
                    <w:rPr>
                      <w:rFonts w:hint="default" w:ascii="Times New Roman" w:hAnsi="Times New Roman" w:eastAsia="宋体" w:cs="Times New Roman"/>
                      <w:color w:val="auto"/>
                      <w:sz w:val="21"/>
                      <w:szCs w:val="21"/>
                      <w:u w:val="none" w:color="auto"/>
                    </w:rPr>
                    <w:t xml:space="preserve">水、地 </w:t>
                  </w:r>
                  <w:r>
                    <w:rPr>
                      <w:rFonts w:hint="default" w:ascii="Times New Roman" w:hAnsi="Times New Roman" w:eastAsia="宋体" w:cs="Times New Roman"/>
                      <w:color w:val="auto"/>
                      <w:spacing w:val="7"/>
                      <w:sz w:val="21"/>
                      <w:szCs w:val="21"/>
                      <w:u w:val="none" w:color="auto"/>
                    </w:rPr>
                    <w:t>下</w:t>
                  </w:r>
                  <w:r>
                    <w:rPr>
                      <w:rFonts w:hint="default" w:ascii="Times New Roman" w:hAnsi="Times New Roman" w:eastAsia="宋体" w:cs="Times New Roman"/>
                      <w:color w:val="auto"/>
                      <w:spacing w:val="6"/>
                      <w:sz w:val="21"/>
                      <w:szCs w:val="21"/>
                      <w:u w:val="none" w:color="auto"/>
                    </w:rPr>
                    <w:t>水、土壤等)</w:t>
                  </w:r>
                </w:p>
              </w:tc>
              <w:tc>
                <w:tcPr>
                  <w:tcW w:w="3919" w:type="pct"/>
                  <w:gridSpan w:val="4"/>
                  <w:vAlign w:val="center"/>
                </w:tcPr>
                <w:p w14:paraId="5CDF81EA">
                  <w:pPr>
                    <w:adjustRightInd w:val="0"/>
                    <w:snapToGrid w:val="0"/>
                    <w:spacing w:line="360" w:lineRule="auto"/>
                    <w:ind w:firstLine="420" w:firstLineChars="20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（1）火灾事故分析</w:t>
                  </w:r>
                </w:p>
                <w:p w14:paraId="139DBC77">
                  <w:pPr>
                    <w:adjustRightInd w:val="0"/>
                    <w:snapToGrid w:val="0"/>
                    <w:spacing w:line="360" w:lineRule="auto"/>
                    <w:ind w:firstLine="420" w:firstLineChars="200"/>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①大气环境</w:t>
                  </w:r>
                </w:p>
                <w:p w14:paraId="0A600DB4">
                  <w:pPr>
                    <w:adjustRightInd w:val="0"/>
                    <w:snapToGrid w:val="0"/>
                    <w:spacing w:line="360" w:lineRule="auto"/>
                    <w:ind w:firstLine="420" w:firstLineChars="200"/>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本项目涉及的</w:t>
                  </w:r>
                  <w:r>
                    <w:rPr>
                      <w:rFonts w:hint="default" w:ascii="Times New Roman" w:hAnsi="Times New Roman" w:eastAsia="宋体" w:cs="Times New Roman"/>
                      <w:color w:val="auto"/>
                      <w:sz w:val="21"/>
                      <w:szCs w:val="21"/>
                      <w:u w:val="none" w:color="auto"/>
                      <w:lang w:val="en-US" w:eastAsia="zh-CN"/>
                    </w:rPr>
                    <w:t>柴油</w:t>
                  </w:r>
                  <w:r>
                    <w:rPr>
                      <w:rFonts w:hint="default" w:ascii="Times New Roman" w:hAnsi="Times New Roman" w:eastAsia="宋体" w:cs="Times New Roman"/>
                      <w:color w:val="auto"/>
                      <w:sz w:val="21"/>
                      <w:szCs w:val="21"/>
                      <w:u w:val="none" w:color="auto"/>
                    </w:rPr>
                    <w:t>等物料</w:t>
                  </w:r>
                  <w:r>
                    <w:rPr>
                      <w:rFonts w:hint="default" w:ascii="Times New Roman" w:hAnsi="Times New Roman" w:eastAsia="宋体" w:cs="Times New Roman"/>
                      <w:bCs/>
                      <w:color w:val="auto"/>
                      <w:sz w:val="21"/>
                      <w:szCs w:val="21"/>
                      <w:u w:val="none" w:color="auto"/>
                    </w:rPr>
                    <w:t>属于易燃物质、电气设备由于超负荷运转等因素，一旦车间管理不当，遇明火或自燃燃烧，其燃烧产物中一氧化碳、二氧化碳、氮氧化物和烟雾可能会对大气环境产生一定的影响。一旦发生火灾事故，随着大气的扩散作用，CO的浓度降低，大气环境可恢复到现状水平，预计本项目火灾不会对周围外界大气环境造成持续的影响。一旦发生事故，建设单位应及时采用正确方法处理所发生事故，应急处理人员穿戴全身专用防护服，佩戴氧气呼吸器对事故进行应急处理，尽量减轻对人员的影响。</w:t>
                  </w:r>
                </w:p>
                <w:p w14:paraId="6D1AB8DE">
                  <w:pPr>
                    <w:adjustRightInd w:val="0"/>
                    <w:snapToGrid w:val="0"/>
                    <w:spacing w:line="360" w:lineRule="auto"/>
                    <w:ind w:firstLine="420" w:firstLineChars="200"/>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②地表水环境</w:t>
                  </w:r>
                </w:p>
                <w:p w14:paraId="728C1667">
                  <w:pPr>
                    <w:adjustRightInd w:val="0"/>
                    <w:snapToGrid w:val="0"/>
                    <w:spacing w:line="360" w:lineRule="auto"/>
                    <w:ind w:firstLine="420" w:firstLineChars="200"/>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发生小面积火灾情况，可采用干粉灭火器、消防沙灭火，不会产生消防废水；大面积火灾需使用消防水灭火时，产生大量消防废水，若收集不当将会对地表水产生不利影响。</w:t>
                  </w:r>
                </w:p>
                <w:p w14:paraId="3FDD0753">
                  <w:pPr>
                    <w:adjustRightInd w:val="0"/>
                    <w:snapToGrid w:val="0"/>
                    <w:spacing w:line="360" w:lineRule="auto"/>
                    <w:ind w:firstLine="420" w:firstLineChars="200"/>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本项目厂区内存放有灭火器。发生小范围火灾事故时，使用干粉灭火器及时灭火；发生大范围火灾事故时，使用消防水及时灭火。若发生大范围火灾事故时，使用消防水进行灭火，会产生消防废水，建设单位应及时用沙袋封堵厂区雨水总排口，截留有限的消防废水。待事故结束后，委托有资质单位对截留的消防废水水质进行检测，若水质满足污水处理厂进水水质要求，将消防废水经市政污水管网排入市政污水管网；若水质不能满足污水处理厂进水水质要求，将消防废水外运委托有资质单位处理。</w:t>
                  </w:r>
                </w:p>
                <w:p w14:paraId="61EFAF17">
                  <w:pPr>
                    <w:adjustRightInd w:val="0"/>
                    <w:snapToGrid w:val="0"/>
                    <w:spacing w:line="360" w:lineRule="auto"/>
                    <w:ind w:firstLine="420" w:firstLineChars="200"/>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（2）</w:t>
                  </w:r>
                  <w:r>
                    <w:rPr>
                      <w:rFonts w:hint="default" w:ascii="Times New Roman" w:hAnsi="Times New Roman" w:eastAsia="宋体" w:cs="Times New Roman"/>
                      <w:color w:val="auto"/>
                      <w:sz w:val="21"/>
                      <w:szCs w:val="21"/>
                      <w:u w:val="none" w:color="auto"/>
                      <w:lang w:val="en-US" w:eastAsia="zh-CN"/>
                    </w:rPr>
                    <w:t>柴油、硝酸、盐酸</w:t>
                  </w:r>
                  <w:r>
                    <w:rPr>
                      <w:rFonts w:hint="default" w:ascii="Times New Roman" w:hAnsi="Times New Roman" w:eastAsia="宋体" w:cs="Times New Roman"/>
                      <w:color w:val="auto"/>
                      <w:sz w:val="21"/>
                      <w:szCs w:val="21"/>
                      <w:u w:val="none" w:color="auto"/>
                    </w:rPr>
                    <w:t>等物料</w:t>
                  </w:r>
                  <w:r>
                    <w:rPr>
                      <w:rFonts w:hint="default" w:ascii="Times New Roman" w:hAnsi="Times New Roman" w:eastAsia="宋体" w:cs="Times New Roman"/>
                      <w:bCs/>
                      <w:color w:val="auto"/>
                      <w:sz w:val="21"/>
                      <w:szCs w:val="21"/>
                      <w:u w:val="none" w:color="auto"/>
                    </w:rPr>
                    <w:t>泄漏环境风险分析</w:t>
                  </w:r>
                </w:p>
                <w:p w14:paraId="2DB0440B">
                  <w:pPr>
                    <w:adjustRightInd w:val="0"/>
                    <w:snapToGrid w:val="0"/>
                    <w:spacing w:line="360" w:lineRule="auto"/>
                    <w:ind w:firstLine="420" w:firstLineChars="200"/>
                    <w:rPr>
                      <w:rFonts w:hint="default" w:ascii="Times New Roman" w:hAnsi="Times New Roman" w:eastAsia="宋体" w:cs="Times New Roman"/>
                      <w:bCs/>
                      <w:color w:val="auto"/>
                      <w:sz w:val="21"/>
                      <w:szCs w:val="21"/>
                      <w:u w:val="none" w:color="auto"/>
                    </w:rPr>
                  </w:pPr>
                  <w:r>
                    <w:rPr>
                      <w:rFonts w:hint="default" w:ascii="Times New Roman" w:hAnsi="Times New Roman" w:eastAsia="宋体" w:cs="Times New Roman"/>
                      <w:bCs/>
                      <w:color w:val="auto"/>
                      <w:sz w:val="21"/>
                      <w:szCs w:val="21"/>
                      <w:u w:val="none" w:color="auto"/>
                    </w:rPr>
                    <w:t>油类物质进入河流后，由于有机物烃类物质难溶于水，大部分上浮在水层表面，首先造成对河流的景观破坏，产生严重的刺鼻气味；其次油膜使空气与水隔离，造成水中溶解氧浓度降低，逐渐形成死水，致使水中生物死亡；再次，油类物质一旦进入水环境，由于可生化性差，可能造成被污染水体长时间得不到净化。如果泄漏的油品下渗进入地下水体，会对地下水产生影响，影响地下水水质。</w:t>
                  </w:r>
                </w:p>
                <w:p w14:paraId="1ACAD0C6">
                  <w:pPr>
                    <w:widowControl/>
                    <w:adjustRightInd w:val="0"/>
                    <w:snapToGrid w:val="0"/>
                    <w:spacing w:line="360" w:lineRule="auto"/>
                    <w:ind w:firstLine="420" w:firstLineChars="20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（3）危险废物暂存泄漏事故分析</w:t>
                  </w:r>
                </w:p>
                <w:p w14:paraId="0D1EDD24">
                  <w:pPr>
                    <w:widowControl/>
                    <w:adjustRightInd w:val="0"/>
                    <w:snapToGrid w:val="0"/>
                    <w:spacing w:line="360" w:lineRule="auto"/>
                    <w:ind w:firstLine="420" w:firstLineChars="20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废</w:t>
                  </w:r>
                  <w:r>
                    <w:rPr>
                      <w:rFonts w:hint="default" w:ascii="Times New Roman" w:hAnsi="Times New Roman" w:eastAsia="宋体" w:cs="Times New Roman"/>
                      <w:color w:val="auto"/>
                      <w:sz w:val="21"/>
                      <w:szCs w:val="21"/>
                      <w:u w:val="none" w:color="auto"/>
                      <w:lang w:val="en-US" w:eastAsia="zh-CN"/>
                    </w:rPr>
                    <w:t>柴油</w:t>
                  </w:r>
                  <w:r>
                    <w:rPr>
                      <w:rFonts w:hint="default" w:ascii="Times New Roman" w:hAnsi="Times New Roman" w:eastAsia="宋体" w:cs="Times New Roman"/>
                      <w:color w:val="auto"/>
                      <w:sz w:val="21"/>
                      <w:szCs w:val="21"/>
                      <w:u w:val="none" w:color="auto"/>
                    </w:rPr>
                    <w:t>桶、废活性炭等危险废物一旦发生泄漏事故，应及时进行收集处理，未收集的部分可能会导致土壤受到污染。</w:t>
                  </w:r>
                </w:p>
                <w:p w14:paraId="231FB065">
                  <w:pPr>
                    <w:widowControl/>
                    <w:adjustRightInd w:val="0"/>
                    <w:snapToGrid w:val="0"/>
                    <w:spacing w:line="360" w:lineRule="auto"/>
                    <w:ind w:firstLine="420" w:firstLineChars="20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由于本项废</w:t>
                  </w:r>
                  <w:r>
                    <w:rPr>
                      <w:rFonts w:hint="default" w:ascii="Times New Roman" w:hAnsi="Times New Roman" w:eastAsia="宋体" w:cs="Times New Roman"/>
                      <w:color w:val="auto"/>
                      <w:sz w:val="21"/>
                      <w:szCs w:val="21"/>
                      <w:u w:val="none" w:color="auto"/>
                      <w:lang w:val="en-US" w:eastAsia="zh-CN"/>
                    </w:rPr>
                    <w:t>柴油</w:t>
                  </w:r>
                  <w:r>
                    <w:rPr>
                      <w:rFonts w:hint="default" w:ascii="Times New Roman" w:hAnsi="Times New Roman" w:eastAsia="宋体" w:cs="Times New Roman"/>
                      <w:color w:val="auto"/>
                      <w:sz w:val="21"/>
                      <w:szCs w:val="21"/>
                      <w:u w:val="none" w:color="auto"/>
                    </w:rPr>
                    <w:t>桶存储量不大，在不发生爆炸的情况下，泄漏的概率几乎为零，其发生泄漏而不引起火灾爆炸事故时，主要影响是</w:t>
                  </w:r>
                  <w:r>
                    <w:rPr>
                      <w:rFonts w:hint="default" w:ascii="Times New Roman" w:hAnsi="Times New Roman" w:eastAsia="宋体" w:cs="Times New Roman"/>
                      <w:color w:val="auto"/>
                      <w:sz w:val="21"/>
                      <w:szCs w:val="21"/>
                      <w:u w:val="none" w:color="auto"/>
                      <w:lang w:val="en-US" w:eastAsia="zh-CN"/>
                    </w:rPr>
                    <w:t>桶内残存物料</w:t>
                  </w:r>
                  <w:r>
                    <w:rPr>
                      <w:rFonts w:hint="default" w:ascii="Times New Roman" w:hAnsi="Times New Roman" w:eastAsia="宋体" w:cs="Times New Roman"/>
                      <w:color w:val="auto"/>
                      <w:sz w:val="21"/>
                      <w:szCs w:val="21"/>
                      <w:u w:val="none" w:color="auto"/>
                    </w:rPr>
                    <w:t>挥发的有机废气对环境空气的影响，由于单桶量相对较小，对厂区大气环境造成影响较小；项目废活性炭主要来源于废气处理设施，其吸附介质主要为挥发性有机物，储存过程采用密闭储存，储存过程基本无有机废气挥发出，其发生泄漏而不引起火灾爆炸事故时，主要影响是挥发的有机废气对环境空气的影响，由于废活性炭产生量少，产生频次低且及时委托有资质单位转运，基本不会对周围环境造成影响。</w:t>
                  </w:r>
                </w:p>
              </w:tc>
            </w:tr>
            <w:tr w14:paraId="59D7D6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80" w:type="pct"/>
                  <w:vAlign w:val="center"/>
                </w:tcPr>
                <w:p w14:paraId="260CBBB7">
                  <w:pPr>
                    <w:jc w:val="center"/>
                    <w:rPr>
                      <w:rFonts w:hint="default" w:ascii="Times New Roman" w:hAnsi="Times New Roman" w:eastAsia="宋体" w:cs="Times New Roman"/>
                      <w:color w:val="auto"/>
                      <w:sz w:val="21"/>
                      <w:szCs w:val="21"/>
                      <w:u w:val="none" w:color="auto"/>
                    </w:rPr>
                  </w:pPr>
                </w:p>
                <w:p w14:paraId="285DDE93">
                  <w:pPr>
                    <w:jc w:val="center"/>
                    <w:rPr>
                      <w:rFonts w:hint="default" w:ascii="Times New Roman" w:hAnsi="Times New Roman" w:eastAsia="宋体" w:cs="Times New Roman"/>
                      <w:color w:val="auto"/>
                      <w:sz w:val="21"/>
                      <w:szCs w:val="21"/>
                      <w:u w:val="none" w:color="auto"/>
                    </w:rPr>
                  </w:pPr>
                </w:p>
                <w:p w14:paraId="24CE383C">
                  <w:pPr>
                    <w:jc w:val="center"/>
                    <w:rPr>
                      <w:rFonts w:hint="default" w:ascii="Times New Roman" w:hAnsi="Times New Roman" w:eastAsia="宋体" w:cs="Times New Roman"/>
                      <w:color w:val="auto"/>
                      <w:sz w:val="21"/>
                      <w:szCs w:val="21"/>
                      <w:u w:val="none" w:color="auto"/>
                    </w:rPr>
                  </w:pPr>
                </w:p>
                <w:p w14:paraId="18CD665F">
                  <w:pPr>
                    <w:jc w:val="center"/>
                    <w:rPr>
                      <w:rFonts w:hint="default" w:ascii="Times New Roman" w:hAnsi="Times New Roman" w:eastAsia="宋体" w:cs="Times New Roman"/>
                      <w:color w:val="auto"/>
                      <w:sz w:val="21"/>
                      <w:szCs w:val="21"/>
                      <w:u w:val="none" w:color="auto"/>
                    </w:rPr>
                  </w:pPr>
                </w:p>
                <w:p w14:paraId="520F7953">
                  <w:pPr>
                    <w:jc w:val="center"/>
                    <w:rPr>
                      <w:rFonts w:hint="default" w:ascii="Times New Roman" w:hAnsi="Times New Roman" w:eastAsia="宋体" w:cs="Times New Roman"/>
                      <w:color w:val="auto"/>
                      <w:sz w:val="21"/>
                      <w:szCs w:val="21"/>
                      <w:u w:val="none" w:color="auto"/>
                    </w:rPr>
                  </w:pPr>
                </w:p>
                <w:p w14:paraId="7D722C4B">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8"/>
                      <w:sz w:val="21"/>
                      <w:szCs w:val="21"/>
                      <w:u w:val="none" w:color="auto"/>
                    </w:rPr>
                    <w:t>风险防范措施</w:t>
                  </w:r>
                  <w:r>
                    <w:rPr>
                      <w:rFonts w:hint="default" w:ascii="Times New Roman" w:hAnsi="Times New Roman" w:eastAsia="宋体" w:cs="Times New Roman"/>
                      <w:color w:val="auto"/>
                      <w:spacing w:val="7"/>
                      <w:sz w:val="21"/>
                      <w:szCs w:val="21"/>
                      <w:u w:val="none" w:color="auto"/>
                    </w:rPr>
                    <w:t>及要求</w:t>
                  </w:r>
                </w:p>
              </w:tc>
              <w:tc>
                <w:tcPr>
                  <w:tcW w:w="3919" w:type="pct"/>
                  <w:gridSpan w:val="4"/>
                  <w:vAlign w:val="center"/>
                </w:tcPr>
                <w:p w14:paraId="18A79365">
                  <w:pPr>
                    <w:tabs>
                      <w:tab w:val="left" w:pos="1081"/>
                    </w:tabs>
                    <w:adjustRightInd w:val="0"/>
                    <w:snapToGrid w:val="0"/>
                    <w:spacing w:line="360" w:lineRule="auto"/>
                    <w:ind w:firstLine="420" w:firstLineChars="20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（1）原料储存过程事故收集措施</w:t>
                  </w:r>
                </w:p>
                <w:p w14:paraId="48DBF488">
                  <w:pPr>
                    <w:adjustRightInd w:val="0"/>
                    <w:snapToGrid w:val="0"/>
                    <w:spacing w:line="360" w:lineRule="auto"/>
                    <w:ind w:firstLine="420" w:firstLineChars="20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原料（</w:t>
                  </w:r>
                  <w:r>
                    <w:rPr>
                      <w:rFonts w:hint="default" w:ascii="Times New Roman" w:hAnsi="Times New Roman" w:eastAsia="宋体" w:cs="Times New Roman"/>
                      <w:color w:val="auto"/>
                      <w:sz w:val="21"/>
                      <w:szCs w:val="21"/>
                      <w:u w:val="none" w:color="auto"/>
                      <w:lang w:val="en-US" w:eastAsia="zh-CN"/>
                    </w:rPr>
                    <w:t>柴油、硝酸、盐酸</w:t>
                  </w:r>
                  <w:r>
                    <w:rPr>
                      <w:rFonts w:hint="default" w:ascii="Times New Roman" w:hAnsi="Times New Roman" w:eastAsia="宋体" w:cs="Times New Roman"/>
                      <w:color w:val="auto"/>
                      <w:sz w:val="21"/>
                      <w:szCs w:val="21"/>
                      <w:u w:val="none" w:color="auto"/>
                    </w:rPr>
                    <w:t>等物料）加强贮存使用管理，及时检查包装容器完好使用情况，严防出现泄漏事故。原料仓库四周设置围堰（容积2m</w:t>
                  </w:r>
                  <w:r>
                    <w:rPr>
                      <w:rFonts w:hint="default" w:ascii="Times New Roman" w:hAnsi="Times New Roman" w:eastAsia="宋体" w:cs="Times New Roman"/>
                      <w:color w:val="auto"/>
                      <w:sz w:val="21"/>
                      <w:szCs w:val="21"/>
                      <w:u w:val="none" w:color="auto"/>
                      <w:vertAlign w:val="superscript"/>
                    </w:rPr>
                    <w:t>3</w:t>
                  </w:r>
                  <w:r>
                    <w:rPr>
                      <w:rFonts w:hint="default" w:ascii="Times New Roman" w:hAnsi="Times New Roman" w:eastAsia="宋体" w:cs="Times New Roman"/>
                      <w:color w:val="auto"/>
                      <w:sz w:val="21"/>
                      <w:szCs w:val="21"/>
                      <w:u w:val="none" w:color="auto"/>
                    </w:rPr>
                    <w:t>），泄露物料及时收集后作为危废处理，危废间设置</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“六防</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措施。一旦发生泄漏情况，应迅速撤离污染区人员至上风处，设置一定隔离距离，严格限制无关人员出入；建议应急处理人员戴自给正压式呼吸器，穿防护服，从上风处进入现场，及时清理现场泄漏物料，防止外排污染水环境。</w:t>
                  </w:r>
                </w:p>
                <w:p w14:paraId="048B6AAF">
                  <w:pPr>
                    <w:adjustRightInd w:val="0"/>
                    <w:snapToGrid w:val="0"/>
                    <w:spacing w:line="360" w:lineRule="auto"/>
                    <w:ind w:firstLine="420" w:firstLineChars="20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（2）危废暂存过程中风险防范措施：</w:t>
                  </w:r>
                </w:p>
                <w:p w14:paraId="34184332">
                  <w:pPr>
                    <w:widowControl/>
                    <w:adjustRightInd w:val="0"/>
                    <w:snapToGrid w:val="0"/>
                    <w:spacing w:line="360" w:lineRule="auto"/>
                    <w:ind w:firstLine="420" w:firstLineChars="20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①危废暂存间贮存区域应符合有关安全、防火规定，并设置相应的通风、防爆、防火、灭火等安全设施。</w:t>
                  </w:r>
                </w:p>
                <w:p w14:paraId="531CB6D0">
                  <w:pPr>
                    <w:widowControl/>
                    <w:adjustRightInd w:val="0"/>
                    <w:snapToGrid w:val="0"/>
                    <w:spacing w:line="360" w:lineRule="auto"/>
                    <w:ind w:firstLine="420" w:firstLineChars="20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②储存地点设置围堰，防止事故泄露</w:t>
                  </w:r>
                </w:p>
                <w:p w14:paraId="5AF5DEA5">
                  <w:pPr>
                    <w:widowControl/>
                    <w:adjustRightInd w:val="0"/>
                    <w:snapToGrid w:val="0"/>
                    <w:spacing w:line="360" w:lineRule="auto"/>
                    <w:ind w:firstLine="420" w:firstLineChars="20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③危废暂存间设置事故沟等风险防范措施；</w:t>
                  </w:r>
                </w:p>
                <w:p w14:paraId="4B532789">
                  <w:pPr>
                    <w:adjustRightInd w:val="0"/>
                    <w:snapToGrid w:val="0"/>
                    <w:spacing w:line="360" w:lineRule="auto"/>
                    <w:ind w:firstLine="420" w:firstLineChars="20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④建立安全生产岗位责任制，制定安全生产规章制度、安全操作规程，加强员工安全环保意识教育，树立安全生产意识，防止人为事故发生。</w:t>
                  </w:r>
                </w:p>
                <w:p w14:paraId="6C6C399C">
                  <w:pPr>
                    <w:adjustRightInd w:val="0"/>
                    <w:snapToGrid w:val="0"/>
                    <w:spacing w:line="360" w:lineRule="auto"/>
                    <w:ind w:firstLine="420" w:firstLineChars="20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⑤根据《危险废物贮存污染控制标准》(GB18597-2023)中的相关要求液态危险废物的堵截设施最小容积不应低于对应贮存区域最大液态废物容器容积或液态废物总储量 1/10（二者取较大者），本项目危废暂存间实验室废液</w:t>
                  </w:r>
                  <w:r>
                    <w:rPr>
                      <w:rFonts w:hint="default" w:ascii="Times New Roman" w:hAnsi="Times New Roman" w:eastAsia="宋体" w:cs="Times New Roman"/>
                      <w:color w:val="auto"/>
                      <w:sz w:val="21"/>
                      <w:szCs w:val="21"/>
                      <w:u w:val="none" w:color="auto"/>
                      <w:lang w:val="en-US" w:eastAsia="zh-CN"/>
                    </w:rPr>
                    <w:t>以及过期试剂</w:t>
                  </w:r>
                  <w:r>
                    <w:rPr>
                      <w:rFonts w:hint="default" w:ascii="Times New Roman" w:hAnsi="Times New Roman" w:eastAsia="宋体" w:cs="Times New Roman"/>
                      <w:color w:val="auto"/>
                      <w:sz w:val="21"/>
                      <w:szCs w:val="21"/>
                      <w:u w:val="none" w:color="auto"/>
                    </w:rPr>
                    <w:t>暂存采用的带盖密闭塑料桶单个容积为50L，实验室废液</w:t>
                  </w:r>
                  <w:r>
                    <w:rPr>
                      <w:rFonts w:hint="default" w:ascii="Times New Roman" w:hAnsi="Times New Roman" w:eastAsia="宋体" w:cs="Times New Roman"/>
                      <w:color w:val="auto"/>
                      <w:sz w:val="21"/>
                      <w:szCs w:val="21"/>
                      <w:u w:val="none" w:color="auto"/>
                      <w:lang w:val="en-US" w:eastAsia="zh-CN"/>
                    </w:rPr>
                    <w:t>以及过期试剂</w:t>
                  </w:r>
                  <w:r>
                    <w:rPr>
                      <w:rFonts w:hint="default" w:ascii="Times New Roman" w:hAnsi="Times New Roman" w:eastAsia="宋体" w:cs="Times New Roman"/>
                      <w:color w:val="auto"/>
                      <w:sz w:val="21"/>
                      <w:szCs w:val="21"/>
                      <w:u w:val="none" w:color="auto"/>
                    </w:rPr>
                    <w:t>的最大产生量为</w:t>
                  </w:r>
                  <w:r>
                    <w:rPr>
                      <w:rFonts w:hint="default" w:ascii="Times New Roman" w:hAnsi="Times New Roman" w:eastAsia="宋体" w:cs="Times New Roman"/>
                      <w:color w:val="auto"/>
                      <w:sz w:val="21"/>
                      <w:szCs w:val="21"/>
                      <w:u w:val="none" w:color="auto"/>
                      <w:lang w:val="en-US" w:eastAsia="zh-CN"/>
                    </w:rPr>
                    <w:t>1.32</w:t>
                  </w:r>
                  <w:r>
                    <w:rPr>
                      <w:rFonts w:hint="default" w:ascii="Times New Roman" w:hAnsi="Times New Roman" w:eastAsia="宋体" w:cs="Times New Roman"/>
                      <w:color w:val="auto"/>
                      <w:sz w:val="21"/>
                      <w:szCs w:val="21"/>
                      <w:u w:val="none" w:color="auto"/>
                    </w:rPr>
                    <w:t>t/a，约为</w:t>
                  </w:r>
                  <w:r>
                    <w:rPr>
                      <w:rFonts w:hint="default" w:ascii="Times New Roman" w:hAnsi="Times New Roman" w:eastAsia="宋体" w:cs="Times New Roman"/>
                      <w:color w:val="auto"/>
                      <w:sz w:val="21"/>
                      <w:szCs w:val="21"/>
                      <w:u w:val="none" w:color="auto"/>
                      <w:lang w:val="en-US" w:eastAsia="zh-CN"/>
                    </w:rPr>
                    <w:t>2.8</w:t>
                  </w:r>
                  <w:r>
                    <w:rPr>
                      <w:rFonts w:hint="default" w:ascii="Times New Roman" w:hAnsi="Times New Roman" w:eastAsia="宋体" w:cs="Times New Roman"/>
                      <w:color w:val="auto"/>
                      <w:sz w:val="21"/>
                      <w:szCs w:val="21"/>
                      <w:u w:val="none" w:color="auto"/>
                    </w:rPr>
                    <w:t>m</w:t>
                  </w:r>
                  <w:r>
                    <w:rPr>
                      <w:rFonts w:hint="default" w:ascii="Times New Roman" w:hAnsi="Times New Roman" w:eastAsia="宋体" w:cs="Times New Roman"/>
                      <w:color w:val="auto"/>
                      <w:sz w:val="21"/>
                      <w:szCs w:val="21"/>
                      <w:u w:val="none" w:color="auto"/>
                      <w:vertAlign w:val="superscript"/>
                    </w:rPr>
                    <w:t>3</w:t>
                  </w:r>
                  <w:r>
                    <w:rPr>
                      <w:rFonts w:hint="default" w:ascii="Times New Roman" w:hAnsi="Times New Roman" w:eastAsia="宋体" w:cs="Times New Roman"/>
                      <w:color w:val="auto"/>
                      <w:sz w:val="21"/>
                      <w:szCs w:val="21"/>
                      <w:u w:val="none" w:color="auto"/>
                    </w:rPr>
                    <w:t>/a，项目每半年委托一次危废处理资质单位进行处置废油液，可得出，项目危废暂存间</w:t>
                  </w:r>
                  <w:r>
                    <w:rPr>
                      <w:rFonts w:hint="default" w:ascii="Times New Roman" w:hAnsi="Times New Roman" w:eastAsia="宋体" w:cs="Times New Roman"/>
                      <w:color w:val="auto"/>
                      <w:sz w:val="21"/>
                      <w:szCs w:val="21"/>
                      <w:u w:val="none" w:color="auto"/>
                      <w:lang w:val="en-US" w:eastAsia="zh-CN"/>
                    </w:rPr>
                    <w:t>液态</w:t>
                  </w:r>
                  <w:r>
                    <w:rPr>
                      <w:rFonts w:hint="default" w:ascii="Times New Roman" w:hAnsi="Times New Roman" w:eastAsia="宋体" w:cs="Times New Roman"/>
                      <w:color w:val="auto"/>
                      <w:sz w:val="21"/>
                      <w:szCs w:val="21"/>
                      <w:u w:val="none" w:color="auto"/>
                    </w:rPr>
                    <w:t>暂存区实验室废液</w:t>
                  </w:r>
                  <w:r>
                    <w:rPr>
                      <w:rFonts w:hint="default" w:ascii="Times New Roman" w:hAnsi="Times New Roman" w:eastAsia="宋体" w:cs="Times New Roman"/>
                      <w:color w:val="auto"/>
                      <w:sz w:val="21"/>
                      <w:szCs w:val="21"/>
                      <w:u w:val="none" w:color="auto"/>
                      <w:lang w:val="en-US" w:eastAsia="zh-CN"/>
                    </w:rPr>
                    <w:t>以及过期试剂</w:t>
                  </w:r>
                  <w:r>
                    <w:rPr>
                      <w:rFonts w:hint="default" w:ascii="Times New Roman" w:hAnsi="Times New Roman" w:eastAsia="宋体" w:cs="Times New Roman"/>
                      <w:color w:val="auto"/>
                      <w:sz w:val="21"/>
                      <w:szCs w:val="21"/>
                      <w:u w:val="none" w:color="auto"/>
                    </w:rPr>
                    <w:t>的最大储存量为</w:t>
                  </w:r>
                  <w:r>
                    <w:rPr>
                      <w:rFonts w:hint="default" w:ascii="Times New Roman" w:hAnsi="Times New Roman" w:eastAsia="宋体" w:cs="Times New Roman"/>
                      <w:color w:val="auto"/>
                      <w:sz w:val="21"/>
                      <w:szCs w:val="21"/>
                      <w:u w:val="none" w:color="auto"/>
                      <w:lang w:val="en-US" w:eastAsia="zh-CN"/>
                    </w:rPr>
                    <w:t>0.14</w:t>
                  </w:r>
                  <w:r>
                    <w:rPr>
                      <w:rFonts w:hint="default" w:ascii="Times New Roman" w:hAnsi="Times New Roman" w:eastAsia="宋体" w:cs="Times New Roman"/>
                      <w:color w:val="auto"/>
                      <w:sz w:val="21"/>
                      <w:szCs w:val="21"/>
                      <w:u w:val="none" w:color="auto"/>
                    </w:rPr>
                    <w:t>m</w:t>
                  </w:r>
                  <w:r>
                    <w:rPr>
                      <w:rFonts w:hint="default" w:ascii="Times New Roman" w:hAnsi="Times New Roman" w:eastAsia="宋体" w:cs="Times New Roman"/>
                      <w:color w:val="auto"/>
                      <w:sz w:val="21"/>
                      <w:szCs w:val="21"/>
                      <w:u w:val="none" w:color="auto"/>
                      <w:vertAlign w:val="superscript"/>
                    </w:rPr>
                    <w:t>3</w:t>
                  </w:r>
                  <w:r>
                    <w:rPr>
                      <w:rFonts w:hint="default" w:ascii="Times New Roman" w:hAnsi="Times New Roman" w:eastAsia="宋体" w:cs="Times New Roman"/>
                      <w:color w:val="auto"/>
                      <w:sz w:val="21"/>
                      <w:szCs w:val="21"/>
                      <w:u w:val="none" w:color="auto"/>
                    </w:rPr>
                    <w:t>，因此，应在危废暂存间内设置一座</w:t>
                  </w:r>
                  <w:r>
                    <w:rPr>
                      <w:rFonts w:hint="default" w:ascii="Times New Roman" w:hAnsi="Times New Roman" w:eastAsia="宋体" w:cs="Times New Roman"/>
                      <w:color w:val="auto"/>
                      <w:sz w:val="21"/>
                      <w:szCs w:val="21"/>
                      <w:u w:val="none" w:color="auto"/>
                      <w:lang w:val="en-US" w:eastAsia="zh-CN"/>
                    </w:rPr>
                    <w:t>0.5</w:t>
                  </w:r>
                  <w:r>
                    <w:rPr>
                      <w:rFonts w:hint="default" w:ascii="Times New Roman" w:hAnsi="Times New Roman" w:eastAsia="宋体" w:cs="Times New Roman"/>
                      <w:color w:val="auto"/>
                      <w:sz w:val="21"/>
                      <w:szCs w:val="21"/>
                      <w:u w:val="none" w:color="auto"/>
                    </w:rPr>
                    <w:t>m</w:t>
                  </w:r>
                  <w:r>
                    <w:rPr>
                      <w:rFonts w:hint="default" w:ascii="Times New Roman" w:hAnsi="Times New Roman" w:eastAsia="宋体" w:cs="Times New Roman"/>
                      <w:color w:val="auto"/>
                      <w:sz w:val="21"/>
                      <w:szCs w:val="21"/>
                      <w:u w:val="none" w:color="auto"/>
                      <w:vertAlign w:val="superscript"/>
                    </w:rPr>
                    <w:t>3</w:t>
                  </w:r>
                  <w:r>
                    <w:rPr>
                      <w:rFonts w:hint="default" w:ascii="Times New Roman" w:hAnsi="Times New Roman" w:eastAsia="宋体" w:cs="Times New Roman"/>
                      <w:color w:val="auto"/>
                      <w:sz w:val="21"/>
                      <w:szCs w:val="21"/>
                      <w:u w:val="none" w:color="auto"/>
                    </w:rPr>
                    <w:t>的事故收集池。</w:t>
                  </w:r>
                </w:p>
                <w:p w14:paraId="0BC69078">
                  <w:pPr>
                    <w:adjustRightInd w:val="0"/>
                    <w:snapToGrid w:val="0"/>
                    <w:spacing w:line="360" w:lineRule="auto"/>
                    <w:ind w:firstLine="420" w:firstLineChars="20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（3）火灾事故风险防范措施</w:t>
                  </w:r>
                </w:p>
                <w:p w14:paraId="4A4C4C45">
                  <w:pPr>
                    <w:adjustRightInd w:val="0"/>
                    <w:snapToGrid w:val="0"/>
                    <w:spacing w:line="360" w:lineRule="auto"/>
                    <w:ind w:firstLine="420" w:firstLineChars="20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①在工程设计中，应严格按照国家有关规范和标准进行平面布置、建筑设计。生产区与办公室之间根据消防部门意见保持足够的安全距离。原料及产品库区设计按规范要求进行；平面布置上建筑物间的距离必须符合有关防火设计规范，各区可利用道路进行功能分区，必须满足交通和消防两方面要求。</w:t>
                  </w:r>
                </w:p>
                <w:p w14:paraId="31032AB7">
                  <w:pPr>
                    <w:adjustRightInd w:val="0"/>
                    <w:snapToGrid w:val="0"/>
                    <w:spacing w:line="360" w:lineRule="auto"/>
                    <w:ind w:firstLine="420" w:firstLineChars="20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②建立健全安全、环境管理体系及高效的安全生产机构，一旦发生事故，要做到快速、高效、安全处置。</w:t>
                  </w:r>
                </w:p>
                <w:p w14:paraId="60AFDFBE">
                  <w:pPr>
                    <w:adjustRightInd w:val="0"/>
                    <w:snapToGrid w:val="0"/>
                    <w:spacing w:line="360" w:lineRule="auto"/>
                    <w:ind w:firstLine="420" w:firstLineChars="20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③厂内的电气设备严格按照防爆区划分配置。</w:t>
                  </w:r>
                </w:p>
                <w:p w14:paraId="30CC5D84">
                  <w:pPr>
                    <w:adjustRightInd w:val="0"/>
                    <w:snapToGrid w:val="0"/>
                    <w:spacing w:line="360" w:lineRule="auto"/>
                    <w:ind w:firstLine="420" w:firstLineChars="20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④如突发火灾，应立即采取急救措施，并及时向当地环保局等有关部门报告。一旦发生火灾事故，迅速按灭火作战预案紧急处理。</w:t>
                  </w:r>
                </w:p>
                <w:p w14:paraId="4464C2E4">
                  <w:pPr>
                    <w:widowControl/>
                    <w:spacing w:line="360" w:lineRule="auto"/>
                    <w:ind w:firstLine="420" w:firstLineChars="20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⑤</w:t>
                  </w:r>
                  <w:r>
                    <w:rPr>
                      <w:rFonts w:hint="default" w:ascii="Times New Roman" w:hAnsi="Times New Roman" w:eastAsia="宋体" w:cs="Times New Roman"/>
                      <w:bCs/>
                      <w:color w:val="auto"/>
                      <w:sz w:val="21"/>
                      <w:szCs w:val="21"/>
                      <w:u w:val="none" w:color="auto"/>
                    </w:rPr>
                    <w:t>一旦发生事故，建设单位应及时采用正确方法处理所发生事故，应急处理人员穿戴全身专用防护服，佩戴氧气呼吸器对事故进行应急处理，尽量减轻对人员的影响，发生小范围火灾事故时，使用干粉灭火器及时灭火；发生大范围火灾事故时，使用消防水及时灭火。若发生大范围火灾事故时，使用消防水进行灭火，会产生消防废水，建设单位应及时用沙袋封堵厂区雨水总排口，截留有限的消防废水，</w:t>
                  </w:r>
                  <w:r>
                    <w:rPr>
                      <w:rFonts w:hint="default" w:ascii="Times New Roman" w:hAnsi="Times New Roman" w:eastAsia="宋体" w:cs="Times New Roman"/>
                      <w:color w:val="auto"/>
                      <w:kern w:val="0"/>
                      <w:sz w:val="21"/>
                      <w:szCs w:val="21"/>
                      <w:u w:val="none" w:color="auto"/>
                      <w:lang w:bidi="ar"/>
                    </w:rPr>
                    <w:t xml:space="preserve">参考《水体污染防控紧急措施设计导则》，消防废水储存设施总有效容积计算公式为： </w:t>
                  </w:r>
                </w:p>
                <w:p w14:paraId="24268BB6">
                  <w:pPr>
                    <w:widowControl/>
                    <w:spacing w:line="360" w:lineRule="auto"/>
                    <w:ind w:firstLine="420" w:firstLineChars="20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V</w:t>
                  </w:r>
                  <w:r>
                    <w:rPr>
                      <w:rFonts w:hint="default" w:ascii="Times New Roman" w:hAnsi="Times New Roman" w:eastAsia="宋体" w:cs="Times New Roman"/>
                      <w:color w:val="auto"/>
                      <w:kern w:val="0"/>
                      <w:sz w:val="21"/>
                      <w:szCs w:val="21"/>
                      <w:u w:val="none" w:color="auto"/>
                      <w:vertAlign w:val="subscript"/>
                      <w:lang w:bidi="ar"/>
                    </w:rPr>
                    <w:t>2</w:t>
                  </w:r>
                  <w:r>
                    <w:rPr>
                      <w:rFonts w:hint="default" w:ascii="Times New Roman" w:hAnsi="Times New Roman" w:eastAsia="宋体" w:cs="Times New Roman"/>
                      <w:color w:val="auto"/>
                      <w:kern w:val="0"/>
                      <w:sz w:val="21"/>
                      <w:szCs w:val="21"/>
                      <w:u w:val="none" w:color="auto"/>
                      <w:lang w:bidi="ar"/>
                    </w:rPr>
                    <w:t>—发生事故的储罐或装置的消防水量，m</w:t>
                  </w:r>
                  <w:r>
                    <w:rPr>
                      <w:rFonts w:hint="default" w:ascii="Times New Roman" w:hAnsi="Times New Roman" w:eastAsia="宋体" w:cs="Times New Roman"/>
                      <w:color w:val="auto"/>
                      <w:kern w:val="0"/>
                      <w:sz w:val="21"/>
                      <w:szCs w:val="21"/>
                      <w:u w:val="none" w:color="auto"/>
                      <w:vertAlign w:val="superscript"/>
                      <w:lang w:bidi="ar"/>
                    </w:rPr>
                    <w:t>3</w:t>
                  </w:r>
                  <w:r>
                    <w:rPr>
                      <w:rFonts w:hint="default" w:ascii="Times New Roman" w:hAnsi="Times New Roman" w:eastAsia="宋体" w:cs="Times New Roman"/>
                      <w:color w:val="auto"/>
                      <w:kern w:val="0"/>
                      <w:sz w:val="21"/>
                      <w:szCs w:val="21"/>
                      <w:u w:val="none" w:color="auto"/>
                      <w:lang w:bidi="ar"/>
                    </w:rPr>
                    <w:t xml:space="preserve">； </w:t>
                  </w:r>
                </w:p>
                <w:p w14:paraId="6CC3944D">
                  <w:pPr>
                    <w:widowControl/>
                    <w:spacing w:line="360" w:lineRule="auto"/>
                    <w:ind w:firstLine="420" w:firstLineChars="20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V</w:t>
                  </w:r>
                  <w:r>
                    <w:rPr>
                      <w:rFonts w:hint="default" w:ascii="Times New Roman" w:hAnsi="Times New Roman" w:eastAsia="宋体" w:cs="Times New Roman"/>
                      <w:color w:val="auto"/>
                      <w:kern w:val="0"/>
                      <w:sz w:val="21"/>
                      <w:szCs w:val="21"/>
                      <w:u w:val="none" w:color="auto"/>
                      <w:vertAlign w:val="subscript"/>
                      <w:lang w:bidi="ar"/>
                    </w:rPr>
                    <w:t>2</w:t>
                  </w:r>
                  <w:r>
                    <w:rPr>
                      <w:rFonts w:hint="default" w:ascii="Times New Roman" w:hAnsi="Times New Roman" w:eastAsia="宋体" w:cs="Times New Roman"/>
                      <w:color w:val="auto"/>
                      <w:kern w:val="0"/>
                      <w:sz w:val="21"/>
                      <w:szCs w:val="21"/>
                      <w:u w:val="none" w:color="auto"/>
                      <w:lang w:bidi="ar"/>
                    </w:rPr>
                    <w:t>=∑Q</w:t>
                  </w:r>
                  <w:r>
                    <w:rPr>
                      <w:rFonts w:hint="default" w:ascii="Times New Roman" w:hAnsi="Times New Roman" w:eastAsia="宋体" w:cs="Times New Roman"/>
                      <w:color w:val="auto"/>
                      <w:kern w:val="0"/>
                      <w:sz w:val="21"/>
                      <w:szCs w:val="21"/>
                      <w:u w:val="none" w:color="auto"/>
                      <w:vertAlign w:val="subscript"/>
                      <w:lang w:bidi="ar"/>
                    </w:rPr>
                    <w:t>消</w:t>
                  </w:r>
                  <w:r>
                    <w:rPr>
                      <w:rFonts w:hint="default" w:ascii="Times New Roman" w:hAnsi="Times New Roman" w:eastAsia="宋体" w:cs="Times New Roman"/>
                      <w:color w:val="auto"/>
                      <w:kern w:val="0"/>
                      <w:sz w:val="21"/>
                      <w:szCs w:val="21"/>
                      <w:u w:val="none" w:color="auto"/>
                      <w:lang w:bidi="ar"/>
                    </w:rPr>
                    <w:t>t</w:t>
                  </w:r>
                  <w:r>
                    <w:rPr>
                      <w:rFonts w:hint="default" w:ascii="Times New Roman" w:hAnsi="Times New Roman" w:eastAsia="宋体" w:cs="Times New Roman"/>
                      <w:color w:val="auto"/>
                      <w:kern w:val="0"/>
                      <w:sz w:val="21"/>
                      <w:szCs w:val="21"/>
                      <w:u w:val="none" w:color="auto"/>
                      <w:vertAlign w:val="subscript"/>
                      <w:lang w:bidi="ar"/>
                    </w:rPr>
                    <w:t>消</w:t>
                  </w:r>
                </w:p>
                <w:p w14:paraId="6354C0FE">
                  <w:pPr>
                    <w:widowControl/>
                    <w:spacing w:line="360" w:lineRule="auto"/>
                    <w:ind w:firstLine="420" w:firstLineChars="20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Q</w:t>
                  </w:r>
                  <w:r>
                    <w:rPr>
                      <w:rFonts w:hint="default" w:ascii="Times New Roman" w:hAnsi="Times New Roman" w:eastAsia="宋体" w:cs="Times New Roman"/>
                      <w:color w:val="auto"/>
                      <w:kern w:val="0"/>
                      <w:sz w:val="21"/>
                      <w:szCs w:val="21"/>
                      <w:u w:val="none" w:color="auto"/>
                      <w:vertAlign w:val="subscript"/>
                      <w:lang w:bidi="ar"/>
                    </w:rPr>
                    <w:t>消</w:t>
                  </w:r>
                  <w:r>
                    <w:rPr>
                      <w:rFonts w:hint="default" w:ascii="Times New Roman" w:hAnsi="Times New Roman" w:eastAsia="宋体" w:cs="Times New Roman"/>
                      <w:color w:val="auto"/>
                      <w:kern w:val="0"/>
                      <w:sz w:val="21"/>
                      <w:szCs w:val="21"/>
                      <w:u w:val="none" w:color="auto"/>
                      <w:lang w:bidi="ar"/>
                    </w:rPr>
                    <w:t>—发生事故时的储罐或装置同时使用的消防设施给水流量，m</w:t>
                  </w:r>
                  <w:r>
                    <w:rPr>
                      <w:rFonts w:hint="default" w:ascii="Times New Roman" w:hAnsi="Times New Roman" w:eastAsia="宋体" w:cs="Times New Roman"/>
                      <w:color w:val="auto"/>
                      <w:kern w:val="0"/>
                      <w:sz w:val="21"/>
                      <w:szCs w:val="21"/>
                      <w:u w:val="none" w:color="auto"/>
                      <w:vertAlign w:val="superscript"/>
                      <w:lang w:bidi="ar"/>
                    </w:rPr>
                    <w:t>3</w:t>
                  </w:r>
                  <w:r>
                    <w:rPr>
                      <w:rFonts w:hint="default" w:ascii="Times New Roman" w:hAnsi="Times New Roman" w:eastAsia="宋体" w:cs="Times New Roman"/>
                      <w:color w:val="auto"/>
                      <w:kern w:val="0"/>
                      <w:sz w:val="21"/>
                      <w:szCs w:val="21"/>
                      <w:u w:val="none" w:color="auto"/>
                      <w:lang w:bidi="ar"/>
                    </w:rPr>
                    <w:t xml:space="preserve"> /h；综合考虑灭火喷淋消防给水量，取10L/s； </w:t>
                  </w:r>
                </w:p>
                <w:p w14:paraId="7A6770BE">
                  <w:pPr>
                    <w:widowControl/>
                    <w:spacing w:line="360" w:lineRule="auto"/>
                    <w:ind w:firstLine="420" w:firstLineChars="20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t</w:t>
                  </w:r>
                  <w:r>
                    <w:rPr>
                      <w:rFonts w:hint="default" w:ascii="Times New Roman" w:hAnsi="Times New Roman" w:eastAsia="宋体" w:cs="Times New Roman"/>
                      <w:color w:val="auto"/>
                      <w:kern w:val="0"/>
                      <w:sz w:val="21"/>
                      <w:szCs w:val="21"/>
                      <w:u w:val="none" w:color="auto"/>
                      <w:vertAlign w:val="subscript"/>
                      <w:lang w:bidi="ar"/>
                    </w:rPr>
                    <w:t>消</w:t>
                  </w:r>
                  <w:r>
                    <w:rPr>
                      <w:rFonts w:hint="default" w:ascii="Times New Roman" w:hAnsi="Times New Roman" w:eastAsia="宋体" w:cs="Times New Roman"/>
                      <w:color w:val="auto"/>
                      <w:kern w:val="0"/>
                      <w:sz w:val="21"/>
                      <w:szCs w:val="21"/>
                      <w:u w:val="none" w:color="auto"/>
                      <w:lang w:bidi="ar"/>
                    </w:rPr>
                    <w:t>—消防设施对应的设计消防历时（h），取2.0h；</w:t>
                  </w:r>
                </w:p>
                <w:p w14:paraId="64731D66">
                  <w:pPr>
                    <w:adjustRightInd w:val="0"/>
                    <w:snapToGrid w:val="0"/>
                    <w:spacing w:line="360" w:lineRule="auto"/>
                    <w:ind w:firstLine="420" w:firstLineChars="20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经计算，消防用水量为72m</w:t>
                  </w:r>
                  <w:r>
                    <w:rPr>
                      <w:rFonts w:hint="default" w:ascii="Times New Roman" w:hAnsi="Times New Roman" w:eastAsia="宋体" w:cs="Times New Roman"/>
                      <w:color w:val="auto"/>
                      <w:kern w:val="0"/>
                      <w:sz w:val="21"/>
                      <w:szCs w:val="21"/>
                      <w:u w:val="none" w:color="auto"/>
                      <w:vertAlign w:val="superscript"/>
                      <w:lang w:bidi="ar"/>
                    </w:rPr>
                    <w:t>3</w:t>
                  </w:r>
                  <w:r>
                    <w:rPr>
                      <w:rFonts w:hint="default" w:ascii="Times New Roman" w:hAnsi="Times New Roman" w:eastAsia="宋体" w:cs="Times New Roman"/>
                      <w:color w:val="auto"/>
                      <w:kern w:val="0"/>
                      <w:sz w:val="21"/>
                      <w:szCs w:val="21"/>
                      <w:u w:val="none" w:color="auto"/>
                      <w:lang w:bidi="ar"/>
                    </w:rPr>
                    <w:t>。项目设计1座100m</w:t>
                  </w:r>
                  <w:r>
                    <w:rPr>
                      <w:rFonts w:hint="default" w:ascii="Times New Roman" w:hAnsi="Times New Roman" w:eastAsia="宋体" w:cs="Times New Roman"/>
                      <w:color w:val="auto"/>
                      <w:kern w:val="0"/>
                      <w:sz w:val="21"/>
                      <w:szCs w:val="21"/>
                      <w:u w:val="none" w:color="auto"/>
                      <w:vertAlign w:val="superscript"/>
                      <w:lang w:bidi="ar"/>
                    </w:rPr>
                    <w:t>3</w:t>
                  </w:r>
                  <w:r>
                    <w:rPr>
                      <w:rFonts w:hint="default" w:ascii="Times New Roman" w:hAnsi="Times New Roman" w:eastAsia="宋体" w:cs="Times New Roman"/>
                      <w:color w:val="auto"/>
                      <w:kern w:val="0"/>
                      <w:sz w:val="21"/>
                      <w:szCs w:val="21"/>
                      <w:u w:val="none" w:color="auto"/>
                      <w:lang w:bidi="ar"/>
                    </w:rPr>
                    <w:t>消防废水池，消防废水池建设应按照《危险废物贮存污染控制标准》（GB18597-2023）中的相关要求做好防渗措施；生产车间和污水站应设置收集槽，以保证事故发生时，废水能够收集到消防废水池内</w:t>
                  </w:r>
                  <w:r>
                    <w:rPr>
                      <w:rFonts w:hint="default" w:ascii="Times New Roman" w:hAnsi="Times New Roman" w:eastAsia="宋体" w:cs="Times New Roman"/>
                      <w:bCs/>
                      <w:color w:val="auto"/>
                      <w:sz w:val="21"/>
                      <w:szCs w:val="21"/>
                      <w:u w:val="none" w:color="auto"/>
                    </w:rPr>
                    <w:t>，若水质满足污水处理厂进水水质要求，将消防废水经市政污水管网排入市政污水管网；若水质不能满足污水处理厂进水水质要求，将消防废水外运委托有资质单位处理。</w:t>
                  </w:r>
                </w:p>
              </w:tc>
            </w:tr>
            <w:tr w14:paraId="0701B3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000" w:type="pct"/>
                  <w:gridSpan w:val="5"/>
                  <w:vAlign w:val="center"/>
                </w:tcPr>
                <w:p w14:paraId="4B60237B">
                  <w:pPr>
                    <w:jc w:val="center"/>
                    <w:rPr>
                      <w:rFonts w:hint="default" w:ascii="Times New Roman" w:hAnsi="Times New Roman" w:eastAsia="宋体" w:cs="Times New Roman"/>
                      <w:color w:val="auto"/>
                      <w:spacing w:val="14"/>
                      <w:sz w:val="21"/>
                      <w:szCs w:val="21"/>
                      <w:u w:val="none" w:color="auto"/>
                    </w:rPr>
                  </w:pPr>
                  <w:r>
                    <w:rPr>
                      <w:rFonts w:hint="default" w:ascii="Times New Roman" w:hAnsi="Times New Roman" w:eastAsia="宋体" w:cs="Times New Roman"/>
                      <w:color w:val="auto"/>
                      <w:spacing w:val="16"/>
                      <w:sz w:val="21"/>
                      <w:szCs w:val="21"/>
                      <w:u w:val="none" w:color="auto"/>
                    </w:rPr>
                    <w:t>填表</w:t>
                  </w:r>
                  <w:r>
                    <w:rPr>
                      <w:rFonts w:hint="default" w:ascii="Times New Roman" w:hAnsi="Times New Roman" w:eastAsia="宋体" w:cs="Times New Roman"/>
                      <w:color w:val="auto"/>
                      <w:spacing w:val="9"/>
                      <w:sz w:val="21"/>
                      <w:szCs w:val="21"/>
                      <w:u w:val="none" w:color="auto"/>
                    </w:rPr>
                    <w:t>说</w:t>
                  </w:r>
                  <w:r>
                    <w:rPr>
                      <w:rFonts w:hint="default" w:ascii="Times New Roman" w:hAnsi="Times New Roman" w:eastAsia="宋体" w:cs="Times New Roman"/>
                      <w:color w:val="auto"/>
                      <w:spacing w:val="8"/>
                      <w:sz w:val="21"/>
                      <w:szCs w:val="21"/>
                      <w:u w:val="none" w:color="auto"/>
                    </w:rPr>
                    <w:t>明 (列出项目相关信息及评价说明) ：项目风险物质储量较小，风险物质毒性小。</w:t>
                  </w:r>
                  <w:r>
                    <w:rPr>
                      <w:rFonts w:hint="default" w:ascii="Times New Roman" w:hAnsi="Times New Roman" w:eastAsia="宋体" w:cs="Times New Roman"/>
                      <w:color w:val="auto"/>
                      <w:sz w:val="21"/>
                      <w:szCs w:val="21"/>
                      <w:u w:val="none" w:color="auto"/>
                    </w:rPr>
                    <w:t xml:space="preserve"> </w:t>
                  </w:r>
                  <w:r>
                    <w:rPr>
                      <w:rFonts w:hint="default" w:ascii="Times New Roman" w:hAnsi="Times New Roman" w:eastAsia="宋体" w:cs="Times New Roman"/>
                      <w:color w:val="auto"/>
                      <w:spacing w:val="17"/>
                      <w:sz w:val="21"/>
                      <w:szCs w:val="21"/>
                      <w:u w:val="none" w:color="auto"/>
                    </w:rPr>
                    <w:t>经</w:t>
                  </w:r>
                  <w:r>
                    <w:rPr>
                      <w:rFonts w:hint="default" w:ascii="Times New Roman" w:hAnsi="Times New Roman" w:eastAsia="宋体" w:cs="Times New Roman"/>
                      <w:color w:val="auto"/>
                      <w:spacing w:val="9"/>
                      <w:sz w:val="21"/>
                      <w:szCs w:val="21"/>
                      <w:u w:val="none" w:color="auto"/>
                    </w:rPr>
                    <w:t>采取风险防范措施后，项目风险可以接受</w:t>
                  </w:r>
                </w:p>
              </w:tc>
            </w:tr>
          </w:tbl>
          <w:p w14:paraId="17C78A37">
            <w:pPr>
              <w:tabs>
                <w:tab w:val="left" w:pos="1081"/>
              </w:tabs>
              <w:adjustRightInd w:val="0"/>
              <w:snapToGrid w:val="0"/>
              <w:spacing w:line="360" w:lineRule="auto"/>
              <w:ind w:firstLine="482" w:firstLineChars="200"/>
              <w:rPr>
                <w:b/>
                <w:bCs/>
                <w:color w:val="auto"/>
                <w:sz w:val="24"/>
                <w:u w:val="none" w:color="auto"/>
              </w:rPr>
            </w:pPr>
            <w:r>
              <w:rPr>
                <w:b/>
                <w:bCs/>
                <w:color w:val="auto"/>
                <w:sz w:val="24"/>
                <w:u w:val="none" w:color="auto"/>
              </w:rPr>
              <w:t>8、环境管理和监测计划</w:t>
            </w:r>
          </w:p>
          <w:p w14:paraId="2F2A938C">
            <w:pPr>
              <w:tabs>
                <w:tab w:val="left" w:pos="1081"/>
              </w:tabs>
              <w:adjustRightInd w:val="0"/>
              <w:snapToGrid w:val="0"/>
              <w:spacing w:line="360" w:lineRule="auto"/>
              <w:ind w:firstLine="480" w:firstLineChars="200"/>
              <w:rPr>
                <w:bCs/>
                <w:color w:val="auto"/>
                <w:sz w:val="24"/>
                <w:u w:val="none" w:color="auto"/>
              </w:rPr>
            </w:pPr>
            <w:r>
              <w:rPr>
                <w:bCs/>
                <w:color w:val="auto"/>
                <w:sz w:val="24"/>
                <w:u w:val="none" w:color="auto"/>
              </w:rPr>
              <w:t>8.1环境管理</w:t>
            </w:r>
          </w:p>
          <w:p w14:paraId="60D52498">
            <w:pPr>
              <w:tabs>
                <w:tab w:val="left" w:pos="1081"/>
              </w:tabs>
              <w:adjustRightInd w:val="0"/>
              <w:snapToGrid w:val="0"/>
              <w:spacing w:line="360" w:lineRule="auto"/>
              <w:ind w:firstLine="480" w:firstLineChars="200"/>
              <w:rPr>
                <w:bCs/>
                <w:color w:val="auto"/>
                <w:sz w:val="24"/>
                <w:u w:val="none" w:color="auto"/>
              </w:rPr>
            </w:pPr>
            <w:r>
              <w:rPr>
                <w:bCs/>
                <w:color w:val="auto"/>
                <w:sz w:val="24"/>
                <w:u w:val="none" w:color="auto"/>
              </w:rPr>
              <w:t>环境管理是协调发展经济与保护环境之间关系的重要手段，也是实现经济战略发展的重要环节之一，对环境保护工作起主导作用。企业环境管理是“全过程污染控制”的重要措施，它不仅是我国有关法规的规定，也是清洁生产的要求。本次工程环境管理主要内容如下：</w:t>
            </w:r>
          </w:p>
          <w:p w14:paraId="399F99BF">
            <w:pPr>
              <w:tabs>
                <w:tab w:val="left" w:pos="1081"/>
              </w:tabs>
              <w:adjustRightInd w:val="0"/>
              <w:snapToGrid w:val="0"/>
              <w:spacing w:line="360" w:lineRule="auto"/>
              <w:ind w:firstLine="480" w:firstLineChars="200"/>
              <w:rPr>
                <w:bCs/>
                <w:color w:val="auto"/>
                <w:sz w:val="24"/>
                <w:u w:val="none" w:color="auto"/>
              </w:rPr>
            </w:pPr>
            <w:r>
              <w:rPr>
                <w:bCs/>
                <w:color w:val="auto"/>
                <w:sz w:val="24"/>
                <w:u w:val="none" w:color="auto"/>
              </w:rPr>
              <w:t>（1）企业应根据《建设项目环境保护设计规定》，建立健全企业内部环境保护管理机构，完善环境保护管理制度，落实污染防治主体责任；</w:t>
            </w:r>
          </w:p>
          <w:p w14:paraId="206984D9">
            <w:pPr>
              <w:tabs>
                <w:tab w:val="left" w:pos="1081"/>
              </w:tabs>
              <w:adjustRightInd w:val="0"/>
              <w:snapToGrid w:val="0"/>
              <w:spacing w:line="360" w:lineRule="auto"/>
              <w:ind w:firstLine="480" w:firstLineChars="200"/>
              <w:rPr>
                <w:bCs/>
                <w:color w:val="auto"/>
                <w:sz w:val="24"/>
                <w:u w:val="none" w:color="auto"/>
              </w:rPr>
            </w:pPr>
            <w:r>
              <w:rPr>
                <w:bCs/>
                <w:color w:val="auto"/>
                <w:sz w:val="24"/>
                <w:u w:val="none" w:color="auto"/>
              </w:rPr>
              <w:t>（2）落实本次工程施工期及营运期污染防治措施，确保污染防治资金到位；</w:t>
            </w:r>
          </w:p>
          <w:p w14:paraId="71E9B703">
            <w:pPr>
              <w:tabs>
                <w:tab w:val="left" w:pos="1081"/>
              </w:tabs>
              <w:adjustRightInd w:val="0"/>
              <w:snapToGrid w:val="0"/>
              <w:spacing w:line="360" w:lineRule="auto"/>
              <w:ind w:firstLine="480" w:firstLineChars="200"/>
              <w:rPr>
                <w:bCs/>
                <w:color w:val="auto"/>
                <w:sz w:val="24"/>
                <w:u w:val="none" w:color="auto"/>
              </w:rPr>
            </w:pPr>
            <w:r>
              <w:rPr>
                <w:bCs/>
                <w:color w:val="auto"/>
                <w:sz w:val="24"/>
                <w:u w:val="none" w:color="auto"/>
              </w:rPr>
              <w:t>（3）贯彻执行国家和地方各项环保方针、政策和法规，制定全厂环境保护制度，组织开展职工环保教育，提高职工的环保意识；完成政府部门下达的有关环保任务，配合当地生态环境部门的环境管理工作；</w:t>
            </w:r>
          </w:p>
          <w:p w14:paraId="7D4F74E4">
            <w:pPr>
              <w:tabs>
                <w:tab w:val="left" w:pos="1081"/>
              </w:tabs>
              <w:adjustRightInd w:val="0"/>
              <w:snapToGrid w:val="0"/>
              <w:spacing w:line="360" w:lineRule="auto"/>
              <w:ind w:firstLine="480" w:firstLineChars="200"/>
              <w:rPr>
                <w:bCs/>
                <w:color w:val="auto"/>
                <w:sz w:val="24"/>
                <w:u w:val="none" w:color="auto"/>
              </w:rPr>
            </w:pPr>
            <w:r>
              <w:rPr>
                <w:bCs/>
                <w:color w:val="auto"/>
                <w:sz w:val="24"/>
                <w:u w:val="none" w:color="auto"/>
              </w:rPr>
              <w:t>（4）不断完善企业环境保护管理制度，做好有关环保工作的资料收集、整理、记录、建档、宣传等工作；进行全厂的环保及环境监测数据的统计、分析，并建立相应的环保资料档案。</w:t>
            </w:r>
          </w:p>
          <w:p w14:paraId="5FDA23AD">
            <w:pPr>
              <w:tabs>
                <w:tab w:val="left" w:pos="1081"/>
              </w:tabs>
              <w:adjustRightInd w:val="0"/>
              <w:snapToGrid w:val="0"/>
              <w:spacing w:line="360" w:lineRule="auto"/>
              <w:ind w:firstLine="480" w:firstLineChars="200"/>
              <w:rPr>
                <w:bCs/>
                <w:color w:val="auto"/>
                <w:sz w:val="24"/>
                <w:u w:val="none" w:color="auto"/>
              </w:rPr>
            </w:pPr>
            <w:r>
              <w:rPr>
                <w:bCs/>
                <w:color w:val="auto"/>
                <w:sz w:val="24"/>
                <w:u w:val="none" w:color="auto"/>
              </w:rPr>
              <w:t>（5）制定并加强污染治理设施操作规范和操作规程学习，建立污染源监测制度，按规定定期对污染源进行监测，保证处理效果达到设计要求，污染物稳定达标排放。</w:t>
            </w:r>
          </w:p>
          <w:p w14:paraId="5944CB25">
            <w:pPr>
              <w:tabs>
                <w:tab w:val="left" w:pos="1081"/>
              </w:tabs>
              <w:adjustRightInd w:val="0"/>
              <w:snapToGrid w:val="0"/>
              <w:spacing w:line="360" w:lineRule="auto"/>
              <w:ind w:firstLine="480" w:firstLineChars="200"/>
              <w:rPr>
                <w:bCs/>
                <w:color w:val="auto"/>
                <w:sz w:val="24"/>
                <w:u w:val="none" w:color="auto"/>
              </w:rPr>
            </w:pPr>
            <w:r>
              <w:rPr>
                <w:bCs/>
                <w:color w:val="auto"/>
                <w:sz w:val="24"/>
                <w:u w:val="none" w:color="auto"/>
              </w:rPr>
              <w:t>（6）负责检查各污染治理设施运行情况，发现问题及时处理；并负责调查出现环境问题的缘由，协助有关部门解决问题，处理环境问题带来的纠纷等。</w:t>
            </w:r>
          </w:p>
          <w:p w14:paraId="0A379E51">
            <w:pPr>
              <w:tabs>
                <w:tab w:val="left" w:pos="1081"/>
              </w:tabs>
              <w:adjustRightInd w:val="0"/>
              <w:snapToGrid w:val="0"/>
              <w:spacing w:line="360" w:lineRule="auto"/>
              <w:ind w:firstLine="480" w:firstLineChars="200"/>
              <w:rPr>
                <w:bCs/>
                <w:color w:val="auto"/>
                <w:sz w:val="24"/>
                <w:u w:val="none" w:color="auto"/>
              </w:rPr>
            </w:pPr>
            <w:r>
              <w:rPr>
                <w:bCs/>
                <w:color w:val="auto"/>
                <w:sz w:val="24"/>
                <w:u w:val="none" w:color="auto"/>
              </w:rPr>
              <w:t>（7）按照《建设项目竣工环境保护验收暂行办法》（国环规环评[2017]4号）的规定，完成本次工程竣工环保自主验收工作。按照《固定污染源排污许可登记工作指南（试行）》（环办环评函[2020]9号）和《排污许可申请与核发技术规范 总则》（HJ942-2018）的规定，自觉执行排污许可制度。按照《企业事业单位环境信息公开办法》（环境保护部部令第31号）的规定，定期公开企业环境信息。</w:t>
            </w:r>
          </w:p>
          <w:p w14:paraId="121403E9">
            <w:pPr>
              <w:tabs>
                <w:tab w:val="left" w:pos="1081"/>
              </w:tabs>
              <w:adjustRightInd w:val="0"/>
              <w:snapToGrid w:val="0"/>
              <w:spacing w:line="360" w:lineRule="auto"/>
              <w:ind w:firstLine="480" w:firstLineChars="200"/>
              <w:rPr>
                <w:bCs/>
                <w:color w:val="auto"/>
                <w:sz w:val="24"/>
                <w:u w:val="none" w:color="auto"/>
              </w:rPr>
            </w:pPr>
            <w:r>
              <w:rPr>
                <w:bCs/>
                <w:color w:val="auto"/>
                <w:sz w:val="24"/>
                <w:u w:val="none" w:color="auto"/>
              </w:rPr>
              <w:t>8.2环境监测计划</w:t>
            </w:r>
          </w:p>
          <w:p w14:paraId="4EF4FCC3">
            <w:pPr>
              <w:tabs>
                <w:tab w:val="left" w:pos="1081"/>
              </w:tabs>
              <w:adjustRightInd w:val="0"/>
              <w:snapToGrid w:val="0"/>
              <w:spacing w:line="360" w:lineRule="auto"/>
              <w:ind w:firstLine="480" w:firstLineChars="200"/>
              <w:rPr>
                <w:bCs/>
                <w:color w:val="auto"/>
                <w:sz w:val="24"/>
                <w:u w:val="none" w:color="auto"/>
              </w:rPr>
            </w:pPr>
            <w:r>
              <w:rPr>
                <w:bCs/>
                <w:color w:val="auto"/>
                <w:sz w:val="24"/>
                <w:u w:val="none" w:color="auto"/>
              </w:rPr>
              <w:t>环境监测是环境管理的基础，并为企业制定污染防治对策和规划提供依据。根据本次工程污染物排放的实际情况和就近方便的原则，建议本项目环境监测工作委托有资质的环境监测机构完成。主要任务如下：</w:t>
            </w:r>
          </w:p>
          <w:p w14:paraId="4E30C361">
            <w:pPr>
              <w:tabs>
                <w:tab w:val="left" w:pos="1081"/>
              </w:tabs>
              <w:adjustRightInd w:val="0"/>
              <w:snapToGrid w:val="0"/>
              <w:spacing w:line="360" w:lineRule="auto"/>
              <w:ind w:firstLine="480" w:firstLineChars="200"/>
              <w:rPr>
                <w:bCs/>
                <w:color w:val="auto"/>
                <w:sz w:val="24"/>
                <w:u w:val="none" w:color="auto"/>
              </w:rPr>
            </w:pPr>
            <w:r>
              <w:rPr>
                <w:bCs/>
                <w:color w:val="auto"/>
                <w:sz w:val="24"/>
                <w:u w:val="none" w:color="auto"/>
              </w:rPr>
              <w:t>（1）定期监测建设项目排放的污染物是否符合国家所规定的排放标准；</w:t>
            </w:r>
          </w:p>
          <w:p w14:paraId="142EE58A">
            <w:pPr>
              <w:tabs>
                <w:tab w:val="left" w:pos="1081"/>
              </w:tabs>
              <w:adjustRightInd w:val="0"/>
              <w:snapToGrid w:val="0"/>
              <w:spacing w:line="360" w:lineRule="auto"/>
              <w:ind w:firstLine="480" w:firstLineChars="200"/>
              <w:rPr>
                <w:bCs/>
                <w:color w:val="auto"/>
                <w:sz w:val="24"/>
                <w:u w:val="none" w:color="auto"/>
              </w:rPr>
            </w:pPr>
            <w:r>
              <w:rPr>
                <w:bCs/>
                <w:color w:val="auto"/>
                <w:sz w:val="24"/>
                <w:u w:val="none" w:color="auto"/>
              </w:rPr>
              <w:t>（2）分析污染物排放变化规律，为制定污染控制措施提供依据；</w:t>
            </w:r>
          </w:p>
          <w:p w14:paraId="0E71A4D7">
            <w:pPr>
              <w:tabs>
                <w:tab w:val="left" w:pos="1081"/>
              </w:tabs>
              <w:adjustRightInd w:val="0"/>
              <w:snapToGrid w:val="0"/>
              <w:spacing w:line="360" w:lineRule="auto"/>
              <w:ind w:firstLine="480" w:firstLineChars="200"/>
              <w:rPr>
                <w:bCs/>
                <w:color w:val="auto"/>
                <w:sz w:val="24"/>
                <w:u w:val="none" w:color="auto"/>
              </w:rPr>
            </w:pPr>
            <w:r>
              <w:rPr>
                <w:bCs/>
                <w:color w:val="auto"/>
                <w:sz w:val="24"/>
                <w:u w:val="none" w:color="auto"/>
              </w:rPr>
              <w:t>（3）负责污染事故的监测及报告；</w:t>
            </w:r>
          </w:p>
          <w:p w14:paraId="6CC4D633">
            <w:pPr>
              <w:tabs>
                <w:tab w:val="left" w:pos="1081"/>
              </w:tabs>
              <w:adjustRightInd w:val="0"/>
              <w:snapToGrid w:val="0"/>
              <w:spacing w:line="360" w:lineRule="auto"/>
              <w:ind w:firstLine="480" w:firstLineChars="200"/>
              <w:rPr>
                <w:bCs/>
                <w:color w:val="auto"/>
                <w:sz w:val="24"/>
                <w:u w:val="none" w:color="auto"/>
              </w:rPr>
            </w:pPr>
            <w:r>
              <w:rPr>
                <w:bCs/>
                <w:color w:val="auto"/>
                <w:sz w:val="24"/>
                <w:u w:val="none" w:color="auto"/>
              </w:rPr>
              <w:t>（4）环境监测对象主要为污染源监测。</w:t>
            </w:r>
          </w:p>
          <w:p w14:paraId="1420D9BA">
            <w:pPr>
              <w:tabs>
                <w:tab w:val="left" w:pos="1081"/>
              </w:tabs>
              <w:adjustRightInd w:val="0"/>
              <w:snapToGrid w:val="0"/>
              <w:spacing w:line="360" w:lineRule="auto"/>
              <w:ind w:firstLine="480" w:firstLineChars="200"/>
              <w:rPr>
                <w:bCs/>
                <w:color w:val="auto"/>
                <w:sz w:val="24"/>
                <w:u w:val="none" w:color="auto"/>
              </w:rPr>
            </w:pPr>
            <w:r>
              <w:rPr>
                <w:bCs/>
                <w:color w:val="auto"/>
                <w:sz w:val="24"/>
                <w:u w:val="none" w:color="auto"/>
              </w:rPr>
              <w:t>根据</w:t>
            </w:r>
            <w:r>
              <w:rPr>
                <w:color w:val="auto"/>
                <w:sz w:val="24"/>
                <w:u w:val="none" w:color="auto"/>
              </w:rPr>
              <w:t xml:space="preserve">《排污单位自行监测技术指南 </w:t>
            </w:r>
            <w:r>
              <w:rPr>
                <w:rFonts w:hint="eastAsia"/>
                <w:color w:val="auto"/>
                <w:sz w:val="24"/>
                <w:u w:val="none" w:color="auto"/>
              </w:rPr>
              <w:t>总则</w:t>
            </w:r>
            <w:r>
              <w:rPr>
                <w:color w:val="auto"/>
                <w:sz w:val="24"/>
                <w:u w:val="none" w:color="auto"/>
              </w:rPr>
              <w:t xml:space="preserve">》 </w:t>
            </w:r>
            <w:r>
              <w:rPr>
                <w:rFonts w:hint="eastAsia"/>
                <w:color w:val="auto"/>
                <w:sz w:val="24"/>
                <w:u w:val="none" w:color="auto"/>
              </w:rPr>
              <w:t>（</w:t>
            </w:r>
            <w:r>
              <w:rPr>
                <w:color w:val="auto"/>
                <w:sz w:val="24"/>
                <w:u w:val="none" w:color="auto"/>
              </w:rPr>
              <w:t>HJ819-2017</w:t>
            </w:r>
            <w:r>
              <w:rPr>
                <w:rFonts w:hint="eastAsia"/>
                <w:color w:val="auto"/>
                <w:sz w:val="24"/>
                <w:u w:val="none" w:color="auto"/>
              </w:rPr>
              <w:t>）</w:t>
            </w:r>
            <w:r>
              <w:rPr>
                <w:bCs/>
                <w:color w:val="auto"/>
                <w:sz w:val="24"/>
                <w:u w:val="none" w:color="auto"/>
              </w:rPr>
              <w:t>、</w:t>
            </w:r>
            <w:r>
              <w:rPr>
                <w:rFonts w:hint="eastAsia"/>
                <w:bCs/>
                <w:color w:val="auto"/>
                <w:sz w:val="24"/>
                <w:u w:val="none" w:color="auto"/>
              </w:rPr>
              <w:t>《</w:t>
            </w:r>
            <w:r>
              <w:rPr>
                <w:color w:val="auto"/>
                <w:sz w:val="24"/>
                <w:u w:val="none" w:color="auto"/>
              </w:rPr>
              <w:t>排污许可证申请与核发技术规范 工业噪声</w:t>
            </w:r>
            <w:r>
              <w:rPr>
                <w:rFonts w:hint="eastAsia"/>
                <w:color w:val="auto"/>
                <w:sz w:val="24"/>
                <w:u w:val="none" w:color="auto"/>
              </w:rPr>
              <w:t>》</w:t>
            </w:r>
            <w:r>
              <w:rPr>
                <w:color w:val="auto"/>
                <w:sz w:val="24"/>
                <w:u w:val="none" w:color="auto"/>
              </w:rPr>
              <w:t>（HJ 1301-2023）</w:t>
            </w:r>
            <w:r>
              <w:rPr>
                <w:bCs/>
                <w:color w:val="auto"/>
                <w:sz w:val="24"/>
                <w:u w:val="none" w:color="auto"/>
              </w:rPr>
              <w:t>中相关要求，本项目营运期环境监测计划见下表。</w:t>
            </w:r>
          </w:p>
          <w:p w14:paraId="4392C2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4"/>
                <w:szCs w:val="24"/>
                <w:highlight w:val="none"/>
                <w:u w:val="none" w:color="auto"/>
                <w:lang w:val="en-GB" w:eastAsia="zh-TW" w:bidi="ar-SA"/>
              </w:rPr>
            </w:pPr>
            <w:r>
              <w:rPr>
                <w:rFonts w:hint="default" w:ascii="Times New Roman" w:hAnsi="Times New Roman" w:eastAsia="宋体" w:cs="Times New Roman"/>
                <w:b/>
                <w:bCs/>
                <w:color w:val="auto"/>
                <w:kern w:val="2"/>
                <w:sz w:val="24"/>
                <w:szCs w:val="24"/>
                <w:highlight w:val="none"/>
                <w:u w:val="none" w:color="auto"/>
                <w:lang w:val="en-US" w:eastAsia="zh-CN" w:bidi="ar-SA"/>
              </w:rPr>
              <w:t>表4-</w:t>
            </w:r>
            <w:r>
              <w:rPr>
                <w:rFonts w:hint="eastAsia" w:ascii="Times New Roman" w:hAnsi="Times New Roman" w:eastAsia="宋体" w:cs="Times New Roman"/>
                <w:b/>
                <w:bCs/>
                <w:color w:val="auto"/>
                <w:kern w:val="2"/>
                <w:sz w:val="24"/>
                <w:szCs w:val="24"/>
                <w:highlight w:val="none"/>
                <w:u w:val="none" w:color="auto"/>
                <w:lang w:val="en-US" w:eastAsia="zh-CN" w:bidi="ar-SA"/>
              </w:rPr>
              <w:t>26</w:t>
            </w:r>
            <w:r>
              <w:rPr>
                <w:rFonts w:hint="default" w:ascii="Times New Roman" w:hAnsi="Times New Roman" w:eastAsia="宋体" w:cs="Times New Roman"/>
                <w:b/>
                <w:bCs/>
                <w:color w:val="auto"/>
                <w:kern w:val="2"/>
                <w:sz w:val="24"/>
                <w:szCs w:val="24"/>
                <w:highlight w:val="none"/>
                <w:u w:val="none" w:color="auto"/>
                <w:lang w:val="en-US" w:eastAsia="zh-CN" w:bidi="ar-SA"/>
              </w:rPr>
              <w:t xml:space="preserve">  </w:t>
            </w:r>
            <w:r>
              <w:rPr>
                <w:rFonts w:hint="default" w:ascii="Times New Roman" w:hAnsi="Times New Roman" w:eastAsia="宋体" w:cs="Times New Roman"/>
                <w:b/>
                <w:bCs/>
                <w:color w:val="auto"/>
                <w:kern w:val="2"/>
                <w:sz w:val="24"/>
                <w:szCs w:val="24"/>
                <w:highlight w:val="none"/>
                <w:u w:val="none" w:color="auto"/>
                <w:lang w:val="en-GB" w:eastAsia="zh-TW" w:bidi="ar-SA"/>
              </w:rPr>
              <w:t>污染源监测计划表</w:t>
            </w:r>
          </w:p>
          <w:tbl>
            <w:tblPr>
              <w:tblStyle w:val="35"/>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78"/>
              <w:gridCol w:w="650"/>
              <w:gridCol w:w="1917"/>
              <w:gridCol w:w="1272"/>
              <w:gridCol w:w="1115"/>
              <w:gridCol w:w="3473"/>
            </w:tblGrid>
            <w:tr w14:paraId="3129C2C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29" w:type="pct"/>
                  <w:gridSpan w:val="2"/>
                  <w:tcBorders>
                    <w:right w:val="single" w:color="auto" w:sz="4" w:space="0"/>
                  </w:tcBorders>
                  <w:noWrap w:val="0"/>
                  <w:vAlign w:val="center"/>
                </w:tcPr>
                <w:p w14:paraId="73F1C3B4">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项目</w:t>
                  </w:r>
                </w:p>
              </w:tc>
              <w:tc>
                <w:tcPr>
                  <w:tcW w:w="1052" w:type="pct"/>
                  <w:tcBorders>
                    <w:left w:val="single" w:color="auto" w:sz="4" w:space="0"/>
                    <w:bottom w:val="single" w:color="auto" w:sz="4" w:space="0"/>
                  </w:tcBorders>
                  <w:noWrap w:val="0"/>
                  <w:vAlign w:val="center"/>
                </w:tcPr>
                <w:p w14:paraId="070D009A">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监测点位</w:t>
                  </w:r>
                </w:p>
              </w:tc>
              <w:tc>
                <w:tcPr>
                  <w:tcW w:w="698" w:type="pct"/>
                  <w:noWrap w:val="0"/>
                  <w:vAlign w:val="center"/>
                </w:tcPr>
                <w:p w14:paraId="4EB353EB">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监测因子</w:t>
                  </w:r>
                </w:p>
              </w:tc>
              <w:tc>
                <w:tcPr>
                  <w:tcW w:w="612" w:type="pct"/>
                  <w:noWrap w:val="0"/>
                  <w:vAlign w:val="center"/>
                </w:tcPr>
                <w:p w14:paraId="572B96E3">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监测频次</w:t>
                  </w:r>
                </w:p>
              </w:tc>
              <w:tc>
                <w:tcPr>
                  <w:tcW w:w="1906" w:type="pct"/>
                  <w:noWrap w:val="0"/>
                  <w:vAlign w:val="center"/>
                </w:tcPr>
                <w:p w14:paraId="14C92C55">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执行标准</w:t>
                  </w:r>
                </w:p>
              </w:tc>
            </w:tr>
            <w:tr w14:paraId="5459B0E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2" w:type="pct"/>
                  <w:vMerge w:val="restart"/>
                  <w:tcBorders>
                    <w:right w:val="single" w:color="auto" w:sz="4" w:space="0"/>
                  </w:tcBorders>
                  <w:noWrap w:val="0"/>
                  <w:vAlign w:val="center"/>
                </w:tcPr>
                <w:p w14:paraId="009CC13C">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废气</w:t>
                  </w:r>
                </w:p>
              </w:tc>
              <w:tc>
                <w:tcPr>
                  <w:tcW w:w="356" w:type="pct"/>
                  <w:vMerge w:val="restart"/>
                  <w:tcBorders>
                    <w:left w:val="single" w:color="auto" w:sz="4" w:space="0"/>
                    <w:right w:val="single" w:color="auto" w:sz="4" w:space="0"/>
                  </w:tcBorders>
                  <w:noWrap w:val="0"/>
                  <w:vAlign w:val="center"/>
                </w:tcPr>
                <w:p w14:paraId="1DBEC256">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有组织</w:t>
                  </w:r>
                </w:p>
              </w:tc>
              <w:tc>
                <w:tcPr>
                  <w:tcW w:w="1052" w:type="pct"/>
                  <w:tcBorders>
                    <w:top w:val="single" w:color="auto" w:sz="4" w:space="0"/>
                    <w:left w:val="single" w:color="auto" w:sz="4" w:space="0"/>
                  </w:tcBorders>
                  <w:noWrap w:val="0"/>
                  <w:vAlign w:val="center"/>
                </w:tcPr>
                <w:p w14:paraId="129102D7">
                  <w:pPr>
                    <w:pStyle w:val="149"/>
                    <w:keepNext w:val="0"/>
                    <w:keepLines w:val="0"/>
                    <w:pageBreakBefore w:val="0"/>
                    <w:widowControl w:val="0"/>
                    <w:kinsoku/>
                    <w:wordWrap/>
                    <w:overflowPunct/>
                    <w:topLinePunct w:val="0"/>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DA001</w:t>
                  </w:r>
                </w:p>
              </w:tc>
              <w:tc>
                <w:tcPr>
                  <w:tcW w:w="698" w:type="pct"/>
                  <w:noWrap w:val="0"/>
                  <w:vAlign w:val="center"/>
                </w:tcPr>
                <w:p w14:paraId="331D1146">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氯化氢、硫酸雾等</w:t>
                  </w:r>
                </w:p>
              </w:tc>
              <w:tc>
                <w:tcPr>
                  <w:tcW w:w="612" w:type="pct"/>
                  <w:noWrap w:val="0"/>
                  <w:vAlign w:val="center"/>
                </w:tcPr>
                <w:p w14:paraId="0E30D6EA">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b/>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1次/年</w:t>
                  </w:r>
                </w:p>
              </w:tc>
              <w:tc>
                <w:tcPr>
                  <w:tcW w:w="1906" w:type="pct"/>
                  <w:noWrap w:val="0"/>
                  <w:vAlign w:val="center"/>
                </w:tcPr>
                <w:p w14:paraId="1AE21CCD">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sz w:val="21"/>
                      <w:szCs w:val="21"/>
                      <w:highlight w:val="none"/>
                      <w:u w:val="none" w:color="auto"/>
                    </w:rPr>
                    <w:t>《大气污染物综合排放标准》（GB16297-1996）表2中二级标准</w:t>
                  </w:r>
                </w:p>
              </w:tc>
            </w:tr>
            <w:tr w14:paraId="643D664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2" w:type="pct"/>
                  <w:vMerge w:val="continue"/>
                  <w:tcBorders>
                    <w:right w:val="single" w:color="auto" w:sz="4" w:space="0"/>
                  </w:tcBorders>
                  <w:noWrap w:val="0"/>
                  <w:vAlign w:val="center"/>
                </w:tcPr>
                <w:p w14:paraId="628E9035">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sz w:val="21"/>
                      <w:szCs w:val="21"/>
                      <w:highlight w:val="none"/>
                      <w:u w:val="none" w:color="auto"/>
                    </w:rPr>
                  </w:pPr>
                </w:p>
              </w:tc>
              <w:tc>
                <w:tcPr>
                  <w:tcW w:w="356" w:type="pct"/>
                  <w:vMerge w:val="continue"/>
                  <w:tcBorders>
                    <w:left w:val="single" w:color="auto" w:sz="4" w:space="0"/>
                    <w:right w:val="single" w:color="auto" w:sz="4" w:space="0"/>
                  </w:tcBorders>
                  <w:noWrap w:val="0"/>
                  <w:vAlign w:val="center"/>
                </w:tcPr>
                <w:p w14:paraId="2A0803F7">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sz w:val="21"/>
                      <w:szCs w:val="21"/>
                      <w:highlight w:val="none"/>
                      <w:u w:val="none" w:color="auto"/>
                    </w:rPr>
                  </w:pPr>
                </w:p>
              </w:tc>
              <w:tc>
                <w:tcPr>
                  <w:tcW w:w="1052" w:type="pct"/>
                  <w:tcBorders>
                    <w:left w:val="single" w:color="auto" w:sz="4" w:space="0"/>
                  </w:tcBorders>
                  <w:noWrap w:val="0"/>
                  <w:vAlign w:val="center"/>
                </w:tcPr>
                <w:p w14:paraId="538FD262">
                  <w:pPr>
                    <w:pStyle w:val="149"/>
                    <w:keepNext w:val="0"/>
                    <w:keepLines w:val="0"/>
                    <w:pageBreakBefore w:val="0"/>
                    <w:widowControl w:val="0"/>
                    <w:kinsoku/>
                    <w:wordWrap/>
                    <w:overflowPunct/>
                    <w:topLinePunct w:val="0"/>
                    <w:bidi w:val="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DA002</w:t>
                  </w:r>
                </w:p>
              </w:tc>
              <w:tc>
                <w:tcPr>
                  <w:tcW w:w="698" w:type="pct"/>
                  <w:noWrap w:val="0"/>
                  <w:vAlign w:val="center"/>
                </w:tcPr>
                <w:p w14:paraId="5E5B7224">
                  <w:pPr>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油烟、非甲烷总烃</w:t>
                  </w:r>
                </w:p>
              </w:tc>
              <w:tc>
                <w:tcPr>
                  <w:tcW w:w="612" w:type="pct"/>
                  <w:noWrap w:val="0"/>
                  <w:vAlign w:val="center"/>
                </w:tcPr>
                <w:p w14:paraId="69553B6D">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1次/年</w:t>
                  </w:r>
                </w:p>
              </w:tc>
              <w:tc>
                <w:tcPr>
                  <w:tcW w:w="1906" w:type="pct"/>
                  <w:noWrap w:val="0"/>
                  <w:vAlign w:val="center"/>
                </w:tcPr>
                <w:p w14:paraId="2E6BBAA6">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《餐饮业油烟污染物排放标准》（DB41/1604-2018）表1，</w:t>
                  </w:r>
                  <w:r>
                    <w:rPr>
                      <w:rFonts w:hint="default" w:ascii="Times New Roman" w:hAnsi="Times New Roman" w:eastAsia="宋体" w:cs="Times New Roman"/>
                      <w:color w:val="auto"/>
                      <w:sz w:val="21"/>
                      <w:szCs w:val="21"/>
                      <w:highlight w:val="none"/>
                      <w:u w:val="none" w:color="auto"/>
                      <w:lang w:val="en-US" w:eastAsia="zh-CN"/>
                    </w:rPr>
                    <w:t>大</w:t>
                  </w:r>
                  <w:r>
                    <w:rPr>
                      <w:rFonts w:hint="default" w:ascii="Times New Roman" w:hAnsi="Times New Roman" w:eastAsia="宋体" w:cs="Times New Roman"/>
                      <w:color w:val="auto"/>
                      <w:sz w:val="21"/>
                      <w:szCs w:val="21"/>
                      <w:highlight w:val="none"/>
                      <w:u w:val="none" w:color="auto"/>
                    </w:rPr>
                    <w:t>型标准</w:t>
                  </w:r>
                </w:p>
              </w:tc>
            </w:tr>
            <w:tr w14:paraId="77444C6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2" w:type="pct"/>
                  <w:vMerge w:val="continue"/>
                  <w:tcBorders>
                    <w:right w:val="single" w:color="auto" w:sz="4" w:space="0"/>
                  </w:tcBorders>
                  <w:noWrap w:val="0"/>
                  <w:vAlign w:val="center"/>
                </w:tcPr>
                <w:p w14:paraId="4B03711D">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sz w:val="21"/>
                      <w:szCs w:val="21"/>
                      <w:highlight w:val="none"/>
                      <w:u w:val="none" w:color="auto"/>
                    </w:rPr>
                  </w:pPr>
                </w:p>
              </w:tc>
              <w:tc>
                <w:tcPr>
                  <w:tcW w:w="356" w:type="pct"/>
                  <w:vMerge w:val="restart"/>
                  <w:tcBorders>
                    <w:top w:val="single" w:color="auto" w:sz="4" w:space="0"/>
                    <w:left w:val="single" w:color="auto" w:sz="4" w:space="0"/>
                  </w:tcBorders>
                  <w:noWrap w:val="0"/>
                  <w:vAlign w:val="center"/>
                </w:tcPr>
                <w:p w14:paraId="72E125B3">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无组织</w:t>
                  </w:r>
                </w:p>
              </w:tc>
              <w:tc>
                <w:tcPr>
                  <w:tcW w:w="1052" w:type="pct"/>
                  <w:vMerge w:val="restart"/>
                  <w:noWrap w:val="0"/>
                  <w:vAlign w:val="center"/>
                </w:tcPr>
                <w:p w14:paraId="71729E71">
                  <w:pPr>
                    <w:keepNext w:val="0"/>
                    <w:keepLines w:val="0"/>
                    <w:pageBreakBefore w:val="0"/>
                    <w:widowControl w:val="0"/>
                    <w:kinsoku/>
                    <w:wordWrap/>
                    <w:overflowPunct/>
                    <w:topLinePunct w:val="0"/>
                    <w:bidi w:val="0"/>
                    <w:jc w:val="center"/>
                    <w:textAlignment w:val="auto"/>
                    <w:rPr>
                      <w:rFonts w:hint="eastAsia"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校界</w:t>
                  </w:r>
                </w:p>
              </w:tc>
              <w:tc>
                <w:tcPr>
                  <w:tcW w:w="698" w:type="pct"/>
                  <w:noWrap w:val="0"/>
                  <w:vAlign w:val="center"/>
                </w:tcPr>
                <w:p w14:paraId="4D76AE4F">
                  <w:pPr>
                    <w:pStyle w:val="149"/>
                    <w:keepNext w:val="0"/>
                    <w:keepLines w:val="0"/>
                    <w:pageBreakBefore w:val="0"/>
                    <w:widowControl w:val="0"/>
                    <w:kinsoku/>
                    <w:wordWrap/>
                    <w:overflowPunct/>
                    <w:topLinePunct w:val="0"/>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氯化氢、硫酸雾等</w:t>
                  </w:r>
                </w:p>
              </w:tc>
              <w:tc>
                <w:tcPr>
                  <w:tcW w:w="612" w:type="pct"/>
                  <w:noWrap w:val="0"/>
                  <w:vAlign w:val="center"/>
                </w:tcPr>
                <w:p w14:paraId="1863E370">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bCs/>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1次/年</w:t>
                  </w:r>
                </w:p>
              </w:tc>
              <w:tc>
                <w:tcPr>
                  <w:tcW w:w="1906" w:type="pct"/>
                  <w:vMerge w:val="restart"/>
                  <w:tcBorders>
                    <w:top w:val="single" w:color="auto" w:sz="4" w:space="0"/>
                  </w:tcBorders>
                  <w:noWrap w:val="0"/>
                  <w:vAlign w:val="center"/>
                </w:tcPr>
                <w:p w14:paraId="6BC9CA0B">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kern w:val="21"/>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《大气污染物综合排放标准》（GB16297-1996）表2</w:t>
                  </w:r>
                  <w:r>
                    <w:rPr>
                      <w:rFonts w:hint="eastAsia" w:cs="Times New Roman"/>
                      <w:color w:val="auto"/>
                      <w:sz w:val="21"/>
                      <w:szCs w:val="21"/>
                      <w:highlight w:val="none"/>
                      <w:u w:val="none" w:color="auto"/>
                      <w:lang w:val="en-US" w:eastAsia="zh-CN"/>
                    </w:rPr>
                    <w:t>无组织限值要求</w:t>
                  </w:r>
                </w:p>
              </w:tc>
            </w:tr>
            <w:tr w14:paraId="47EACDF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2" w:type="pct"/>
                  <w:vMerge w:val="continue"/>
                  <w:tcBorders>
                    <w:right w:val="single" w:color="auto" w:sz="4" w:space="0"/>
                  </w:tcBorders>
                  <w:noWrap w:val="0"/>
                  <w:vAlign w:val="center"/>
                </w:tcPr>
                <w:p w14:paraId="6E10216B">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sz w:val="21"/>
                      <w:szCs w:val="21"/>
                      <w:highlight w:val="none"/>
                      <w:u w:val="none" w:color="auto"/>
                    </w:rPr>
                  </w:pPr>
                </w:p>
              </w:tc>
              <w:tc>
                <w:tcPr>
                  <w:tcW w:w="356" w:type="pct"/>
                  <w:vMerge w:val="continue"/>
                  <w:tcBorders>
                    <w:left w:val="single" w:color="auto" w:sz="4" w:space="0"/>
                  </w:tcBorders>
                  <w:noWrap w:val="0"/>
                  <w:vAlign w:val="center"/>
                </w:tcPr>
                <w:p w14:paraId="11004C1E">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sz w:val="21"/>
                      <w:szCs w:val="21"/>
                      <w:highlight w:val="none"/>
                      <w:u w:val="none" w:color="auto"/>
                    </w:rPr>
                  </w:pPr>
                </w:p>
              </w:tc>
              <w:tc>
                <w:tcPr>
                  <w:tcW w:w="1052" w:type="pct"/>
                  <w:vMerge w:val="continue"/>
                  <w:noWrap w:val="0"/>
                  <w:vAlign w:val="center"/>
                </w:tcPr>
                <w:p w14:paraId="06582B9F">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sz w:val="21"/>
                      <w:szCs w:val="21"/>
                      <w:highlight w:val="none"/>
                      <w:u w:val="none" w:color="auto"/>
                    </w:rPr>
                  </w:pPr>
                </w:p>
              </w:tc>
              <w:tc>
                <w:tcPr>
                  <w:tcW w:w="698" w:type="pct"/>
                  <w:noWrap w:val="0"/>
                  <w:vAlign w:val="center"/>
                </w:tcPr>
                <w:p w14:paraId="21A0471C">
                  <w:pPr>
                    <w:pStyle w:val="149"/>
                    <w:keepNext w:val="0"/>
                    <w:keepLines w:val="0"/>
                    <w:pageBreakBefore w:val="0"/>
                    <w:widowControl w:val="0"/>
                    <w:kinsoku/>
                    <w:wordWrap/>
                    <w:overflowPunct/>
                    <w:topLinePunct w:val="0"/>
                    <w:bidi w:val="0"/>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油烟</w:t>
                  </w:r>
                </w:p>
              </w:tc>
              <w:tc>
                <w:tcPr>
                  <w:tcW w:w="612" w:type="pct"/>
                  <w:noWrap w:val="0"/>
                  <w:vAlign w:val="center"/>
                </w:tcPr>
                <w:p w14:paraId="425F2B9B">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1次/年</w:t>
                  </w:r>
                </w:p>
              </w:tc>
              <w:tc>
                <w:tcPr>
                  <w:tcW w:w="1906" w:type="pct"/>
                  <w:vMerge w:val="continue"/>
                  <w:noWrap w:val="0"/>
                  <w:vAlign w:val="center"/>
                </w:tcPr>
                <w:p w14:paraId="5DB217A0">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sz w:val="21"/>
                      <w:szCs w:val="21"/>
                      <w:highlight w:val="none"/>
                      <w:u w:val="none" w:color="auto"/>
                    </w:rPr>
                  </w:pPr>
                </w:p>
              </w:tc>
            </w:tr>
            <w:tr w14:paraId="6FEEAFA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2" w:type="pct"/>
                  <w:vMerge w:val="continue"/>
                  <w:tcBorders>
                    <w:right w:val="single" w:color="auto" w:sz="4" w:space="0"/>
                  </w:tcBorders>
                  <w:noWrap w:val="0"/>
                  <w:vAlign w:val="center"/>
                </w:tcPr>
                <w:p w14:paraId="517F0B57">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sz w:val="21"/>
                      <w:szCs w:val="21"/>
                      <w:highlight w:val="none"/>
                      <w:u w:val="none" w:color="auto"/>
                    </w:rPr>
                  </w:pPr>
                </w:p>
              </w:tc>
              <w:tc>
                <w:tcPr>
                  <w:tcW w:w="356" w:type="pct"/>
                  <w:vMerge w:val="continue"/>
                  <w:tcBorders>
                    <w:left w:val="single" w:color="auto" w:sz="4" w:space="0"/>
                  </w:tcBorders>
                  <w:noWrap w:val="0"/>
                  <w:vAlign w:val="center"/>
                </w:tcPr>
                <w:p w14:paraId="4E58791F">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sz w:val="21"/>
                      <w:szCs w:val="21"/>
                      <w:highlight w:val="none"/>
                      <w:u w:val="none" w:color="auto"/>
                    </w:rPr>
                  </w:pPr>
                </w:p>
              </w:tc>
              <w:tc>
                <w:tcPr>
                  <w:tcW w:w="1052" w:type="pct"/>
                  <w:vMerge w:val="continue"/>
                  <w:noWrap w:val="0"/>
                  <w:vAlign w:val="center"/>
                </w:tcPr>
                <w:p w14:paraId="6CCD5A9F">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sz w:val="21"/>
                      <w:szCs w:val="21"/>
                      <w:highlight w:val="none"/>
                      <w:u w:val="none" w:color="auto"/>
                    </w:rPr>
                  </w:pPr>
                </w:p>
              </w:tc>
              <w:tc>
                <w:tcPr>
                  <w:tcW w:w="698" w:type="pct"/>
                  <w:noWrap w:val="0"/>
                  <w:vAlign w:val="center"/>
                </w:tcPr>
                <w:p w14:paraId="7E588361">
                  <w:pPr>
                    <w:pStyle w:val="149"/>
                    <w:keepNext w:val="0"/>
                    <w:keepLines w:val="0"/>
                    <w:pageBreakBefore w:val="0"/>
                    <w:widowControl w:val="0"/>
                    <w:kinsoku/>
                    <w:wordWrap/>
                    <w:overflowPunct/>
                    <w:topLinePunct w:val="0"/>
                    <w:bidi w:val="0"/>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非甲烷总烃</w:t>
                  </w:r>
                </w:p>
              </w:tc>
              <w:tc>
                <w:tcPr>
                  <w:tcW w:w="612" w:type="pct"/>
                  <w:noWrap w:val="0"/>
                  <w:vAlign w:val="center"/>
                </w:tcPr>
                <w:p w14:paraId="0CBBDB71">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1次/年</w:t>
                  </w:r>
                </w:p>
              </w:tc>
              <w:tc>
                <w:tcPr>
                  <w:tcW w:w="1906" w:type="pct"/>
                  <w:vMerge w:val="continue"/>
                  <w:tcBorders>
                    <w:bottom w:val="single" w:color="auto" w:sz="4" w:space="0"/>
                  </w:tcBorders>
                  <w:noWrap w:val="0"/>
                  <w:vAlign w:val="center"/>
                </w:tcPr>
                <w:p w14:paraId="60F17A28">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kern w:val="0"/>
                      <w:sz w:val="21"/>
                      <w:szCs w:val="21"/>
                      <w:highlight w:val="none"/>
                      <w:u w:val="none" w:color="auto"/>
                    </w:rPr>
                  </w:pPr>
                </w:p>
              </w:tc>
            </w:tr>
            <w:tr w14:paraId="723EE3F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29" w:type="pct"/>
                  <w:gridSpan w:val="2"/>
                  <w:noWrap w:val="0"/>
                  <w:vAlign w:val="center"/>
                </w:tcPr>
                <w:p w14:paraId="4D6B07E7">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lang w:val="en-US" w:eastAsia="zh-CN"/>
                    </w:rPr>
                    <w:t>废水</w:t>
                  </w:r>
                </w:p>
              </w:tc>
              <w:tc>
                <w:tcPr>
                  <w:tcW w:w="1052" w:type="pct"/>
                  <w:noWrap w:val="0"/>
                  <w:vAlign w:val="center"/>
                </w:tcPr>
                <w:p w14:paraId="27BF90FB">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DW001</w:t>
                  </w:r>
                </w:p>
              </w:tc>
              <w:tc>
                <w:tcPr>
                  <w:tcW w:w="698" w:type="pct"/>
                  <w:noWrap w:val="0"/>
                  <w:vAlign w:val="center"/>
                </w:tcPr>
                <w:p w14:paraId="20A540BC">
                  <w:pPr>
                    <w:pStyle w:val="19"/>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sz w:val="21"/>
                      <w:szCs w:val="21"/>
                      <w:u w:val="none" w:color="auto"/>
                    </w:rPr>
                    <w:t>pH、COD、BOD</w:t>
                  </w:r>
                  <w:r>
                    <w:rPr>
                      <w:rFonts w:hint="default" w:ascii="Times New Roman" w:hAnsi="Times New Roman" w:eastAsia="宋体" w:cs="Times New Roman"/>
                      <w:color w:val="auto"/>
                      <w:sz w:val="21"/>
                      <w:szCs w:val="21"/>
                      <w:u w:val="none" w:color="auto"/>
                      <w:vertAlign w:val="subscript"/>
                    </w:rPr>
                    <w:t>5</w:t>
                  </w:r>
                  <w:r>
                    <w:rPr>
                      <w:rFonts w:hint="default" w:ascii="Times New Roman" w:hAnsi="Times New Roman" w:eastAsia="宋体" w:cs="Times New Roman"/>
                      <w:color w:val="auto"/>
                      <w:sz w:val="21"/>
                      <w:szCs w:val="21"/>
                      <w:u w:val="none" w:color="auto"/>
                    </w:rPr>
                    <w:t>、SS、NH</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rPr>
                    <w:t>-N</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动植物油</w:t>
                  </w:r>
                </w:p>
              </w:tc>
              <w:tc>
                <w:tcPr>
                  <w:tcW w:w="612" w:type="pct"/>
                  <w:noWrap w:val="0"/>
                  <w:vAlign w:val="center"/>
                </w:tcPr>
                <w:p w14:paraId="66BADEC4">
                  <w:pPr>
                    <w:keepNext w:val="0"/>
                    <w:keepLines w:val="0"/>
                    <w:pageBreakBefore w:val="0"/>
                    <w:widowControl w:val="0"/>
                    <w:kinsoku/>
                    <w:wordWrap/>
                    <w:overflowPunct/>
                    <w:topLinePunct w:val="0"/>
                    <w:autoSpaceDE w:val="0"/>
                    <w:autoSpaceDN w:val="0"/>
                    <w:bidi w:val="0"/>
                    <w:adjustRightInd w:val="0"/>
                    <w:jc w:val="center"/>
                    <w:textAlignment w:val="auto"/>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sz w:val="21"/>
                      <w:szCs w:val="21"/>
                      <w:u w:val="none" w:color="auto"/>
                    </w:rPr>
                    <w:t>1次/年</w:t>
                  </w:r>
                </w:p>
              </w:tc>
              <w:tc>
                <w:tcPr>
                  <w:tcW w:w="1906" w:type="pct"/>
                  <w:tcBorders>
                    <w:top w:val="single" w:color="auto" w:sz="4" w:space="0"/>
                    <w:bottom w:val="single" w:color="auto" w:sz="4" w:space="0"/>
                  </w:tcBorders>
                  <w:noWrap w:val="0"/>
                  <w:vAlign w:val="center"/>
                </w:tcPr>
                <w:p w14:paraId="52E6F66B">
                  <w:pPr>
                    <w:pStyle w:val="19"/>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u w:val="none" w:color="auto"/>
                    </w:rPr>
                    <w:t>《污水综合排放标准》（GB8978-1996）表4三级标准及</w:t>
                  </w:r>
                  <w:r>
                    <w:rPr>
                      <w:rFonts w:hint="default" w:ascii="Times New Roman" w:hAnsi="Times New Roman" w:eastAsia="宋体" w:cs="Times New Roman"/>
                      <w:color w:val="auto"/>
                      <w:sz w:val="21"/>
                      <w:szCs w:val="21"/>
                      <w:u w:val="none" w:color="auto"/>
                      <w:lang w:val="en-US" w:eastAsia="zh-CN"/>
                    </w:rPr>
                    <w:t>镇平县污水处理中心</w:t>
                  </w:r>
                  <w:r>
                    <w:rPr>
                      <w:rFonts w:hint="default" w:ascii="Times New Roman" w:hAnsi="Times New Roman" w:eastAsia="宋体" w:cs="Times New Roman"/>
                      <w:color w:val="auto"/>
                      <w:sz w:val="21"/>
                      <w:szCs w:val="21"/>
                      <w:u w:val="none" w:color="auto"/>
                    </w:rPr>
                    <w:t>进水水质指标</w:t>
                  </w:r>
                </w:p>
              </w:tc>
            </w:tr>
            <w:tr w14:paraId="1A675C8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29" w:type="pct"/>
                  <w:gridSpan w:val="2"/>
                  <w:noWrap w:val="0"/>
                  <w:vAlign w:val="center"/>
                </w:tcPr>
                <w:p w14:paraId="2C17F362">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default" w:ascii="Times New Roman" w:hAnsi="Times New Roman" w:eastAsia="宋体" w:cs="Times New Roman"/>
                      <w:color w:val="auto"/>
                      <w:kern w:val="0"/>
                      <w:sz w:val="21"/>
                      <w:szCs w:val="21"/>
                      <w:highlight w:val="none"/>
                      <w:u w:val="none" w:color="auto"/>
                      <w:lang w:val="en-US" w:eastAsia="zh-CN"/>
                    </w:rPr>
                    <w:t>噪声</w:t>
                  </w:r>
                </w:p>
              </w:tc>
              <w:tc>
                <w:tcPr>
                  <w:tcW w:w="1052" w:type="pct"/>
                  <w:noWrap w:val="0"/>
                  <w:vAlign w:val="center"/>
                </w:tcPr>
                <w:p w14:paraId="31C552CB">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项目</w:t>
                  </w:r>
                  <w:r>
                    <w:rPr>
                      <w:rFonts w:hint="default" w:ascii="Times New Roman" w:hAnsi="Times New Roman" w:eastAsia="宋体" w:cs="Times New Roman"/>
                      <w:color w:val="auto"/>
                      <w:kern w:val="0"/>
                      <w:sz w:val="21"/>
                      <w:szCs w:val="21"/>
                      <w:highlight w:val="none"/>
                      <w:u w:val="none" w:color="auto"/>
                      <w:lang w:val="en-US" w:eastAsia="zh-CN"/>
                    </w:rPr>
                    <w:t>东、南、西、北四</w:t>
                  </w:r>
                  <w:r>
                    <w:rPr>
                      <w:rFonts w:hint="eastAsia" w:cs="Times New Roman"/>
                      <w:color w:val="auto"/>
                      <w:kern w:val="0"/>
                      <w:sz w:val="21"/>
                      <w:szCs w:val="21"/>
                      <w:highlight w:val="none"/>
                      <w:u w:val="none" w:color="auto"/>
                      <w:lang w:val="en-US" w:eastAsia="zh-CN"/>
                    </w:rPr>
                    <w:t>校界</w:t>
                  </w:r>
                </w:p>
              </w:tc>
              <w:tc>
                <w:tcPr>
                  <w:tcW w:w="698" w:type="pct"/>
                  <w:noWrap w:val="0"/>
                  <w:vAlign w:val="center"/>
                </w:tcPr>
                <w:p w14:paraId="592342D5">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lang w:val="en-US" w:eastAsia="zh-CN"/>
                    </w:rPr>
                    <w:t>等效连续A声级</w:t>
                  </w:r>
                </w:p>
              </w:tc>
              <w:tc>
                <w:tcPr>
                  <w:tcW w:w="612" w:type="pct"/>
                  <w:noWrap w:val="0"/>
                  <w:vAlign w:val="center"/>
                </w:tcPr>
                <w:p w14:paraId="277E4566">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bCs/>
                      <w:color w:val="auto"/>
                      <w:sz w:val="21"/>
                      <w:szCs w:val="21"/>
                      <w:u w:val="none" w:color="auto"/>
                    </w:rPr>
                    <w:t>1次/</w:t>
                  </w:r>
                  <w:r>
                    <w:rPr>
                      <w:rFonts w:hint="default" w:ascii="Times New Roman" w:hAnsi="Times New Roman" w:eastAsia="宋体" w:cs="Times New Roman"/>
                      <w:bCs/>
                      <w:color w:val="auto"/>
                      <w:sz w:val="21"/>
                      <w:szCs w:val="21"/>
                      <w:u w:val="none" w:color="auto"/>
                      <w:lang w:val="en-US" w:eastAsia="zh-CN"/>
                    </w:rPr>
                    <w:t>季度</w:t>
                  </w:r>
                </w:p>
              </w:tc>
              <w:tc>
                <w:tcPr>
                  <w:tcW w:w="1906" w:type="pct"/>
                  <w:tcBorders>
                    <w:top w:val="single" w:color="auto" w:sz="4" w:space="0"/>
                    <w:bottom w:val="single" w:color="auto" w:sz="4" w:space="0"/>
                  </w:tcBorders>
                  <w:noWrap w:val="0"/>
                  <w:vAlign w:val="center"/>
                </w:tcPr>
                <w:p w14:paraId="34995A2A">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u w:val="none" w:color="auto"/>
                    </w:rPr>
                    <w:t>《工业企业厂界环境噪声排放标准》（GB12348-2008）2类标准</w:t>
                  </w:r>
                </w:p>
              </w:tc>
            </w:tr>
          </w:tbl>
          <w:p w14:paraId="0185704A">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b/>
                <w:color w:val="auto"/>
                <w:kern w:val="0"/>
                <w:sz w:val="24"/>
                <w:u w:val="none" w:color="auto"/>
              </w:rPr>
            </w:pPr>
            <w:r>
              <w:rPr>
                <w:rFonts w:hint="eastAsia"/>
                <w:b/>
                <w:color w:val="auto"/>
                <w:kern w:val="0"/>
                <w:sz w:val="24"/>
                <w:u w:val="none" w:color="auto"/>
              </w:rPr>
              <w:t>9</w:t>
            </w:r>
            <w:r>
              <w:rPr>
                <w:b/>
                <w:color w:val="auto"/>
                <w:kern w:val="0"/>
                <w:sz w:val="24"/>
                <w:u w:val="none" w:color="auto"/>
              </w:rPr>
              <w:t>、排污口规范化</w:t>
            </w:r>
          </w:p>
          <w:p w14:paraId="1B501E47">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项目设置</w:t>
            </w:r>
            <w:r>
              <w:rPr>
                <w:rFonts w:hint="eastAsia"/>
                <w:color w:val="auto"/>
                <w:sz w:val="24"/>
                <w:u w:val="none" w:color="auto"/>
                <w:lang w:val="en-US" w:eastAsia="zh-CN"/>
              </w:rPr>
              <w:t>2</w:t>
            </w:r>
            <w:r>
              <w:rPr>
                <w:color w:val="auto"/>
                <w:sz w:val="24"/>
                <w:u w:val="none" w:color="auto"/>
              </w:rPr>
              <w:t>个废气排放口（DA001-DA00</w:t>
            </w:r>
            <w:r>
              <w:rPr>
                <w:rFonts w:hint="eastAsia"/>
                <w:color w:val="auto"/>
                <w:sz w:val="24"/>
                <w:u w:val="none" w:color="auto"/>
                <w:lang w:val="en-US" w:eastAsia="zh-CN"/>
              </w:rPr>
              <w:t>2</w:t>
            </w:r>
            <w:r>
              <w:rPr>
                <w:color w:val="auto"/>
                <w:sz w:val="24"/>
                <w:u w:val="none" w:color="auto"/>
              </w:rPr>
              <w:t>）。</w:t>
            </w:r>
          </w:p>
          <w:p w14:paraId="5D5F3EE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根据《排污口规范化整治技术要求》（环监[1996]470号）提出如下建议：</w:t>
            </w:r>
          </w:p>
          <w:p w14:paraId="42C4173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①排污口规范化整治应遵循便于采集样品，便于计量监测，便于日常现场监督检查的原则；</w:t>
            </w:r>
          </w:p>
          <w:p w14:paraId="58C265E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②排气筒应设置便于采样、监测的采样口。采样口的设置应符合《污染源监测技术规范》要求；</w:t>
            </w:r>
          </w:p>
          <w:p w14:paraId="48FF3C6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③采样口位置无法满足“规范”要求的，其监测位置由当地环境监测部门确认；</w:t>
            </w:r>
          </w:p>
          <w:p w14:paraId="00BE15E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④污染物排放口必须实行规范化整治，按照国家标准《环境保护图形标志 排放口（源）》（GB15562.1-1995）、《环境保护图形标志 固体废物贮存（处置）场》（GB15562.2-1995）及2023年修改单等标准规定，设置与之相适应的环境保护图形标志牌；</w:t>
            </w:r>
          </w:p>
          <w:p w14:paraId="3BFCF56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⑤排放口必须使用由国家统一定点制作和监制的环境保护图形标志牌；</w:t>
            </w:r>
          </w:p>
          <w:p w14:paraId="7F612A0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⑥环境保护图形标志牌设置位置应距污染物排放口（源）及采样点较近且醒目处，并能长久保留，设置高度一般为：环境保护图形标志牌上缘距离地面2m；</w:t>
            </w:r>
          </w:p>
          <w:p w14:paraId="7EEBDB0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⑦环境保护图形标志牌的辅助标志上，需要填写的栏目，要求字迹工整，字的颜色，与标志牌颜色要总体协调。</w:t>
            </w:r>
          </w:p>
          <w:p w14:paraId="0BB67E8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u w:val="none" w:color="auto"/>
              </w:rPr>
            </w:pPr>
            <w:r>
              <w:rPr>
                <w:color w:val="auto"/>
                <w:sz w:val="24"/>
                <w:u w:val="none" w:color="auto"/>
              </w:rPr>
              <w:t>项目环境保护图形符号见下表。</w:t>
            </w:r>
          </w:p>
          <w:p w14:paraId="333EE52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4"/>
                <w:szCs w:val="24"/>
                <w:highlight w:val="none"/>
                <w:u w:val="none" w:color="auto"/>
                <w:lang w:val="en-GB" w:eastAsia="zh-TW" w:bidi="ar-SA"/>
              </w:rPr>
            </w:pPr>
            <w:r>
              <w:rPr>
                <w:rFonts w:hint="default" w:ascii="Times New Roman" w:hAnsi="Times New Roman" w:eastAsia="宋体" w:cs="Times New Roman"/>
                <w:b/>
                <w:bCs/>
                <w:color w:val="auto"/>
                <w:kern w:val="2"/>
                <w:sz w:val="24"/>
                <w:szCs w:val="24"/>
                <w:highlight w:val="none"/>
                <w:u w:val="none" w:color="auto"/>
                <w:lang w:val="en-US" w:eastAsia="zh-CN" w:bidi="ar-SA"/>
              </w:rPr>
              <w:t>表4-</w:t>
            </w:r>
            <w:r>
              <w:rPr>
                <w:rFonts w:hint="eastAsia" w:ascii="Times New Roman" w:hAnsi="Times New Roman" w:eastAsia="宋体" w:cs="Times New Roman"/>
                <w:b/>
                <w:bCs/>
                <w:color w:val="auto"/>
                <w:kern w:val="2"/>
                <w:sz w:val="24"/>
                <w:szCs w:val="24"/>
                <w:highlight w:val="none"/>
                <w:u w:val="none" w:color="auto"/>
                <w:lang w:val="en-US" w:eastAsia="zh-CN" w:bidi="ar-SA"/>
              </w:rPr>
              <w:t>27</w:t>
            </w:r>
            <w:r>
              <w:rPr>
                <w:rFonts w:hint="default" w:ascii="Times New Roman" w:hAnsi="Times New Roman" w:eastAsia="宋体" w:cs="Times New Roman"/>
                <w:b/>
                <w:bCs/>
                <w:color w:val="auto"/>
                <w:kern w:val="2"/>
                <w:sz w:val="24"/>
                <w:szCs w:val="24"/>
                <w:highlight w:val="none"/>
                <w:u w:val="none" w:color="auto"/>
                <w:lang w:val="en-US" w:eastAsia="zh-CN" w:bidi="ar-SA"/>
              </w:rPr>
              <w:t xml:space="preserve">  </w:t>
            </w:r>
            <w:r>
              <w:rPr>
                <w:rFonts w:hint="default" w:ascii="Times New Roman" w:hAnsi="Times New Roman" w:eastAsia="宋体" w:cs="Times New Roman"/>
                <w:b/>
                <w:bCs/>
                <w:color w:val="auto"/>
                <w:kern w:val="2"/>
                <w:sz w:val="24"/>
                <w:szCs w:val="24"/>
                <w:highlight w:val="none"/>
                <w:u w:val="none" w:color="auto"/>
                <w:lang w:val="en-GB" w:eastAsia="zh-TW" w:bidi="ar-SA"/>
              </w:rPr>
              <w:t>各排污口环境保护图形标志</w:t>
            </w:r>
          </w:p>
          <w:tbl>
            <w:tblPr>
              <w:tblStyle w:val="3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42"/>
              <w:gridCol w:w="2579"/>
              <w:gridCol w:w="3189"/>
            </w:tblGrid>
            <w:tr w14:paraId="6E1D7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4" w:type="pct"/>
                  <w:vAlign w:val="center"/>
                </w:tcPr>
                <w:p w14:paraId="1FE74BE1">
                  <w:pPr>
                    <w:snapToGrid w:val="0"/>
                    <w:jc w:val="center"/>
                    <w:rPr>
                      <w:color w:val="auto"/>
                      <w:szCs w:val="21"/>
                      <w:u w:val="none" w:color="auto"/>
                    </w:rPr>
                  </w:pPr>
                  <w:r>
                    <w:rPr>
                      <w:color w:val="auto"/>
                      <w:szCs w:val="21"/>
                      <w:u w:val="none" w:color="auto"/>
                    </w:rPr>
                    <w:t>排放口名称</w:t>
                  </w:r>
                </w:p>
              </w:tc>
              <w:tc>
                <w:tcPr>
                  <w:tcW w:w="1415" w:type="pct"/>
                  <w:vAlign w:val="center"/>
                </w:tcPr>
                <w:p w14:paraId="7466FB96">
                  <w:pPr>
                    <w:snapToGrid w:val="0"/>
                    <w:jc w:val="center"/>
                    <w:rPr>
                      <w:color w:val="auto"/>
                      <w:szCs w:val="21"/>
                      <w:u w:val="none" w:color="auto"/>
                    </w:rPr>
                  </w:pPr>
                  <w:r>
                    <w:rPr>
                      <w:color w:val="auto"/>
                      <w:szCs w:val="21"/>
                      <w:u w:val="none" w:color="auto"/>
                    </w:rPr>
                    <w:t>编号</w:t>
                  </w:r>
                </w:p>
              </w:tc>
              <w:tc>
                <w:tcPr>
                  <w:tcW w:w="1750" w:type="pct"/>
                  <w:vAlign w:val="center"/>
                </w:tcPr>
                <w:p w14:paraId="63D58C35">
                  <w:pPr>
                    <w:snapToGrid w:val="0"/>
                    <w:jc w:val="center"/>
                    <w:rPr>
                      <w:color w:val="auto"/>
                      <w:szCs w:val="21"/>
                      <w:u w:val="none" w:color="auto"/>
                    </w:rPr>
                  </w:pPr>
                  <w:r>
                    <w:rPr>
                      <w:color w:val="auto"/>
                      <w:szCs w:val="21"/>
                      <w:u w:val="none" w:color="auto"/>
                    </w:rPr>
                    <w:t>图形标志</w:t>
                  </w:r>
                </w:p>
              </w:tc>
            </w:tr>
            <w:tr w14:paraId="13C36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84" w:type="dxa"/>
                  <w:vAlign w:val="center"/>
                </w:tcPr>
                <w:p w14:paraId="14496BCF">
                  <w:pPr>
                    <w:snapToGrid w:val="0"/>
                    <w:jc w:val="center"/>
                    <w:rPr>
                      <w:color w:val="auto"/>
                      <w:szCs w:val="21"/>
                      <w:u w:val="none" w:color="auto"/>
                    </w:rPr>
                  </w:pPr>
                  <w:r>
                    <w:rPr>
                      <w:color w:val="auto"/>
                      <w:szCs w:val="21"/>
                      <w:u w:val="none" w:color="auto"/>
                    </w:rPr>
                    <w:t>污水排放口</w:t>
                  </w:r>
                </w:p>
              </w:tc>
              <w:tc>
                <w:tcPr>
                  <w:tcW w:w="2208" w:type="dxa"/>
                  <w:vAlign w:val="center"/>
                </w:tcPr>
                <w:p w14:paraId="725D0647">
                  <w:pPr>
                    <w:snapToGrid w:val="0"/>
                    <w:jc w:val="center"/>
                    <w:rPr>
                      <w:color w:val="auto"/>
                      <w:szCs w:val="21"/>
                      <w:u w:val="none" w:color="auto"/>
                    </w:rPr>
                  </w:pPr>
                  <w:r>
                    <w:rPr>
                      <w:color w:val="auto"/>
                      <w:szCs w:val="21"/>
                      <w:u w:val="none" w:color="auto"/>
                    </w:rPr>
                    <w:t>DW001</w:t>
                  </w:r>
                </w:p>
              </w:tc>
              <w:tc>
                <w:tcPr>
                  <w:tcW w:w="1750" w:type="pct"/>
                  <w:vAlign w:val="center"/>
                </w:tcPr>
                <w:p w14:paraId="531C46DB">
                  <w:pPr>
                    <w:snapToGrid w:val="0"/>
                    <w:jc w:val="both"/>
                    <w:rPr>
                      <w:color w:val="auto"/>
                      <w:szCs w:val="21"/>
                      <w:u w:val="none" w:color="auto"/>
                    </w:rPr>
                  </w:pPr>
                  <w:r>
                    <w:rPr>
                      <w:color w:val="auto"/>
                      <w:szCs w:val="21"/>
                      <w:u w:val="none" w:color="auto"/>
                    </w:rPr>
                    <w:drawing>
                      <wp:inline distT="0" distB="0" distL="114300" distR="114300">
                        <wp:extent cx="1735455" cy="830580"/>
                        <wp:effectExtent l="0" t="0" r="17145" b="7620"/>
                        <wp:docPr id="7" name="图片 841" descr="24c8bdfa113f596bc2ae5ca059e6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41" descr="24c8bdfa113f596bc2ae5ca059e6629"/>
                                <pic:cNvPicPr>
                                  <a:picLocks noChangeAspect="1"/>
                                </pic:cNvPicPr>
                              </pic:nvPicPr>
                              <pic:blipFill>
                                <a:blip r:embed="rId18"/>
                                <a:stretch>
                                  <a:fillRect/>
                                </a:stretch>
                              </pic:blipFill>
                              <pic:spPr>
                                <a:xfrm>
                                  <a:off x="0" y="0"/>
                                  <a:ext cx="1735455" cy="830580"/>
                                </a:xfrm>
                                <a:prstGeom prst="rect">
                                  <a:avLst/>
                                </a:prstGeom>
                                <a:noFill/>
                                <a:ln>
                                  <a:noFill/>
                                </a:ln>
                              </pic:spPr>
                            </pic:pic>
                          </a:graphicData>
                        </a:graphic>
                      </wp:inline>
                    </w:drawing>
                  </w:r>
                </w:p>
              </w:tc>
            </w:tr>
            <w:tr w14:paraId="39E0E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4" w:type="pct"/>
                  <w:vAlign w:val="center"/>
                </w:tcPr>
                <w:p w14:paraId="35D3C35F">
                  <w:pPr>
                    <w:snapToGrid w:val="0"/>
                    <w:jc w:val="center"/>
                    <w:rPr>
                      <w:color w:val="auto"/>
                      <w:szCs w:val="21"/>
                      <w:u w:val="none" w:color="auto"/>
                    </w:rPr>
                  </w:pPr>
                  <w:r>
                    <w:rPr>
                      <w:color w:val="auto"/>
                      <w:szCs w:val="21"/>
                      <w:u w:val="none" w:color="auto"/>
                    </w:rPr>
                    <w:t>雨水排放口</w:t>
                  </w:r>
                </w:p>
              </w:tc>
              <w:tc>
                <w:tcPr>
                  <w:tcW w:w="1415" w:type="pct"/>
                  <w:vAlign w:val="center"/>
                </w:tcPr>
                <w:p w14:paraId="5AB181C7">
                  <w:pPr>
                    <w:snapToGrid w:val="0"/>
                    <w:jc w:val="center"/>
                    <w:rPr>
                      <w:rFonts w:hint="eastAsia" w:eastAsia="宋体"/>
                      <w:color w:val="auto"/>
                      <w:szCs w:val="21"/>
                      <w:u w:val="none" w:color="auto"/>
                      <w:lang w:eastAsia="zh-CN"/>
                    </w:rPr>
                  </w:pPr>
                  <w:r>
                    <w:rPr>
                      <w:color w:val="auto"/>
                      <w:szCs w:val="21"/>
                      <w:u w:val="none" w:color="auto"/>
                    </w:rPr>
                    <w:t>DW00</w:t>
                  </w:r>
                  <w:r>
                    <w:rPr>
                      <w:rFonts w:hint="eastAsia"/>
                      <w:color w:val="auto"/>
                      <w:szCs w:val="21"/>
                      <w:u w:val="none" w:color="auto"/>
                      <w:lang w:val="en-US" w:eastAsia="zh-CN"/>
                    </w:rPr>
                    <w:t>2</w:t>
                  </w:r>
                </w:p>
              </w:tc>
              <w:tc>
                <w:tcPr>
                  <w:tcW w:w="1750" w:type="pct"/>
                  <w:vAlign w:val="center"/>
                </w:tcPr>
                <w:p w14:paraId="245D0448">
                  <w:pPr>
                    <w:snapToGrid w:val="0"/>
                    <w:jc w:val="center"/>
                    <w:rPr>
                      <w:color w:val="auto"/>
                      <w:szCs w:val="21"/>
                      <w:u w:val="none" w:color="auto"/>
                    </w:rPr>
                  </w:pPr>
                  <w:r>
                    <w:rPr>
                      <w:color w:val="auto"/>
                      <w:szCs w:val="21"/>
                      <w:u w:val="none" w:color="auto"/>
                    </w:rPr>
                    <w:drawing>
                      <wp:inline distT="0" distB="0" distL="114300" distR="114300">
                        <wp:extent cx="1735455" cy="1036955"/>
                        <wp:effectExtent l="0" t="0" r="17145" b="1079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9"/>
                                <a:stretch>
                                  <a:fillRect/>
                                </a:stretch>
                              </pic:blipFill>
                              <pic:spPr>
                                <a:xfrm>
                                  <a:off x="0" y="0"/>
                                  <a:ext cx="1735455" cy="1036955"/>
                                </a:xfrm>
                                <a:prstGeom prst="rect">
                                  <a:avLst/>
                                </a:prstGeom>
                                <a:noFill/>
                                <a:ln>
                                  <a:noFill/>
                                </a:ln>
                              </pic:spPr>
                            </pic:pic>
                          </a:graphicData>
                        </a:graphic>
                      </wp:inline>
                    </w:drawing>
                  </w:r>
                </w:p>
              </w:tc>
            </w:tr>
            <w:tr w14:paraId="0F285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4" w:type="pct"/>
                  <w:vAlign w:val="center"/>
                </w:tcPr>
                <w:p w14:paraId="09C78EE1">
                  <w:pPr>
                    <w:snapToGrid w:val="0"/>
                    <w:jc w:val="center"/>
                    <w:rPr>
                      <w:color w:val="auto"/>
                      <w:szCs w:val="21"/>
                      <w:u w:val="none" w:color="auto"/>
                    </w:rPr>
                  </w:pPr>
                  <w:r>
                    <w:rPr>
                      <w:color w:val="auto"/>
                      <w:szCs w:val="21"/>
                      <w:u w:val="none" w:color="auto"/>
                    </w:rPr>
                    <w:t>排气筒</w:t>
                  </w:r>
                </w:p>
              </w:tc>
              <w:tc>
                <w:tcPr>
                  <w:tcW w:w="1415" w:type="pct"/>
                  <w:vAlign w:val="center"/>
                </w:tcPr>
                <w:p w14:paraId="03421001">
                  <w:pPr>
                    <w:snapToGrid w:val="0"/>
                    <w:jc w:val="center"/>
                    <w:rPr>
                      <w:rFonts w:hint="eastAsia" w:eastAsia="宋体"/>
                      <w:color w:val="auto"/>
                      <w:szCs w:val="21"/>
                      <w:u w:val="none" w:color="auto"/>
                      <w:lang w:eastAsia="zh-CN"/>
                    </w:rPr>
                  </w:pPr>
                  <w:r>
                    <w:rPr>
                      <w:color w:val="auto"/>
                      <w:szCs w:val="21"/>
                      <w:u w:val="none" w:color="auto"/>
                    </w:rPr>
                    <w:t>DA001</w:t>
                  </w:r>
                  <w:r>
                    <w:rPr>
                      <w:rFonts w:hint="eastAsia"/>
                      <w:color w:val="auto"/>
                      <w:szCs w:val="21"/>
                      <w:u w:val="none" w:color="auto"/>
                    </w:rPr>
                    <w:t>-DA00</w:t>
                  </w:r>
                  <w:r>
                    <w:rPr>
                      <w:rFonts w:hint="eastAsia"/>
                      <w:color w:val="auto"/>
                      <w:szCs w:val="21"/>
                      <w:u w:val="none" w:color="auto"/>
                      <w:lang w:val="en-US" w:eastAsia="zh-CN"/>
                    </w:rPr>
                    <w:t>2</w:t>
                  </w:r>
                </w:p>
              </w:tc>
              <w:tc>
                <w:tcPr>
                  <w:tcW w:w="1750" w:type="pct"/>
                  <w:vAlign w:val="center"/>
                </w:tcPr>
                <w:p w14:paraId="224386C1">
                  <w:pPr>
                    <w:snapToGrid w:val="0"/>
                    <w:jc w:val="center"/>
                    <w:rPr>
                      <w:color w:val="auto"/>
                      <w:szCs w:val="21"/>
                      <w:u w:val="none" w:color="auto"/>
                    </w:rPr>
                  </w:pPr>
                  <w:r>
                    <w:rPr>
                      <w:color w:val="auto"/>
                      <w:szCs w:val="21"/>
                      <w:u w:val="none" w:color="auto"/>
                    </w:rPr>
                    <w:drawing>
                      <wp:inline distT="0" distB="0" distL="114300" distR="114300">
                        <wp:extent cx="1735455" cy="1088390"/>
                        <wp:effectExtent l="0" t="0" r="17145" b="1651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0"/>
                                <a:stretch>
                                  <a:fillRect/>
                                </a:stretch>
                              </pic:blipFill>
                              <pic:spPr>
                                <a:xfrm>
                                  <a:off x="0" y="0"/>
                                  <a:ext cx="1735455" cy="1088390"/>
                                </a:xfrm>
                                <a:prstGeom prst="rect">
                                  <a:avLst/>
                                </a:prstGeom>
                                <a:noFill/>
                                <a:ln>
                                  <a:noFill/>
                                </a:ln>
                              </pic:spPr>
                            </pic:pic>
                          </a:graphicData>
                        </a:graphic>
                      </wp:inline>
                    </w:drawing>
                  </w:r>
                </w:p>
              </w:tc>
            </w:tr>
            <w:tr w14:paraId="04BBF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4" w:type="pct"/>
                  <w:vAlign w:val="center"/>
                </w:tcPr>
                <w:p w14:paraId="16CE7CC0">
                  <w:pPr>
                    <w:snapToGrid w:val="0"/>
                    <w:jc w:val="center"/>
                    <w:rPr>
                      <w:color w:val="auto"/>
                      <w:szCs w:val="21"/>
                      <w:u w:val="none" w:color="auto"/>
                    </w:rPr>
                  </w:pPr>
                  <w:r>
                    <w:rPr>
                      <w:color w:val="auto"/>
                      <w:szCs w:val="21"/>
                      <w:u w:val="none" w:color="auto"/>
                    </w:rPr>
                    <w:t>噪声源</w:t>
                  </w:r>
                </w:p>
              </w:tc>
              <w:tc>
                <w:tcPr>
                  <w:tcW w:w="1415" w:type="pct"/>
                  <w:vAlign w:val="center"/>
                </w:tcPr>
                <w:p w14:paraId="70CD5029">
                  <w:pPr>
                    <w:snapToGrid w:val="0"/>
                    <w:jc w:val="center"/>
                    <w:rPr>
                      <w:color w:val="auto"/>
                      <w:szCs w:val="21"/>
                      <w:u w:val="none" w:color="auto"/>
                    </w:rPr>
                  </w:pPr>
                  <w:r>
                    <w:rPr>
                      <w:color w:val="auto"/>
                      <w:szCs w:val="21"/>
                      <w:u w:val="none" w:color="auto"/>
                    </w:rPr>
                    <w:t>ZS001</w:t>
                  </w:r>
                </w:p>
              </w:tc>
              <w:tc>
                <w:tcPr>
                  <w:tcW w:w="1750" w:type="pct"/>
                  <w:vAlign w:val="center"/>
                </w:tcPr>
                <w:p w14:paraId="1221B929">
                  <w:pPr>
                    <w:snapToGrid w:val="0"/>
                    <w:jc w:val="center"/>
                    <w:rPr>
                      <w:color w:val="auto"/>
                      <w:szCs w:val="21"/>
                      <w:u w:val="none" w:color="auto"/>
                    </w:rPr>
                  </w:pPr>
                  <w:r>
                    <w:rPr>
                      <w:color w:val="auto"/>
                      <w:szCs w:val="21"/>
                      <w:u w:val="none" w:color="auto"/>
                    </w:rPr>
                    <w:drawing>
                      <wp:inline distT="0" distB="0" distL="114300" distR="114300">
                        <wp:extent cx="1734820" cy="1122045"/>
                        <wp:effectExtent l="0" t="0" r="17780" b="1905"/>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pic:cNvPicPr>
                              </pic:nvPicPr>
                              <pic:blipFill>
                                <a:blip r:embed="rId21"/>
                                <a:stretch>
                                  <a:fillRect/>
                                </a:stretch>
                              </pic:blipFill>
                              <pic:spPr>
                                <a:xfrm>
                                  <a:off x="0" y="0"/>
                                  <a:ext cx="1734820" cy="1122045"/>
                                </a:xfrm>
                                <a:prstGeom prst="rect">
                                  <a:avLst/>
                                </a:prstGeom>
                                <a:noFill/>
                                <a:ln>
                                  <a:noFill/>
                                </a:ln>
                              </pic:spPr>
                            </pic:pic>
                          </a:graphicData>
                        </a:graphic>
                      </wp:inline>
                    </w:drawing>
                  </w:r>
                </w:p>
              </w:tc>
            </w:tr>
            <w:tr w14:paraId="3ECEA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4" w:type="pct"/>
                  <w:vAlign w:val="center"/>
                </w:tcPr>
                <w:p w14:paraId="315D0065">
                  <w:pPr>
                    <w:snapToGrid w:val="0"/>
                    <w:jc w:val="center"/>
                    <w:rPr>
                      <w:color w:val="auto"/>
                      <w:szCs w:val="21"/>
                      <w:u w:val="none" w:color="auto"/>
                    </w:rPr>
                  </w:pPr>
                  <w:r>
                    <w:rPr>
                      <w:color w:val="auto"/>
                      <w:szCs w:val="21"/>
                      <w:u w:val="none" w:color="auto"/>
                    </w:rPr>
                    <w:t>固废堆放场所</w:t>
                  </w:r>
                </w:p>
              </w:tc>
              <w:tc>
                <w:tcPr>
                  <w:tcW w:w="1415" w:type="pct"/>
                  <w:vAlign w:val="center"/>
                </w:tcPr>
                <w:p w14:paraId="466E7510">
                  <w:pPr>
                    <w:snapToGrid w:val="0"/>
                    <w:jc w:val="center"/>
                    <w:rPr>
                      <w:color w:val="auto"/>
                      <w:szCs w:val="21"/>
                      <w:u w:val="none" w:color="auto"/>
                    </w:rPr>
                  </w:pPr>
                  <w:r>
                    <w:rPr>
                      <w:color w:val="auto"/>
                      <w:szCs w:val="21"/>
                      <w:u w:val="none" w:color="auto"/>
                    </w:rPr>
                    <w:t>TS001</w:t>
                  </w:r>
                </w:p>
              </w:tc>
              <w:tc>
                <w:tcPr>
                  <w:tcW w:w="1750" w:type="pct"/>
                  <w:vAlign w:val="center"/>
                </w:tcPr>
                <w:p w14:paraId="60C50057">
                  <w:pPr>
                    <w:snapToGrid w:val="0"/>
                    <w:jc w:val="center"/>
                    <w:rPr>
                      <w:color w:val="auto"/>
                      <w:szCs w:val="21"/>
                      <w:u w:val="none" w:color="auto"/>
                    </w:rPr>
                  </w:pPr>
                  <w:r>
                    <w:rPr>
                      <w:color w:val="auto"/>
                      <w:szCs w:val="21"/>
                      <w:u w:val="none" w:color="auto"/>
                    </w:rPr>
                    <w:drawing>
                      <wp:inline distT="0" distB="0" distL="114300" distR="114300">
                        <wp:extent cx="1735455" cy="1129665"/>
                        <wp:effectExtent l="0" t="0" r="17145" b="1333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2"/>
                                <a:stretch>
                                  <a:fillRect/>
                                </a:stretch>
                              </pic:blipFill>
                              <pic:spPr>
                                <a:xfrm>
                                  <a:off x="0" y="0"/>
                                  <a:ext cx="1735455" cy="1129665"/>
                                </a:xfrm>
                                <a:prstGeom prst="rect">
                                  <a:avLst/>
                                </a:prstGeom>
                                <a:noFill/>
                                <a:ln>
                                  <a:noFill/>
                                </a:ln>
                              </pic:spPr>
                            </pic:pic>
                          </a:graphicData>
                        </a:graphic>
                      </wp:inline>
                    </w:drawing>
                  </w:r>
                </w:p>
              </w:tc>
            </w:tr>
            <w:tr w14:paraId="62D1C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34" w:type="pct"/>
                  <w:vAlign w:val="center"/>
                </w:tcPr>
                <w:p w14:paraId="79B0FCE1">
                  <w:pPr>
                    <w:snapToGrid w:val="0"/>
                    <w:jc w:val="center"/>
                    <w:rPr>
                      <w:color w:val="auto"/>
                      <w:szCs w:val="21"/>
                      <w:u w:val="none" w:color="auto"/>
                    </w:rPr>
                  </w:pPr>
                  <w:r>
                    <w:rPr>
                      <w:color w:val="auto"/>
                      <w:szCs w:val="21"/>
                      <w:u w:val="none" w:color="auto"/>
                    </w:rPr>
                    <w:t>危废暂存间</w:t>
                  </w:r>
                </w:p>
              </w:tc>
              <w:tc>
                <w:tcPr>
                  <w:tcW w:w="1415" w:type="pct"/>
                  <w:vAlign w:val="center"/>
                </w:tcPr>
                <w:p w14:paraId="6CFEDD10">
                  <w:pPr>
                    <w:snapToGrid w:val="0"/>
                    <w:jc w:val="center"/>
                    <w:rPr>
                      <w:color w:val="auto"/>
                      <w:szCs w:val="21"/>
                      <w:u w:val="none" w:color="auto"/>
                    </w:rPr>
                  </w:pPr>
                  <w:r>
                    <w:rPr>
                      <w:color w:val="auto"/>
                      <w:szCs w:val="21"/>
                      <w:u w:val="none" w:color="auto"/>
                    </w:rPr>
                    <w:t>TS002</w:t>
                  </w:r>
                </w:p>
              </w:tc>
              <w:tc>
                <w:tcPr>
                  <w:tcW w:w="1750" w:type="pct"/>
                  <w:vAlign w:val="center"/>
                </w:tcPr>
                <w:p w14:paraId="0B328AC3">
                  <w:pPr>
                    <w:snapToGrid w:val="0"/>
                    <w:jc w:val="center"/>
                    <w:rPr>
                      <w:color w:val="auto"/>
                      <w:szCs w:val="21"/>
                      <w:u w:val="none" w:color="auto"/>
                    </w:rPr>
                  </w:pPr>
                  <w:r>
                    <w:rPr>
                      <w:color w:val="auto"/>
                      <w:szCs w:val="21"/>
                      <w:u w:val="none" w:color="auto"/>
                    </w:rPr>
                    <w:drawing>
                      <wp:inline distT="0" distB="0" distL="114300" distR="114300">
                        <wp:extent cx="1735455" cy="1072515"/>
                        <wp:effectExtent l="0" t="0" r="17145" b="1333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3"/>
                                <a:stretch>
                                  <a:fillRect/>
                                </a:stretch>
                              </pic:blipFill>
                              <pic:spPr>
                                <a:xfrm>
                                  <a:off x="0" y="0"/>
                                  <a:ext cx="1735455" cy="1072515"/>
                                </a:xfrm>
                                <a:prstGeom prst="rect">
                                  <a:avLst/>
                                </a:prstGeom>
                                <a:noFill/>
                                <a:ln>
                                  <a:noFill/>
                                </a:ln>
                              </pic:spPr>
                            </pic:pic>
                          </a:graphicData>
                        </a:graphic>
                      </wp:inline>
                    </w:drawing>
                  </w:r>
                </w:p>
              </w:tc>
            </w:tr>
          </w:tbl>
          <w:p w14:paraId="04935D29">
            <w:pPr>
              <w:adjustRightInd w:val="0"/>
              <w:snapToGrid w:val="0"/>
              <w:spacing w:line="360" w:lineRule="auto"/>
              <w:ind w:firstLine="482" w:firstLineChars="200"/>
              <w:rPr>
                <w:b/>
                <w:color w:val="auto"/>
                <w:sz w:val="24"/>
                <w:u w:val="none" w:color="auto"/>
              </w:rPr>
            </w:pPr>
            <w:r>
              <w:rPr>
                <w:rFonts w:hint="eastAsia"/>
                <w:b/>
                <w:color w:val="auto"/>
                <w:sz w:val="24"/>
                <w:u w:val="none" w:color="auto"/>
              </w:rPr>
              <w:t>10、</w:t>
            </w:r>
            <w:r>
              <w:rPr>
                <w:b/>
                <w:color w:val="auto"/>
                <w:sz w:val="24"/>
                <w:u w:val="none" w:color="auto"/>
              </w:rPr>
              <w:t>环保投资</w:t>
            </w:r>
          </w:p>
          <w:p w14:paraId="69F81DC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4"/>
                <w:szCs w:val="24"/>
                <w:highlight w:val="none"/>
                <w:u w:val="none" w:color="auto"/>
                <w:lang w:val="en-GB" w:eastAsia="zh-TW" w:bidi="ar-SA"/>
              </w:rPr>
            </w:pPr>
            <w:r>
              <w:rPr>
                <w:rFonts w:hint="default" w:ascii="Times New Roman" w:hAnsi="Times New Roman" w:eastAsia="宋体" w:cs="Times New Roman"/>
                <w:b/>
                <w:bCs/>
                <w:color w:val="auto"/>
                <w:kern w:val="2"/>
                <w:sz w:val="24"/>
                <w:szCs w:val="24"/>
                <w:highlight w:val="none"/>
                <w:u w:val="none" w:color="auto"/>
                <w:lang w:val="en-US" w:eastAsia="zh-CN" w:bidi="ar-SA"/>
              </w:rPr>
              <w:t>表4-</w:t>
            </w:r>
            <w:r>
              <w:rPr>
                <w:rFonts w:hint="eastAsia" w:ascii="Times New Roman" w:hAnsi="Times New Roman" w:eastAsia="宋体" w:cs="Times New Roman"/>
                <w:b/>
                <w:bCs/>
                <w:color w:val="auto"/>
                <w:kern w:val="2"/>
                <w:sz w:val="24"/>
                <w:szCs w:val="24"/>
                <w:highlight w:val="none"/>
                <w:u w:val="none" w:color="auto"/>
                <w:lang w:val="en-US" w:eastAsia="zh-CN" w:bidi="ar-SA"/>
              </w:rPr>
              <w:t>28</w:t>
            </w:r>
            <w:r>
              <w:rPr>
                <w:rFonts w:hint="default" w:ascii="Times New Roman" w:hAnsi="Times New Roman" w:eastAsia="宋体" w:cs="Times New Roman"/>
                <w:b/>
                <w:bCs/>
                <w:color w:val="auto"/>
                <w:kern w:val="2"/>
                <w:sz w:val="24"/>
                <w:szCs w:val="24"/>
                <w:highlight w:val="none"/>
                <w:u w:val="none" w:color="auto"/>
                <w:lang w:val="en-US" w:eastAsia="zh-CN" w:bidi="ar-SA"/>
              </w:rPr>
              <w:t xml:space="preserve">  </w:t>
            </w:r>
            <w:r>
              <w:rPr>
                <w:rFonts w:hint="default" w:ascii="Times New Roman" w:hAnsi="Times New Roman" w:eastAsia="宋体" w:cs="Times New Roman"/>
                <w:b/>
                <w:bCs/>
                <w:color w:val="auto"/>
                <w:kern w:val="2"/>
                <w:sz w:val="24"/>
                <w:szCs w:val="24"/>
                <w:highlight w:val="none"/>
                <w:u w:val="none" w:color="auto"/>
                <w:lang w:val="en-GB" w:eastAsia="zh-TW" w:bidi="ar-SA"/>
              </w:rPr>
              <w:t>本工程环保投资一览表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9"/>
              <w:gridCol w:w="817"/>
              <w:gridCol w:w="1323"/>
              <w:gridCol w:w="1336"/>
              <w:gridCol w:w="4413"/>
              <w:gridCol w:w="757"/>
            </w:tblGrid>
            <w:tr w14:paraId="261AB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 w:type="pct"/>
                  <w:tcMar>
                    <w:top w:w="57" w:type="dxa"/>
                    <w:bottom w:w="57" w:type="dxa"/>
                  </w:tcMar>
                  <w:vAlign w:val="center"/>
                </w:tcPr>
                <w:p w14:paraId="1EA52A4B">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类型</w:t>
                  </w:r>
                </w:p>
              </w:tc>
              <w:tc>
                <w:tcPr>
                  <w:tcW w:w="1174" w:type="pct"/>
                  <w:gridSpan w:val="2"/>
                  <w:tcMar>
                    <w:top w:w="57" w:type="dxa"/>
                    <w:bottom w:w="57" w:type="dxa"/>
                  </w:tcMar>
                  <w:vAlign w:val="center"/>
                </w:tcPr>
                <w:p w14:paraId="1DD50394">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主要</w:t>
                  </w:r>
                </w:p>
                <w:p w14:paraId="1DA48A7D">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污染源</w:t>
                  </w:r>
                </w:p>
              </w:tc>
              <w:tc>
                <w:tcPr>
                  <w:tcW w:w="732" w:type="pct"/>
                  <w:tcMar>
                    <w:top w:w="57" w:type="dxa"/>
                    <w:bottom w:w="57" w:type="dxa"/>
                  </w:tcMar>
                  <w:vAlign w:val="center"/>
                </w:tcPr>
                <w:p w14:paraId="67E9E2EB">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主要污染物</w:t>
                  </w:r>
                </w:p>
              </w:tc>
              <w:tc>
                <w:tcPr>
                  <w:tcW w:w="2419" w:type="pct"/>
                  <w:tcMar>
                    <w:top w:w="57" w:type="dxa"/>
                    <w:bottom w:w="57" w:type="dxa"/>
                  </w:tcMar>
                  <w:vAlign w:val="center"/>
                </w:tcPr>
                <w:p w14:paraId="32D6383D">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采取措施</w:t>
                  </w:r>
                </w:p>
              </w:tc>
              <w:tc>
                <w:tcPr>
                  <w:tcW w:w="415" w:type="pct"/>
                  <w:vAlign w:val="center"/>
                </w:tcPr>
                <w:p w14:paraId="350640A5">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环保投资</w:t>
                  </w:r>
                </w:p>
                <w:p w14:paraId="6302040D">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（万元）</w:t>
                  </w:r>
                </w:p>
              </w:tc>
            </w:tr>
            <w:tr w14:paraId="10F7C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 w:type="pct"/>
                  <w:vMerge w:val="restart"/>
                  <w:tcMar>
                    <w:top w:w="57" w:type="dxa"/>
                    <w:bottom w:w="57" w:type="dxa"/>
                  </w:tcMar>
                  <w:vAlign w:val="center"/>
                </w:tcPr>
                <w:p w14:paraId="6894FE4C">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废水</w:t>
                  </w:r>
                </w:p>
              </w:tc>
              <w:tc>
                <w:tcPr>
                  <w:tcW w:w="1174" w:type="pct"/>
                  <w:gridSpan w:val="2"/>
                  <w:tcMar>
                    <w:top w:w="57" w:type="dxa"/>
                    <w:bottom w:w="57" w:type="dxa"/>
                  </w:tcMar>
                  <w:vAlign w:val="center"/>
                </w:tcPr>
                <w:p w14:paraId="4A3EFFB7">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sz w:val="21"/>
                      <w:szCs w:val="21"/>
                      <w:u w:val="none" w:color="auto"/>
                      <w:lang w:val="en-US" w:eastAsia="zh-CN"/>
                    </w:rPr>
                    <w:t>师生日常生活污水</w:t>
                  </w:r>
                </w:p>
              </w:tc>
              <w:tc>
                <w:tcPr>
                  <w:tcW w:w="732" w:type="pct"/>
                  <w:tcMar>
                    <w:top w:w="57" w:type="dxa"/>
                    <w:bottom w:w="57" w:type="dxa"/>
                  </w:tcMar>
                  <w:vAlign w:val="center"/>
                </w:tcPr>
                <w:p w14:paraId="0A55961D">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COD、BOD</w:t>
                  </w:r>
                  <w:r>
                    <w:rPr>
                      <w:rFonts w:hint="default" w:ascii="Times New Roman" w:hAnsi="Times New Roman" w:eastAsia="宋体" w:cs="Times New Roman"/>
                      <w:color w:val="auto"/>
                      <w:sz w:val="21"/>
                      <w:szCs w:val="21"/>
                      <w:u w:val="none" w:color="auto"/>
                      <w:vertAlign w:val="subscript"/>
                    </w:rPr>
                    <w:t>5</w:t>
                  </w:r>
                  <w:r>
                    <w:rPr>
                      <w:rFonts w:hint="default" w:ascii="Times New Roman" w:hAnsi="Times New Roman" w:eastAsia="宋体" w:cs="Times New Roman"/>
                      <w:color w:val="auto"/>
                      <w:sz w:val="21"/>
                      <w:szCs w:val="21"/>
                      <w:u w:val="none" w:color="auto"/>
                    </w:rPr>
                    <w:t>、NH</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rPr>
                    <w:t>-N、SS、pH</w:t>
                  </w:r>
                </w:p>
              </w:tc>
              <w:tc>
                <w:tcPr>
                  <w:tcW w:w="2419" w:type="pct"/>
                  <w:vMerge w:val="restart"/>
                  <w:tcMar>
                    <w:top w:w="57" w:type="dxa"/>
                    <w:bottom w:w="57" w:type="dxa"/>
                  </w:tcMar>
                  <w:vAlign w:val="center"/>
                </w:tcPr>
                <w:p w14:paraId="60F466EB">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师生日常生活污水与经现有地埋式隔油池（1座，地埋式，容积230m</w:t>
                  </w:r>
                  <w:r>
                    <w:rPr>
                      <w:rFonts w:hint="default" w:ascii="Times New Roman" w:hAnsi="Times New Roman" w:eastAsia="宋体" w:cs="Times New Roman"/>
                      <w:color w:val="auto"/>
                      <w:sz w:val="21"/>
                      <w:szCs w:val="21"/>
                      <w:u w:val="none" w:color="auto"/>
                      <w:vertAlign w:val="superscript"/>
                      <w:lang w:val="en-US" w:eastAsia="zh-CN"/>
                    </w:rPr>
                    <w:t>3</w:t>
                  </w:r>
                  <w:r>
                    <w:rPr>
                      <w:rFonts w:hint="default" w:ascii="Times New Roman" w:hAnsi="Times New Roman" w:eastAsia="宋体" w:cs="Times New Roman"/>
                      <w:color w:val="auto"/>
                      <w:sz w:val="21"/>
                      <w:szCs w:val="21"/>
                      <w:u w:val="none" w:color="auto"/>
                      <w:lang w:val="en-US" w:eastAsia="zh-CN"/>
                    </w:rPr>
                    <w:t>）处理后的餐厅废水以及经中和池（新建，1座，地埋式，容积5m</w:t>
                  </w:r>
                  <w:r>
                    <w:rPr>
                      <w:rFonts w:hint="default" w:ascii="Times New Roman" w:hAnsi="Times New Roman" w:eastAsia="宋体" w:cs="Times New Roman"/>
                      <w:color w:val="auto"/>
                      <w:sz w:val="21"/>
                      <w:szCs w:val="21"/>
                      <w:u w:val="none" w:color="auto"/>
                      <w:vertAlign w:val="superscript"/>
                      <w:lang w:val="en-US" w:eastAsia="zh-CN"/>
                    </w:rPr>
                    <w:t>3</w:t>
                  </w:r>
                  <w:r>
                    <w:rPr>
                      <w:rFonts w:hint="default" w:ascii="Times New Roman" w:hAnsi="Times New Roman" w:eastAsia="宋体" w:cs="Times New Roman"/>
                      <w:color w:val="auto"/>
                      <w:sz w:val="21"/>
                      <w:szCs w:val="21"/>
                      <w:u w:val="none" w:color="auto"/>
                      <w:lang w:val="en-US" w:eastAsia="zh-CN"/>
                    </w:rPr>
                    <w:t>）处理后的实验室废水一起进入现有地埋式化粪池（1座，地埋式，现有容积650m</w:t>
                  </w:r>
                  <w:r>
                    <w:rPr>
                      <w:rFonts w:hint="default" w:ascii="Times New Roman" w:hAnsi="Times New Roman" w:eastAsia="宋体" w:cs="Times New Roman"/>
                      <w:color w:val="auto"/>
                      <w:sz w:val="21"/>
                      <w:szCs w:val="21"/>
                      <w:u w:val="none" w:color="auto"/>
                      <w:vertAlign w:val="superscript"/>
                      <w:lang w:val="en-US" w:eastAsia="zh-CN"/>
                    </w:rPr>
                    <w:t>3</w:t>
                  </w:r>
                  <w:r>
                    <w:rPr>
                      <w:rFonts w:hint="default" w:ascii="Times New Roman" w:hAnsi="Times New Roman" w:eastAsia="宋体" w:cs="Times New Roman"/>
                      <w:color w:val="auto"/>
                      <w:sz w:val="21"/>
                      <w:szCs w:val="21"/>
                      <w:u w:val="none" w:color="auto"/>
                      <w:lang w:val="en-US" w:eastAsia="zh-CN"/>
                    </w:rPr>
                    <w:t>）处理后</w:t>
                  </w:r>
                  <w:r>
                    <w:rPr>
                      <w:rFonts w:hint="default" w:ascii="Times New Roman" w:hAnsi="Times New Roman" w:eastAsia="宋体" w:cs="Times New Roman"/>
                      <w:color w:val="auto"/>
                      <w:kern w:val="0"/>
                      <w:sz w:val="21"/>
                      <w:szCs w:val="21"/>
                      <w:u w:val="none" w:color="auto"/>
                    </w:rPr>
                    <w:t>满足《污水综合排放标准》（GB8978-1996）表4三级标准及镇平县</w:t>
                  </w:r>
                  <w:r>
                    <w:rPr>
                      <w:rFonts w:hint="default" w:ascii="Times New Roman" w:hAnsi="Times New Roman" w:eastAsia="宋体" w:cs="Times New Roman"/>
                      <w:color w:val="auto"/>
                      <w:kern w:val="0"/>
                      <w:sz w:val="21"/>
                      <w:szCs w:val="21"/>
                      <w:u w:val="none" w:color="auto"/>
                      <w:lang w:val="en-US" w:eastAsia="zh-CN"/>
                    </w:rPr>
                    <w:t>污水处理中心</w:t>
                  </w:r>
                  <w:r>
                    <w:rPr>
                      <w:rFonts w:hint="default" w:ascii="Times New Roman" w:hAnsi="Times New Roman" w:eastAsia="宋体" w:cs="Times New Roman"/>
                      <w:color w:val="auto"/>
                      <w:kern w:val="0"/>
                      <w:sz w:val="21"/>
                      <w:szCs w:val="21"/>
                      <w:u w:val="none" w:color="auto"/>
                    </w:rPr>
                    <w:t>进水水质指标后经市政污水管网进入镇平县</w:t>
                  </w:r>
                  <w:r>
                    <w:rPr>
                      <w:rFonts w:hint="default" w:ascii="Times New Roman" w:hAnsi="Times New Roman" w:eastAsia="宋体" w:cs="Times New Roman"/>
                      <w:color w:val="auto"/>
                      <w:kern w:val="0"/>
                      <w:sz w:val="21"/>
                      <w:szCs w:val="21"/>
                      <w:u w:val="none" w:color="auto"/>
                      <w:lang w:val="en-US" w:eastAsia="zh-CN"/>
                    </w:rPr>
                    <w:t>污水处理中心</w:t>
                  </w:r>
                  <w:r>
                    <w:rPr>
                      <w:rFonts w:hint="default" w:ascii="Times New Roman" w:hAnsi="Times New Roman" w:eastAsia="宋体" w:cs="Times New Roman"/>
                      <w:color w:val="auto"/>
                      <w:kern w:val="0"/>
                      <w:sz w:val="21"/>
                      <w:szCs w:val="21"/>
                      <w:u w:val="none" w:color="auto"/>
                    </w:rPr>
                    <w:t>进一步处理达到《城镇污水处理厂污染物排放标准》（GB18918-2002）一级A标准后</w:t>
                  </w:r>
                  <w:r>
                    <w:rPr>
                      <w:rFonts w:hint="default" w:ascii="Times New Roman" w:hAnsi="Times New Roman" w:eastAsia="宋体" w:cs="Times New Roman"/>
                      <w:color w:val="auto"/>
                      <w:sz w:val="21"/>
                      <w:szCs w:val="21"/>
                      <w:u w:val="none" w:color="auto"/>
                    </w:rPr>
                    <w:t>排入</w:t>
                  </w:r>
                  <w:r>
                    <w:rPr>
                      <w:rFonts w:hint="default" w:ascii="Times New Roman" w:hAnsi="Times New Roman" w:eastAsia="宋体" w:cs="Times New Roman"/>
                      <w:color w:val="auto"/>
                      <w:sz w:val="21"/>
                      <w:szCs w:val="21"/>
                      <w:u w:val="none" w:color="auto"/>
                      <w:lang w:val="en-US" w:eastAsia="zh-CN"/>
                    </w:rPr>
                    <w:t>西三里河</w:t>
                  </w:r>
                </w:p>
              </w:tc>
              <w:tc>
                <w:tcPr>
                  <w:tcW w:w="415" w:type="pct"/>
                  <w:vMerge w:val="restart"/>
                  <w:vAlign w:val="center"/>
                </w:tcPr>
                <w:p w14:paraId="277B586C">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10</w:t>
                  </w:r>
                </w:p>
              </w:tc>
            </w:tr>
            <w:tr w14:paraId="377F4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 w:type="pct"/>
                  <w:vMerge w:val="continue"/>
                  <w:tcMar>
                    <w:top w:w="57" w:type="dxa"/>
                    <w:bottom w:w="57" w:type="dxa"/>
                  </w:tcMar>
                  <w:vAlign w:val="center"/>
                </w:tcPr>
                <w:p w14:paraId="7E883678">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p>
              </w:tc>
              <w:tc>
                <w:tcPr>
                  <w:tcW w:w="1174" w:type="pct"/>
                  <w:gridSpan w:val="2"/>
                  <w:tcMar>
                    <w:top w:w="57" w:type="dxa"/>
                    <w:bottom w:w="57" w:type="dxa"/>
                  </w:tcMar>
                  <w:vAlign w:val="center"/>
                </w:tcPr>
                <w:p w14:paraId="4B30E222">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sz w:val="21"/>
                      <w:szCs w:val="21"/>
                      <w:u w:val="none" w:color="auto"/>
                      <w:lang w:val="en-US" w:eastAsia="zh-CN"/>
                    </w:rPr>
                    <w:t>餐厅废水</w:t>
                  </w:r>
                </w:p>
              </w:tc>
              <w:tc>
                <w:tcPr>
                  <w:tcW w:w="732" w:type="pct"/>
                  <w:tcMar>
                    <w:top w:w="57" w:type="dxa"/>
                    <w:bottom w:w="57" w:type="dxa"/>
                  </w:tcMar>
                  <w:vAlign w:val="center"/>
                </w:tcPr>
                <w:p w14:paraId="4C8CC164">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COD、BOD</w:t>
                  </w:r>
                  <w:r>
                    <w:rPr>
                      <w:rFonts w:hint="default" w:ascii="Times New Roman" w:hAnsi="Times New Roman" w:eastAsia="宋体" w:cs="Times New Roman"/>
                      <w:color w:val="auto"/>
                      <w:sz w:val="21"/>
                      <w:szCs w:val="21"/>
                      <w:u w:val="none" w:color="auto"/>
                      <w:vertAlign w:val="subscript"/>
                    </w:rPr>
                    <w:t>5</w:t>
                  </w:r>
                  <w:r>
                    <w:rPr>
                      <w:rFonts w:hint="default" w:ascii="Times New Roman" w:hAnsi="Times New Roman" w:eastAsia="宋体" w:cs="Times New Roman"/>
                      <w:color w:val="auto"/>
                      <w:sz w:val="21"/>
                      <w:szCs w:val="21"/>
                      <w:u w:val="none" w:color="auto"/>
                    </w:rPr>
                    <w:t>、NH</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rPr>
                    <w:t>-N、SS、pH</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动植物油</w:t>
                  </w:r>
                </w:p>
              </w:tc>
              <w:tc>
                <w:tcPr>
                  <w:tcW w:w="2419" w:type="pct"/>
                  <w:vMerge w:val="continue"/>
                  <w:tcMar>
                    <w:top w:w="57" w:type="dxa"/>
                    <w:bottom w:w="57" w:type="dxa"/>
                  </w:tcMar>
                  <w:vAlign w:val="center"/>
                </w:tcPr>
                <w:p w14:paraId="230811DF">
                  <w:pPr>
                    <w:keepNext w:val="0"/>
                    <w:keepLines w:val="0"/>
                    <w:pageBreakBefore w:val="0"/>
                    <w:wordWrap/>
                    <w:overflowPunct/>
                    <w:topLinePunct w:val="0"/>
                    <w:bidi w:val="0"/>
                    <w:snapToGrid w:val="0"/>
                    <w:jc w:val="center"/>
                    <w:rPr>
                      <w:rFonts w:hint="default" w:ascii="Times New Roman" w:hAnsi="Times New Roman" w:eastAsia="宋体" w:cs="Times New Roman"/>
                      <w:bCs/>
                      <w:color w:val="auto"/>
                      <w:sz w:val="21"/>
                      <w:szCs w:val="21"/>
                      <w:u w:val="none" w:color="auto"/>
                    </w:rPr>
                  </w:pPr>
                </w:p>
              </w:tc>
              <w:tc>
                <w:tcPr>
                  <w:tcW w:w="415" w:type="pct"/>
                  <w:vMerge w:val="continue"/>
                  <w:vAlign w:val="center"/>
                </w:tcPr>
                <w:p w14:paraId="536693BB">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p>
              </w:tc>
            </w:tr>
            <w:tr w14:paraId="4771D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 w:type="pct"/>
                  <w:vMerge w:val="continue"/>
                  <w:tcMar>
                    <w:top w:w="57" w:type="dxa"/>
                    <w:bottom w:w="57" w:type="dxa"/>
                  </w:tcMar>
                  <w:vAlign w:val="center"/>
                </w:tcPr>
                <w:p w14:paraId="74BCA841">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p>
              </w:tc>
              <w:tc>
                <w:tcPr>
                  <w:tcW w:w="1174" w:type="pct"/>
                  <w:gridSpan w:val="2"/>
                  <w:tcMar>
                    <w:top w:w="57" w:type="dxa"/>
                    <w:bottom w:w="57" w:type="dxa"/>
                  </w:tcMar>
                  <w:vAlign w:val="center"/>
                </w:tcPr>
                <w:p w14:paraId="78B646F4">
                  <w:pPr>
                    <w:keepNext w:val="0"/>
                    <w:keepLines w:val="0"/>
                    <w:pageBreakBefore w:val="0"/>
                    <w:widowControl/>
                    <w:kinsoku w:val="0"/>
                    <w:wordWrap/>
                    <w:overflowPunct/>
                    <w:topLinePunct w:val="0"/>
                    <w:autoSpaceDE w:val="0"/>
                    <w:autoSpaceDN w:val="0"/>
                    <w:bidi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实验室废水</w:t>
                  </w:r>
                </w:p>
              </w:tc>
              <w:tc>
                <w:tcPr>
                  <w:tcW w:w="732" w:type="pct"/>
                  <w:tcMar>
                    <w:top w:w="57" w:type="dxa"/>
                    <w:bottom w:w="57" w:type="dxa"/>
                  </w:tcMar>
                  <w:vAlign w:val="center"/>
                </w:tcPr>
                <w:p w14:paraId="685FBDD7">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COD、BOD</w:t>
                  </w:r>
                  <w:r>
                    <w:rPr>
                      <w:rFonts w:hint="default" w:ascii="Times New Roman" w:hAnsi="Times New Roman" w:eastAsia="宋体" w:cs="Times New Roman"/>
                      <w:color w:val="auto"/>
                      <w:sz w:val="21"/>
                      <w:szCs w:val="21"/>
                      <w:u w:val="none" w:color="auto"/>
                      <w:vertAlign w:val="subscript"/>
                    </w:rPr>
                    <w:t>5</w:t>
                  </w:r>
                  <w:r>
                    <w:rPr>
                      <w:rFonts w:hint="default" w:ascii="Times New Roman" w:hAnsi="Times New Roman" w:eastAsia="宋体" w:cs="Times New Roman"/>
                      <w:color w:val="auto"/>
                      <w:sz w:val="21"/>
                      <w:szCs w:val="21"/>
                      <w:u w:val="none" w:color="auto"/>
                    </w:rPr>
                    <w:t>、NH</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rPr>
                    <w:t>-N、SS、pH</w:t>
                  </w:r>
                </w:p>
              </w:tc>
              <w:tc>
                <w:tcPr>
                  <w:tcW w:w="2419" w:type="pct"/>
                  <w:vMerge w:val="continue"/>
                  <w:tcMar>
                    <w:top w:w="57" w:type="dxa"/>
                    <w:bottom w:w="57" w:type="dxa"/>
                  </w:tcMar>
                  <w:vAlign w:val="center"/>
                </w:tcPr>
                <w:p w14:paraId="6C8FDE35">
                  <w:pPr>
                    <w:keepNext w:val="0"/>
                    <w:keepLines w:val="0"/>
                    <w:pageBreakBefore w:val="0"/>
                    <w:wordWrap/>
                    <w:overflowPunct/>
                    <w:topLinePunct w:val="0"/>
                    <w:bidi w:val="0"/>
                    <w:snapToGrid w:val="0"/>
                    <w:jc w:val="center"/>
                    <w:rPr>
                      <w:rFonts w:hint="default" w:ascii="Times New Roman" w:hAnsi="Times New Roman" w:eastAsia="宋体" w:cs="Times New Roman"/>
                      <w:bCs/>
                      <w:color w:val="auto"/>
                      <w:sz w:val="21"/>
                      <w:szCs w:val="21"/>
                      <w:u w:val="none" w:color="auto"/>
                    </w:rPr>
                  </w:pPr>
                </w:p>
              </w:tc>
              <w:tc>
                <w:tcPr>
                  <w:tcW w:w="415" w:type="pct"/>
                  <w:vMerge w:val="continue"/>
                  <w:vAlign w:val="center"/>
                </w:tcPr>
                <w:p w14:paraId="3E58DE88">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p>
              </w:tc>
            </w:tr>
            <w:tr w14:paraId="3FC49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 w:type="pct"/>
                  <w:vMerge w:val="restart"/>
                  <w:tcMar>
                    <w:top w:w="57" w:type="dxa"/>
                    <w:bottom w:w="57" w:type="dxa"/>
                  </w:tcMar>
                  <w:vAlign w:val="center"/>
                </w:tcPr>
                <w:p w14:paraId="07CB4192">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废气</w:t>
                  </w:r>
                </w:p>
              </w:tc>
              <w:tc>
                <w:tcPr>
                  <w:tcW w:w="448" w:type="pct"/>
                  <w:vMerge w:val="restart"/>
                  <w:tcMar>
                    <w:top w:w="57" w:type="dxa"/>
                    <w:bottom w:w="57" w:type="dxa"/>
                  </w:tcMar>
                  <w:vAlign w:val="center"/>
                </w:tcPr>
                <w:p w14:paraId="171D834E">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有组织</w:t>
                  </w:r>
                </w:p>
              </w:tc>
              <w:tc>
                <w:tcPr>
                  <w:tcW w:w="726" w:type="pct"/>
                  <w:tcMar>
                    <w:top w:w="57" w:type="dxa"/>
                    <w:bottom w:w="57" w:type="dxa"/>
                  </w:tcMar>
                  <w:vAlign w:val="center"/>
                </w:tcPr>
                <w:p w14:paraId="15FCFE61">
                  <w:pPr>
                    <w:pStyle w:val="149"/>
                    <w:keepNext w:val="0"/>
                    <w:keepLines w:val="0"/>
                    <w:pageBreakBefore w:val="0"/>
                    <w:wordWrap/>
                    <w:overflowPunct/>
                    <w:topLinePunct w:val="0"/>
                    <w:bidi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实验室废气</w:t>
                  </w:r>
                </w:p>
              </w:tc>
              <w:tc>
                <w:tcPr>
                  <w:tcW w:w="732" w:type="pct"/>
                  <w:tcMar>
                    <w:top w:w="57" w:type="dxa"/>
                    <w:bottom w:w="57" w:type="dxa"/>
                  </w:tcMar>
                  <w:vAlign w:val="center"/>
                </w:tcPr>
                <w:p w14:paraId="469B8B43">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rPr>
                    <w:t>氯化氢、硫酸雾等</w:t>
                  </w:r>
                </w:p>
              </w:tc>
              <w:tc>
                <w:tcPr>
                  <w:tcW w:w="2419" w:type="pct"/>
                  <w:tcMar>
                    <w:top w:w="57" w:type="dxa"/>
                    <w:bottom w:w="57" w:type="dxa"/>
                  </w:tcMar>
                  <w:vAlign w:val="center"/>
                </w:tcPr>
                <w:p w14:paraId="1C67300D">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sz w:val="21"/>
                      <w:szCs w:val="21"/>
                      <w:highlight w:val="none"/>
                      <w:u w:val="none" w:color="auto"/>
                    </w:rPr>
                    <w:t>实验室操作台内安装通风橱，在使用、配备挥发性的试剂时应在通风橱内操作，通风橱进行负压收集，通过通风管道输送到楼顶经二级活性炭吸附装置</w:t>
                  </w:r>
                  <w:r>
                    <w:rPr>
                      <w:rFonts w:hint="default" w:ascii="Times New Roman" w:hAnsi="Times New Roman" w:eastAsia="宋体" w:cs="Times New Roman"/>
                      <w:bCs/>
                      <w:color w:val="auto"/>
                      <w:sz w:val="21"/>
                      <w:szCs w:val="21"/>
                      <w:highlight w:val="none"/>
                      <w:u w:val="none" w:color="auto"/>
                      <w:lang w:eastAsia="zh-CN"/>
                    </w:rPr>
                    <w:t>（</w:t>
                  </w:r>
                  <w:r>
                    <w:rPr>
                      <w:rFonts w:hint="default" w:ascii="Times New Roman" w:hAnsi="Times New Roman" w:eastAsia="宋体" w:cs="Times New Roman"/>
                      <w:bCs/>
                      <w:color w:val="auto"/>
                      <w:sz w:val="21"/>
                      <w:szCs w:val="21"/>
                      <w:highlight w:val="none"/>
                      <w:u w:val="none" w:color="auto"/>
                      <w:lang w:val="en-US" w:eastAsia="zh-CN"/>
                    </w:rPr>
                    <w:t>TA001）</w:t>
                  </w:r>
                  <w:r>
                    <w:rPr>
                      <w:rFonts w:hint="default" w:ascii="Times New Roman" w:hAnsi="Times New Roman" w:eastAsia="宋体" w:cs="Times New Roman"/>
                      <w:bCs/>
                      <w:color w:val="auto"/>
                      <w:sz w:val="21"/>
                      <w:szCs w:val="21"/>
                      <w:highlight w:val="none"/>
                      <w:u w:val="none" w:color="auto"/>
                    </w:rPr>
                    <w:t>处理后由</w:t>
                  </w:r>
                  <w:r>
                    <w:rPr>
                      <w:rFonts w:hint="default" w:ascii="Times New Roman" w:hAnsi="Times New Roman" w:eastAsia="宋体" w:cs="Times New Roman"/>
                      <w:bCs/>
                      <w:color w:val="auto"/>
                      <w:sz w:val="21"/>
                      <w:szCs w:val="21"/>
                      <w:highlight w:val="none"/>
                      <w:u w:val="none" w:color="auto"/>
                      <w:lang w:val="en-US" w:eastAsia="zh-CN"/>
                    </w:rPr>
                    <w:t>20m高排气筒（DA001）引至高空排放</w:t>
                  </w:r>
                </w:p>
              </w:tc>
              <w:tc>
                <w:tcPr>
                  <w:tcW w:w="415" w:type="pct"/>
                  <w:vAlign w:val="center"/>
                </w:tcPr>
                <w:p w14:paraId="0DEA0B52">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6</w:t>
                  </w:r>
                </w:p>
              </w:tc>
            </w:tr>
            <w:tr w14:paraId="74654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 w:type="pct"/>
                  <w:vMerge w:val="continue"/>
                  <w:tcMar>
                    <w:top w:w="57" w:type="dxa"/>
                    <w:bottom w:w="57" w:type="dxa"/>
                  </w:tcMar>
                  <w:vAlign w:val="center"/>
                </w:tcPr>
                <w:p w14:paraId="32D20CD1">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p>
              </w:tc>
              <w:tc>
                <w:tcPr>
                  <w:tcW w:w="448" w:type="pct"/>
                  <w:vMerge w:val="continue"/>
                  <w:tcMar>
                    <w:top w:w="57" w:type="dxa"/>
                    <w:bottom w:w="57" w:type="dxa"/>
                  </w:tcMar>
                  <w:vAlign w:val="center"/>
                </w:tcPr>
                <w:p w14:paraId="13FBC49C">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p>
              </w:tc>
              <w:tc>
                <w:tcPr>
                  <w:tcW w:w="726" w:type="pct"/>
                  <w:vMerge w:val="restart"/>
                  <w:tcMar>
                    <w:top w:w="57" w:type="dxa"/>
                    <w:bottom w:w="57" w:type="dxa"/>
                  </w:tcMar>
                  <w:vAlign w:val="center"/>
                </w:tcPr>
                <w:p w14:paraId="1D5F0D15">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eastAsia="zh-CN" w:bidi="ar"/>
                    </w:rPr>
                    <w:t>餐厅</w:t>
                  </w:r>
                  <w:r>
                    <w:rPr>
                      <w:rFonts w:hint="default" w:ascii="Times New Roman" w:hAnsi="Times New Roman" w:eastAsia="宋体" w:cs="Times New Roman"/>
                      <w:color w:val="auto"/>
                      <w:sz w:val="21"/>
                      <w:szCs w:val="21"/>
                      <w:highlight w:val="none"/>
                      <w:u w:val="none" w:color="auto"/>
                      <w:lang w:val="en-US" w:eastAsia="zh-CN" w:bidi="ar"/>
                    </w:rPr>
                    <w:t>废气</w:t>
                  </w:r>
                </w:p>
              </w:tc>
              <w:tc>
                <w:tcPr>
                  <w:tcW w:w="732" w:type="pct"/>
                  <w:tcMar>
                    <w:top w:w="57" w:type="dxa"/>
                    <w:bottom w:w="57" w:type="dxa"/>
                  </w:tcMar>
                  <w:vAlign w:val="center"/>
                </w:tcPr>
                <w:p w14:paraId="015D1A5F">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val="en-US" w:eastAsia="zh-CN"/>
                    </w:rPr>
                    <w:t>油烟</w:t>
                  </w:r>
                </w:p>
              </w:tc>
              <w:tc>
                <w:tcPr>
                  <w:tcW w:w="2419" w:type="pct"/>
                  <w:vMerge w:val="restart"/>
                  <w:tcMar>
                    <w:top w:w="57" w:type="dxa"/>
                    <w:bottom w:w="57" w:type="dxa"/>
                  </w:tcMar>
                  <w:vAlign w:val="center"/>
                </w:tcPr>
                <w:p w14:paraId="40EFB180">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sz w:val="21"/>
                      <w:szCs w:val="21"/>
                      <w:highlight w:val="none"/>
                      <w:u w:val="none" w:color="auto"/>
                      <w:lang w:val="en-US" w:eastAsia="zh-CN"/>
                    </w:rPr>
                    <w:t>经现有8套</w:t>
                  </w:r>
                  <w:r>
                    <w:rPr>
                      <w:rFonts w:hint="default" w:ascii="Times New Roman" w:hAnsi="Times New Roman" w:eastAsia="宋体" w:cs="Times New Roman"/>
                      <w:bCs/>
                      <w:color w:val="auto"/>
                      <w:sz w:val="21"/>
                      <w:szCs w:val="21"/>
                      <w:highlight w:val="none"/>
                      <w:u w:val="none" w:color="auto"/>
                    </w:rPr>
                    <w:t>油烟净化器</w:t>
                  </w:r>
                  <w:r>
                    <w:rPr>
                      <w:rFonts w:hint="default" w:ascii="Times New Roman" w:hAnsi="Times New Roman" w:eastAsia="宋体" w:cs="Times New Roman"/>
                      <w:bCs/>
                      <w:color w:val="auto"/>
                      <w:sz w:val="21"/>
                      <w:szCs w:val="21"/>
                      <w:highlight w:val="none"/>
                      <w:u w:val="none" w:color="auto"/>
                      <w:lang w:val="en-US" w:eastAsia="zh-CN"/>
                    </w:rPr>
                    <w:t>处理后通过1根专用烟道（DA002）排放</w:t>
                  </w:r>
                </w:p>
              </w:tc>
              <w:tc>
                <w:tcPr>
                  <w:tcW w:w="415" w:type="pct"/>
                  <w:vMerge w:val="restart"/>
                  <w:vAlign w:val="center"/>
                </w:tcPr>
                <w:p w14:paraId="286EDB0A">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val="en-US" w:eastAsia="zh-CN"/>
                    </w:rPr>
                    <w:t>2</w:t>
                  </w:r>
                </w:p>
              </w:tc>
            </w:tr>
            <w:tr w14:paraId="1777C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257" w:type="pct"/>
                  <w:vMerge w:val="continue"/>
                  <w:tcMar>
                    <w:top w:w="57" w:type="dxa"/>
                    <w:bottom w:w="57" w:type="dxa"/>
                  </w:tcMar>
                  <w:vAlign w:val="center"/>
                </w:tcPr>
                <w:p w14:paraId="4D0F6345">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p>
              </w:tc>
              <w:tc>
                <w:tcPr>
                  <w:tcW w:w="448" w:type="pct"/>
                  <w:vMerge w:val="continue"/>
                  <w:tcMar>
                    <w:top w:w="57" w:type="dxa"/>
                    <w:bottom w:w="57" w:type="dxa"/>
                  </w:tcMar>
                  <w:vAlign w:val="center"/>
                </w:tcPr>
                <w:p w14:paraId="34048C48">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p>
              </w:tc>
              <w:tc>
                <w:tcPr>
                  <w:tcW w:w="726" w:type="pct"/>
                  <w:vMerge w:val="continue"/>
                  <w:tcMar>
                    <w:top w:w="57" w:type="dxa"/>
                    <w:bottom w:w="57" w:type="dxa"/>
                  </w:tcMar>
                  <w:vAlign w:val="center"/>
                </w:tcPr>
                <w:p w14:paraId="23EFB805">
                  <w:pPr>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p>
              </w:tc>
              <w:tc>
                <w:tcPr>
                  <w:tcW w:w="732" w:type="pct"/>
                  <w:tcMar>
                    <w:top w:w="57" w:type="dxa"/>
                    <w:bottom w:w="57" w:type="dxa"/>
                  </w:tcMar>
                  <w:vAlign w:val="center"/>
                </w:tcPr>
                <w:p w14:paraId="2BB60561">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val="en-US" w:eastAsia="zh-CN"/>
                    </w:rPr>
                    <w:t>非甲烷总烃</w:t>
                  </w:r>
                </w:p>
              </w:tc>
              <w:tc>
                <w:tcPr>
                  <w:tcW w:w="2419" w:type="pct"/>
                  <w:vMerge w:val="continue"/>
                  <w:tcMar>
                    <w:top w:w="57" w:type="dxa"/>
                    <w:bottom w:w="57" w:type="dxa"/>
                  </w:tcMar>
                  <w:vAlign w:val="center"/>
                </w:tcPr>
                <w:p w14:paraId="36ACC4CE">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p>
              </w:tc>
              <w:tc>
                <w:tcPr>
                  <w:tcW w:w="415" w:type="pct"/>
                  <w:vMerge w:val="continue"/>
                  <w:vAlign w:val="center"/>
                </w:tcPr>
                <w:p w14:paraId="221BF08C">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p>
              </w:tc>
            </w:tr>
            <w:tr w14:paraId="0036A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 w:type="pct"/>
                  <w:vMerge w:val="continue"/>
                  <w:tcMar>
                    <w:top w:w="57" w:type="dxa"/>
                    <w:bottom w:w="57" w:type="dxa"/>
                  </w:tcMar>
                  <w:vAlign w:val="center"/>
                </w:tcPr>
                <w:p w14:paraId="2ABF3FB9">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p>
              </w:tc>
              <w:tc>
                <w:tcPr>
                  <w:tcW w:w="448" w:type="pct"/>
                  <w:vMerge w:val="restart"/>
                  <w:tcMar>
                    <w:top w:w="57" w:type="dxa"/>
                    <w:bottom w:w="57" w:type="dxa"/>
                  </w:tcMar>
                  <w:vAlign w:val="center"/>
                </w:tcPr>
                <w:p w14:paraId="47025B6D">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无组织</w:t>
                  </w:r>
                </w:p>
              </w:tc>
              <w:tc>
                <w:tcPr>
                  <w:tcW w:w="726" w:type="pct"/>
                  <w:vMerge w:val="restart"/>
                  <w:tcMar>
                    <w:top w:w="57" w:type="dxa"/>
                    <w:bottom w:w="57" w:type="dxa"/>
                  </w:tcMar>
                  <w:vAlign w:val="center"/>
                </w:tcPr>
                <w:p w14:paraId="10138552">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eastAsia="zh-CN" w:bidi="ar"/>
                    </w:rPr>
                    <w:t>餐厅</w:t>
                  </w:r>
                  <w:r>
                    <w:rPr>
                      <w:rFonts w:hint="default" w:ascii="Times New Roman" w:hAnsi="Times New Roman" w:eastAsia="宋体" w:cs="Times New Roman"/>
                      <w:color w:val="auto"/>
                      <w:sz w:val="21"/>
                      <w:szCs w:val="21"/>
                      <w:highlight w:val="none"/>
                      <w:u w:val="none" w:color="auto"/>
                      <w:lang w:val="en-US" w:eastAsia="zh-CN" w:bidi="ar"/>
                    </w:rPr>
                    <w:t>废气</w:t>
                  </w:r>
                </w:p>
              </w:tc>
              <w:tc>
                <w:tcPr>
                  <w:tcW w:w="732" w:type="pct"/>
                  <w:tcMar>
                    <w:top w:w="57" w:type="dxa"/>
                    <w:bottom w:w="57" w:type="dxa"/>
                  </w:tcMar>
                  <w:vAlign w:val="center"/>
                </w:tcPr>
                <w:p w14:paraId="7D6C4C2D">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val="en-US" w:eastAsia="zh-CN"/>
                    </w:rPr>
                    <w:t>油烟</w:t>
                  </w:r>
                </w:p>
              </w:tc>
              <w:tc>
                <w:tcPr>
                  <w:tcW w:w="2419" w:type="pct"/>
                  <w:vMerge w:val="restart"/>
                  <w:tcMar>
                    <w:top w:w="57" w:type="dxa"/>
                    <w:bottom w:w="57" w:type="dxa"/>
                  </w:tcMar>
                  <w:vAlign w:val="center"/>
                </w:tcPr>
                <w:p w14:paraId="3B74BAC7">
                  <w:pPr>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rPr>
                    <w:t>定期对废气环保设备维护，保证废气收集效率；</w:t>
                  </w:r>
                </w:p>
              </w:tc>
              <w:tc>
                <w:tcPr>
                  <w:tcW w:w="415" w:type="pct"/>
                  <w:vMerge w:val="restart"/>
                  <w:vAlign w:val="center"/>
                </w:tcPr>
                <w:p w14:paraId="32BE8938">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7</w:t>
                  </w:r>
                </w:p>
              </w:tc>
            </w:tr>
            <w:tr w14:paraId="5DA17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 w:type="pct"/>
                  <w:vMerge w:val="continue"/>
                  <w:tcMar>
                    <w:top w:w="57" w:type="dxa"/>
                    <w:bottom w:w="57" w:type="dxa"/>
                  </w:tcMar>
                  <w:vAlign w:val="center"/>
                </w:tcPr>
                <w:p w14:paraId="123CC8D2">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p>
              </w:tc>
              <w:tc>
                <w:tcPr>
                  <w:tcW w:w="448" w:type="pct"/>
                  <w:vMerge w:val="continue"/>
                  <w:tcMar>
                    <w:top w:w="57" w:type="dxa"/>
                    <w:bottom w:w="57" w:type="dxa"/>
                  </w:tcMar>
                  <w:vAlign w:val="center"/>
                </w:tcPr>
                <w:p w14:paraId="5891B3C6">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p>
              </w:tc>
              <w:tc>
                <w:tcPr>
                  <w:tcW w:w="726" w:type="pct"/>
                  <w:vMerge w:val="continue"/>
                  <w:tcMar>
                    <w:top w:w="57" w:type="dxa"/>
                    <w:bottom w:w="57" w:type="dxa"/>
                  </w:tcMar>
                  <w:vAlign w:val="center"/>
                </w:tcPr>
                <w:p w14:paraId="6506F1AB">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p>
              </w:tc>
              <w:tc>
                <w:tcPr>
                  <w:tcW w:w="732" w:type="pct"/>
                  <w:tcMar>
                    <w:top w:w="57" w:type="dxa"/>
                    <w:bottom w:w="57" w:type="dxa"/>
                  </w:tcMar>
                  <w:vAlign w:val="center"/>
                </w:tcPr>
                <w:p w14:paraId="16BDF9C4">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val="en-US" w:eastAsia="zh-CN"/>
                    </w:rPr>
                    <w:t>非甲烷总烃</w:t>
                  </w:r>
                </w:p>
              </w:tc>
              <w:tc>
                <w:tcPr>
                  <w:tcW w:w="2419" w:type="pct"/>
                  <w:vMerge w:val="continue"/>
                  <w:tcMar>
                    <w:top w:w="57" w:type="dxa"/>
                    <w:bottom w:w="57" w:type="dxa"/>
                  </w:tcMar>
                  <w:vAlign w:val="center"/>
                </w:tcPr>
                <w:p w14:paraId="5487E1F0">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p>
              </w:tc>
              <w:tc>
                <w:tcPr>
                  <w:tcW w:w="415" w:type="pct"/>
                  <w:vMerge w:val="continue"/>
                  <w:vAlign w:val="center"/>
                </w:tcPr>
                <w:p w14:paraId="18896DBC">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p>
              </w:tc>
            </w:tr>
            <w:tr w14:paraId="728AC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 w:type="pct"/>
                  <w:vMerge w:val="continue"/>
                  <w:tcMar>
                    <w:top w:w="57" w:type="dxa"/>
                    <w:bottom w:w="57" w:type="dxa"/>
                  </w:tcMar>
                  <w:vAlign w:val="center"/>
                </w:tcPr>
                <w:p w14:paraId="36D23D33">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p>
              </w:tc>
              <w:tc>
                <w:tcPr>
                  <w:tcW w:w="448" w:type="pct"/>
                  <w:vMerge w:val="continue"/>
                  <w:tcMar>
                    <w:top w:w="57" w:type="dxa"/>
                    <w:bottom w:w="57" w:type="dxa"/>
                  </w:tcMar>
                  <w:vAlign w:val="center"/>
                </w:tcPr>
                <w:p w14:paraId="1E59E511">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p>
              </w:tc>
              <w:tc>
                <w:tcPr>
                  <w:tcW w:w="726" w:type="pct"/>
                  <w:tcMar>
                    <w:top w:w="57" w:type="dxa"/>
                    <w:bottom w:w="57" w:type="dxa"/>
                  </w:tcMar>
                  <w:vAlign w:val="center"/>
                </w:tcPr>
                <w:p w14:paraId="517500F0">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bidi="ar"/>
                    </w:rPr>
                    <w:t>实验室</w:t>
                  </w:r>
                  <w:r>
                    <w:rPr>
                      <w:rFonts w:hint="default" w:ascii="Times New Roman" w:hAnsi="Times New Roman" w:eastAsia="宋体" w:cs="Times New Roman"/>
                      <w:color w:val="auto"/>
                      <w:sz w:val="21"/>
                      <w:szCs w:val="21"/>
                      <w:highlight w:val="none"/>
                      <w:u w:val="none" w:color="auto"/>
                      <w:lang w:val="en-US" w:eastAsia="zh-CN" w:bidi="ar"/>
                    </w:rPr>
                    <w:t>未收集的</w:t>
                  </w:r>
                  <w:r>
                    <w:rPr>
                      <w:rFonts w:hint="default" w:ascii="Times New Roman" w:hAnsi="Times New Roman" w:eastAsia="宋体" w:cs="Times New Roman"/>
                      <w:color w:val="auto"/>
                      <w:sz w:val="21"/>
                      <w:szCs w:val="21"/>
                      <w:highlight w:val="none"/>
                      <w:u w:val="none" w:color="auto"/>
                      <w:lang w:bidi="ar"/>
                    </w:rPr>
                    <w:t>废气</w:t>
                  </w:r>
                </w:p>
              </w:tc>
              <w:tc>
                <w:tcPr>
                  <w:tcW w:w="732" w:type="pct"/>
                  <w:tcMar>
                    <w:top w:w="57" w:type="dxa"/>
                    <w:bottom w:w="57" w:type="dxa"/>
                  </w:tcMar>
                  <w:vAlign w:val="center"/>
                </w:tcPr>
                <w:p w14:paraId="4D60B849">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rPr>
                    <w:t>氯化氢、硫酸雾等</w:t>
                  </w:r>
                </w:p>
              </w:tc>
              <w:tc>
                <w:tcPr>
                  <w:tcW w:w="2419" w:type="pct"/>
                  <w:vMerge w:val="continue"/>
                  <w:tcMar>
                    <w:top w:w="57" w:type="dxa"/>
                    <w:bottom w:w="57" w:type="dxa"/>
                  </w:tcMar>
                  <w:vAlign w:val="center"/>
                </w:tcPr>
                <w:p w14:paraId="6F06AA63">
                  <w:pPr>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p>
              </w:tc>
              <w:tc>
                <w:tcPr>
                  <w:tcW w:w="415" w:type="pct"/>
                  <w:vMerge w:val="continue"/>
                  <w:vAlign w:val="center"/>
                </w:tcPr>
                <w:p w14:paraId="2C580335">
                  <w:pPr>
                    <w:pStyle w:val="171"/>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p>
              </w:tc>
            </w:tr>
            <w:tr w14:paraId="582AD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 w:type="pct"/>
                  <w:vMerge w:val="restart"/>
                  <w:tcMar>
                    <w:top w:w="57" w:type="dxa"/>
                    <w:bottom w:w="57" w:type="dxa"/>
                  </w:tcMar>
                  <w:vAlign w:val="center"/>
                </w:tcPr>
                <w:p w14:paraId="3A76EA2A">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固废</w:t>
                  </w:r>
                </w:p>
              </w:tc>
              <w:tc>
                <w:tcPr>
                  <w:tcW w:w="1174" w:type="pct"/>
                  <w:gridSpan w:val="2"/>
                  <w:tcMar>
                    <w:top w:w="57" w:type="dxa"/>
                    <w:bottom w:w="57" w:type="dxa"/>
                  </w:tcMar>
                  <w:vAlign w:val="center"/>
                </w:tcPr>
                <w:p w14:paraId="375E2E61">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lang w:val="en-US" w:eastAsia="zh-CN"/>
                    </w:rPr>
                    <w:t>教职工及学生日常</w:t>
                  </w:r>
                  <w:r>
                    <w:rPr>
                      <w:rFonts w:hint="default" w:ascii="Times New Roman" w:hAnsi="Times New Roman" w:eastAsia="宋体" w:cs="Times New Roman"/>
                      <w:bCs/>
                      <w:color w:val="auto"/>
                      <w:kern w:val="0"/>
                      <w:sz w:val="21"/>
                      <w:szCs w:val="21"/>
                      <w:u w:val="none" w:color="auto"/>
                    </w:rPr>
                    <w:t>生活</w:t>
                  </w:r>
                </w:p>
              </w:tc>
              <w:tc>
                <w:tcPr>
                  <w:tcW w:w="732" w:type="pct"/>
                  <w:tcMar>
                    <w:top w:w="57" w:type="dxa"/>
                    <w:bottom w:w="57" w:type="dxa"/>
                  </w:tcMar>
                  <w:vAlign w:val="center"/>
                </w:tcPr>
                <w:p w14:paraId="05273277">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lang w:val="en-US" w:eastAsia="zh-CN"/>
                    </w:rPr>
                    <w:t>教职工及学生日常</w:t>
                  </w:r>
                  <w:r>
                    <w:rPr>
                      <w:rFonts w:hint="default" w:ascii="Times New Roman" w:hAnsi="Times New Roman" w:eastAsia="宋体" w:cs="Times New Roman"/>
                      <w:bCs/>
                      <w:color w:val="auto"/>
                      <w:kern w:val="0"/>
                      <w:sz w:val="21"/>
                      <w:szCs w:val="21"/>
                      <w:u w:val="none" w:color="auto"/>
                    </w:rPr>
                    <w:t>生活垃圾</w:t>
                  </w:r>
                </w:p>
              </w:tc>
              <w:tc>
                <w:tcPr>
                  <w:tcW w:w="2419" w:type="pct"/>
                  <w:tcMar>
                    <w:top w:w="57" w:type="dxa"/>
                    <w:bottom w:w="57" w:type="dxa"/>
                  </w:tcMar>
                  <w:vAlign w:val="center"/>
                </w:tcPr>
                <w:p w14:paraId="3C938122">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rPr>
                    <w:t>分类收集后交由环卫部门运至垃圾中转站处理</w:t>
                  </w:r>
                </w:p>
              </w:tc>
              <w:tc>
                <w:tcPr>
                  <w:tcW w:w="415" w:type="pct"/>
                  <w:vAlign w:val="center"/>
                </w:tcPr>
                <w:p w14:paraId="1BA43E18">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0.5</w:t>
                  </w:r>
                </w:p>
              </w:tc>
            </w:tr>
            <w:tr w14:paraId="7445B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257" w:type="pct"/>
                  <w:vMerge w:val="continue"/>
                  <w:tcMar>
                    <w:top w:w="57" w:type="dxa"/>
                    <w:bottom w:w="57" w:type="dxa"/>
                  </w:tcMar>
                  <w:vAlign w:val="center"/>
                </w:tcPr>
                <w:p w14:paraId="2874DAD5">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p>
              </w:tc>
              <w:tc>
                <w:tcPr>
                  <w:tcW w:w="1174" w:type="pct"/>
                  <w:gridSpan w:val="2"/>
                  <w:tcMar>
                    <w:top w:w="57" w:type="dxa"/>
                    <w:bottom w:w="57" w:type="dxa"/>
                  </w:tcMar>
                  <w:vAlign w:val="center"/>
                </w:tcPr>
                <w:p w14:paraId="796C55E0">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rPr>
                    <w:t>化粪池</w:t>
                  </w:r>
                </w:p>
              </w:tc>
              <w:tc>
                <w:tcPr>
                  <w:tcW w:w="732" w:type="pct"/>
                  <w:tcMar>
                    <w:top w:w="57" w:type="dxa"/>
                    <w:bottom w:w="57" w:type="dxa"/>
                  </w:tcMar>
                  <w:vAlign w:val="center"/>
                </w:tcPr>
                <w:p w14:paraId="6B231DE6">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rPr>
                    <w:t>化粪池污泥</w:t>
                  </w:r>
                </w:p>
              </w:tc>
              <w:tc>
                <w:tcPr>
                  <w:tcW w:w="2419" w:type="pct"/>
                  <w:tcMar>
                    <w:top w:w="57" w:type="dxa"/>
                    <w:bottom w:w="57" w:type="dxa"/>
                  </w:tcMar>
                  <w:vAlign w:val="center"/>
                </w:tcPr>
                <w:p w14:paraId="6A087F7C">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rPr>
                    <w:t>定期清掏交由环卫部门处理</w:t>
                  </w:r>
                </w:p>
              </w:tc>
              <w:tc>
                <w:tcPr>
                  <w:tcW w:w="415" w:type="pct"/>
                  <w:vAlign w:val="center"/>
                </w:tcPr>
                <w:p w14:paraId="1835DA40">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0.5</w:t>
                  </w:r>
                </w:p>
              </w:tc>
            </w:tr>
            <w:tr w14:paraId="3669A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 w:type="pct"/>
                  <w:vMerge w:val="continue"/>
                  <w:tcMar>
                    <w:top w:w="57" w:type="dxa"/>
                    <w:bottom w:w="57" w:type="dxa"/>
                  </w:tcMar>
                  <w:vAlign w:val="center"/>
                </w:tcPr>
                <w:p w14:paraId="6B6935AE">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p>
              </w:tc>
              <w:tc>
                <w:tcPr>
                  <w:tcW w:w="1174" w:type="pct"/>
                  <w:gridSpan w:val="2"/>
                  <w:tcMar>
                    <w:top w:w="57" w:type="dxa"/>
                    <w:bottom w:w="57" w:type="dxa"/>
                  </w:tcMar>
                  <w:vAlign w:val="center"/>
                </w:tcPr>
                <w:p w14:paraId="1D09FFB7">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餐厅</w:t>
                  </w:r>
                </w:p>
              </w:tc>
              <w:tc>
                <w:tcPr>
                  <w:tcW w:w="732" w:type="pct"/>
                  <w:tcMar>
                    <w:top w:w="57" w:type="dxa"/>
                    <w:bottom w:w="57" w:type="dxa"/>
                  </w:tcMar>
                  <w:vAlign w:val="center"/>
                </w:tcPr>
                <w:p w14:paraId="5DA81218">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Style w:val="42"/>
                      <w:rFonts w:hint="default" w:ascii="Times New Roman" w:hAnsi="Times New Roman" w:eastAsia="宋体" w:cs="Times New Roman"/>
                      <w:color w:val="auto"/>
                      <w:kern w:val="0"/>
                      <w:sz w:val="21"/>
                      <w:szCs w:val="21"/>
                      <w:u w:val="none" w:color="auto"/>
                    </w:rPr>
                    <w:t>餐厨垃圾</w:t>
                  </w:r>
                </w:p>
              </w:tc>
              <w:tc>
                <w:tcPr>
                  <w:tcW w:w="2419" w:type="pct"/>
                  <w:tcMar>
                    <w:top w:w="57" w:type="dxa"/>
                    <w:bottom w:w="57" w:type="dxa"/>
                  </w:tcMar>
                  <w:vAlign w:val="center"/>
                </w:tcPr>
                <w:p w14:paraId="0DE6B4A6">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rPr>
                    <w:t>分类收集后交由环卫部门运至垃圾中转站进行处理</w:t>
                  </w:r>
                </w:p>
              </w:tc>
              <w:tc>
                <w:tcPr>
                  <w:tcW w:w="415" w:type="pct"/>
                  <w:vAlign w:val="center"/>
                </w:tcPr>
                <w:p w14:paraId="205ED2C2">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0.5</w:t>
                  </w:r>
                </w:p>
              </w:tc>
            </w:tr>
            <w:tr w14:paraId="1FF50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 w:type="pct"/>
                  <w:vMerge w:val="continue"/>
                  <w:tcMar>
                    <w:top w:w="57" w:type="dxa"/>
                    <w:bottom w:w="57" w:type="dxa"/>
                  </w:tcMar>
                  <w:vAlign w:val="center"/>
                </w:tcPr>
                <w:p w14:paraId="5AE0BFC3">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p>
              </w:tc>
              <w:tc>
                <w:tcPr>
                  <w:tcW w:w="1174" w:type="pct"/>
                  <w:gridSpan w:val="2"/>
                  <w:tcMar>
                    <w:top w:w="57" w:type="dxa"/>
                    <w:bottom w:w="57" w:type="dxa"/>
                  </w:tcMar>
                  <w:vAlign w:val="center"/>
                </w:tcPr>
                <w:p w14:paraId="0132AEB4">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隔油池</w:t>
                  </w:r>
                </w:p>
              </w:tc>
              <w:tc>
                <w:tcPr>
                  <w:tcW w:w="732" w:type="pct"/>
                  <w:tcMar>
                    <w:top w:w="57" w:type="dxa"/>
                    <w:bottom w:w="57" w:type="dxa"/>
                  </w:tcMar>
                  <w:vAlign w:val="center"/>
                </w:tcPr>
                <w:p w14:paraId="023BB964">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Style w:val="42"/>
                      <w:rFonts w:hint="default" w:ascii="Times New Roman" w:hAnsi="Times New Roman" w:eastAsia="宋体" w:cs="Times New Roman"/>
                      <w:color w:val="auto"/>
                      <w:kern w:val="0"/>
                      <w:sz w:val="21"/>
                      <w:szCs w:val="21"/>
                      <w:u w:val="none" w:color="auto"/>
                    </w:rPr>
                    <w:t>隔油池废油脂</w:t>
                  </w:r>
                </w:p>
              </w:tc>
              <w:tc>
                <w:tcPr>
                  <w:tcW w:w="2419" w:type="pct"/>
                  <w:tcMar>
                    <w:top w:w="57" w:type="dxa"/>
                    <w:bottom w:w="57" w:type="dxa"/>
                  </w:tcMar>
                  <w:vAlign w:val="center"/>
                </w:tcPr>
                <w:p w14:paraId="57D97620">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及时清掏后交由环卫部门处理处理</w:t>
                  </w:r>
                </w:p>
              </w:tc>
              <w:tc>
                <w:tcPr>
                  <w:tcW w:w="415" w:type="pct"/>
                  <w:vAlign w:val="center"/>
                </w:tcPr>
                <w:p w14:paraId="7129CA5F">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0.5</w:t>
                  </w:r>
                </w:p>
              </w:tc>
            </w:tr>
            <w:tr w14:paraId="08ED3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 w:type="pct"/>
                  <w:vMerge w:val="continue"/>
                  <w:tcMar>
                    <w:top w:w="57" w:type="dxa"/>
                    <w:bottom w:w="57" w:type="dxa"/>
                  </w:tcMar>
                  <w:vAlign w:val="center"/>
                </w:tcPr>
                <w:p w14:paraId="051EDAD5">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p>
              </w:tc>
              <w:tc>
                <w:tcPr>
                  <w:tcW w:w="1174" w:type="pct"/>
                  <w:gridSpan w:val="2"/>
                  <w:tcMar>
                    <w:top w:w="57" w:type="dxa"/>
                    <w:bottom w:w="57" w:type="dxa"/>
                  </w:tcMar>
                  <w:vAlign w:val="center"/>
                </w:tcPr>
                <w:p w14:paraId="603E27FE">
                  <w:pPr>
                    <w:pStyle w:val="88"/>
                    <w:keepNext w:val="0"/>
                    <w:keepLines w:val="0"/>
                    <w:pageBreakBefore w:val="0"/>
                    <w:wordWrap/>
                    <w:overflowPunct/>
                    <w:topLinePunct w:val="0"/>
                    <w:bidi w:val="0"/>
                    <w:snapToGrid w:val="0"/>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sz w:val="21"/>
                      <w:szCs w:val="21"/>
                      <w:u w:val="none" w:color="auto"/>
                    </w:rPr>
                    <w:t>有机废气治理设施</w:t>
                  </w:r>
                </w:p>
              </w:tc>
              <w:tc>
                <w:tcPr>
                  <w:tcW w:w="732" w:type="pct"/>
                  <w:tcMar>
                    <w:top w:w="57" w:type="dxa"/>
                    <w:bottom w:w="57" w:type="dxa"/>
                  </w:tcMar>
                  <w:vAlign w:val="center"/>
                </w:tcPr>
                <w:p w14:paraId="00AD5E75">
                  <w:pPr>
                    <w:keepNext w:val="0"/>
                    <w:keepLines w:val="0"/>
                    <w:pageBreakBefore w:val="0"/>
                    <w:wordWrap/>
                    <w:overflowPunct/>
                    <w:topLinePunct w:val="0"/>
                    <w:bidi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废活性炭</w:t>
                  </w:r>
                </w:p>
              </w:tc>
              <w:tc>
                <w:tcPr>
                  <w:tcW w:w="2419" w:type="pct"/>
                  <w:vMerge w:val="restart"/>
                  <w:tcMar>
                    <w:top w:w="57" w:type="dxa"/>
                    <w:bottom w:w="57" w:type="dxa"/>
                  </w:tcMar>
                  <w:vAlign w:val="center"/>
                </w:tcPr>
                <w:p w14:paraId="0B3D8744">
                  <w:pPr>
                    <w:pStyle w:val="88"/>
                    <w:keepNext w:val="0"/>
                    <w:keepLines w:val="0"/>
                    <w:pageBreakBefore w:val="0"/>
                    <w:wordWrap/>
                    <w:overflowPunct/>
                    <w:topLinePunct w:val="0"/>
                    <w:bidi w:val="0"/>
                    <w:snapToGrid w:val="0"/>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sz w:val="21"/>
                      <w:szCs w:val="21"/>
                      <w:u w:val="none" w:color="auto"/>
                      <w:lang w:val="en-US" w:eastAsia="zh-CN"/>
                    </w:rPr>
                    <w:t>分类</w:t>
                  </w:r>
                  <w:r>
                    <w:rPr>
                      <w:rFonts w:hint="default" w:ascii="Times New Roman" w:hAnsi="Times New Roman" w:eastAsia="宋体" w:cs="Times New Roman"/>
                      <w:color w:val="auto"/>
                      <w:sz w:val="21"/>
                      <w:szCs w:val="21"/>
                      <w:u w:val="none" w:color="auto"/>
                    </w:rPr>
                    <w:t>收集于危废暂存间（面积</w:t>
                  </w:r>
                  <w:r>
                    <w:rPr>
                      <w:rFonts w:hint="default" w:ascii="Times New Roman" w:hAnsi="Times New Roman" w:eastAsia="宋体" w:cs="Times New Roman"/>
                      <w:color w:val="auto"/>
                      <w:sz w:val="21"/>
                      <w:szCs w:val="21"/>
                      <w:u w:val="none" w:color="auto"/>
                      <w:lang w:val="en-US" w:eastAsia="zh-CN"/>
                    </w:rPr>
                    <w:t>10</w:t>
                  </w:r>
                  <w:r>
                    <w:rPr>
                      <w:rFonts w:hint="default" w:ascii="Times New Roman" w:hAnsi="Times New Roman" w:eastAsia="宋体" w:cs="Times New Roman"/>
                      <w:color w:val="auto"/>
                      <w:sz w:val="21"/>
                      <w:szCs w:val="21"/>
                      <w:u w:val="none" w:color="auto"/>
                    </w:rPr>
                    <w:t>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rPr>
                    <w:t>，采取“六防”措施），定期交由有危废处理资质单位进行处置</w:t>
                  </w:r>
                </w:p>
              </w:tc>
              <w:tc>
                <w:tcPr>
                  <w:tcW w:w="415" w:type="pct"/>
                  <w:vMerge w:val="restart"/>
                  <w:vAlign w:val="center"/>
                </w:tcPr>
                <w:p w14:paraId="4A4FBD26">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5</w:t>
                  </w:r>
                </w:p>
              </w:tc>
            </w:tr>
            <w:tr w14:paraId="735F0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257" w:type="pct"/>
                  <w:vMerge w:val="continue"/>
                  <w:tcMar>
                    <w:top w:w="57" w:type="dxa"/>
                    <w:bottom w:w="57" w:type="dxa"/>
                  </w:tcMar>
                  <w:vAlign w:val="center"/>
                </w:tcPr>
                <w:p w14:paraId="6ACA490D">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p>
              </w:tc>
              <w:tc>
                <w:tcPr>
                  <w:tcW w:w="1174" w:type="pct"/>
                  <w:gridSpan w:val="2"/>
                  <w:tcMar>
                    <w:top w:w="57" w:type="dxa"/>
                    <w:bottom w:w="57" w:type="dxa"/>
                  </w:tcMar>
                  <w:vAlign w:val="center"/>
                </w:tcPr>
                <w:p w14:paraId="18E59C07">
                  <w:pPr>
                    <w:pStyle w:val="88"/>
                    <w:keepNext w:val="0"/>
                    <w:keepLines w:val="0"/>
                    <w:pageBreakBefore w:val="0"/>
                    <w:wordWrap/>
                    <w:overflowPunct/>
                    <w:topLinePunct w:val="0"/>
                    <w:bidi w:val="0"/>
                    <w:snapToGrid w:val="0"/>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sz w:val="21"/>
                      <w:szCs w:val="21"/>
                      <w:u w:val="none" w:color="auto"/>
                      <w:lang w:val="en-US" w:eastAsia="zh-CN"/>
                    </w:rPr>
                    <w:t>柴油使用过程</w:t>
                  </w:r>
                </w:p>
              </w:tc>
              <w:tc>
                <w:tcPr>
                  <w:tcW w:w="732" w:type="pct"/>
                  <w:tcMar>
                    <w:top w:w="57" w:type="dxa"/>
                    <w:bottom w:w="57" w:type="dxa"/>
                  </w:tcMar>
                  <w:vAlign w:val="center"/>
                </w:tcPr>
                <w:p w14:paraId="41A79E19">
                  <w:pPr>
                    <w:keepNext w:val="0"/>
                    <w:keepLines w:val="0"/>
                    <w:pageBreakBefore w:val="0"/>
                    <w:wordWrap/>
                    <w:overflowPunct/>
                    <w:topLinePunct w:val="0"/>
                    <w:bidi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sz w:val="21"/>
                      <w:szCs w:val="21"/>
                      <w:u w:val="none" w:color="auto"/>
                    </w:rPr>
                    <w:t>废</w:t>
                  </w:r>
                  <w:r>
                    <w:rPr>
                      <w:rFonts w:hint="default" w:ascii="Times New Roman" w:hAnsi="Times New Roman" w:eastAsia="宋体" w:cs="Times New Roman"/>
                      <w:color w:val="auto"/>
                      <w:sz w:val="21"/>
                      <w:szCs w:val="21"/>
                      <w:u w:val="none" w:color="auto"/>
                      <w:lang w:val="en-US" w:eastAsia="zh-CN"/>
                    </w:rPr>
                    <w:t>柴油</w:t>
                  </w:r>
                  <w:r>
                    <w:rPr>
                      <w:rFonts w:hint="default" w:ascii="Times New Roman" w:hAnsi="Times New Roman" w:eastAsia="宋体" w:cs="Times New Roman"/>
                      <w:color w:val="auto"/>
                      <w:sz w:val="21"/>
                      <w:szCs w:val="21"/>
                      <w:u w:val="none" w:color="auto"/>
                    </w:rPr>
                    <w:t>桶</w:t>
                  </w:r>
                </w:p>
              </w:tc>
              <w:tc>
                <w:tcPr>
                  <w:tcW w:w="2419" w:type="pct"/>
                  <w:vMerge w:val="continue"/>
                  <w:tcMar>
                    <w:top w:w="57" w:type="dxa"/>
                    <w:bottom w:w="57" w:type="dxa"/>
                  </w:tcMar>
                  <w:vAlign w:val="center"/>
                </w:tcPr>
                <w:p w14:paraId="3CBD10CC">
                  <w:pPr>
                    <w:pStyle w:val="88"/>
                    <w:keepNext w:val="0"/>
                    <w:keepLines w:val="0"/>
                    <w:pageBreakBefore w:val="0"/>
                    <w:wordWrap/>
                    <w:overflowPunct/>
                    <w:topLinePunct w:val="0"/>
                    <w:bidi w:val="0"/>
                    <w:snapToGrid w:val="0"/>
                    <w:rPr>
                      <w:rFonts w:hint="default" w:ascii="Times New Roman" w:hAnsi="Times New Roman" w:eastAsia="宋体" w:cs="Times New Roman"/>
                      <w:color w:val="auto"/>
                      <w:kern w:val="0"/>
                      <w:sz w:val="21"/>
                      <w:szCs w:val="21"/>
                      <w:u w:val="none" w:color="auto"/>
                    </w:rPr>
                  </w:pPr>
                </w:p>
              </w:tc>
              <w:tc>
                <w:tcPr>
                  <w:tcW w:w="415" w:type="pct"/>
                  <w:vMerge w:val="continue"/>
                  <w:vAlign w:val="center"/>
                </w:tcPr>
                <w:p w14:paraId="1B893E91">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p>
              </w:tc>
            </w:tr>
            <w:tr w14:paraId="41AF9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 w:type="pct"/>
                  <w:vMerge w:val="continue"/>
                  <w:tcMar>
                    <w:top w:w="57" w:type="dxa"/>
                    <w:bottom w:w="57" w:type="dxa"/>
                  </w:tcMar>
                  <w:vAlign w:val="center"/>
                </w:tcPr>
                <w:p w14:paraId="14D07F37">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p>
              </w:tc>
              <w:tc>
                <w:tcPr>
                  <w:tcW w:w="1174" w:type="pct"/>
                  <w:gridSpan w:val="2"/>
                  <w:tcMar>
                    <w:top w:w="57" w:type="dxa"/>
                    <w:bottom w:w="57" w:type="dxa"/>
                  </w:tcMar>
                  <w:vAlign w:val="center"/>
                </w:tcPr>
                <w:p w14:paraId="597D7789">
                  <w:pPr>
                    <w:pStyle w:val="88"/>
                    <w:keepNext w:val="0"/>
                    <w:keepLines w:val="0"/>
                    <w:pageBreakBefore w:val="0"/>
                    <w:wordWrap/>
                    <w:overflowPunct/>
                    <w:topLinePunct w:val="0"/>
                    <w:bidi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实验课使用过程</w:t>
                  </w:r>
                </w:p>
              </w:tc>
              <w:tc>
                <w:tcPr>
                  <w:tcW w:w="732" w:type="pct"/>
                  <w:tcMar>
                    <w:top w:w="57" w:type="dxa"/>
                    <w:bottom w:w="57" w:type="dxa"/>
                  </w:tcMar>
                  <w:vAlign w:val="center"/>
                </w:tcPr>
                <w:p w14:paraId="2FC8E27A">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实验室危险废物</w:t>
                  </w:r>
                </w:p>
              </w:tc>
              <w:tc>
                <w:tcPr>
                  <w:tcW w:w="2419" w:type="pct"/>
                  <w:vMerge w:val="continue"/>
                  <w:tcMar>
                    <w:top w:w="57" w:type="dxa"/>
                    <w:bottom w:w="57" w:type="dxa"/>
                  </w:tcMar>
                  <w:vAlign w:val="center"/>
                </w:tcPr>
                <w:p w14:paraId="729A29EB">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p>
              </w:tc>
              <w:tc>
                <w:tcPr>
                  <w:tcW w:w="415" w:type="pct"/>
                  <w:vMerge w:val="continue"/>
                  <w:vAlign w:val="center"/>
                </w:tcPr>
                <w:p w14:paraId="5B191622">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p>
              </w:tc>
            </w:tr>
            <w:tr w14:paraId="2D774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 w:type="pct"/>
                  <w:tcMar>
                    <w:top w:w="57" w:type="dxa"/>
                    <w:bottom w:w="57" w:type="dxa"/>
                  </w:tcMar>
                  <w:vAlign w:val="center"/>
                </w:tcPr>
                <w:p w14:paraId="72F2B8D1">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噪声</w:t>
                  </w:r>
                </w:p>
              </w:tc>
              <w:tc>
                <w:tcPr>
                  <w:tcW w:w="1174" w:type="pct"/>
                  <w:gridSpan w:val="2"/>
                  <w:tcMar>
                    <w:top w:w="57" w:type="dxa"/>
                    <w:bottom w:w="57" w:type="dxa"/>
                  </w:tcMar>
                  <w:vAlign w:val="center"/>
                </w:tcPr>
                <w:p w14:paraId="3FDE2699">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二级活性炭配套风机等</w:t>
                  </w:r>
                  <w:r>
                    <w:rPr>
                      <w:rFonts w:hint="default" w:ascii="Times New Roman" w:hAnsi="Times New Roman" w:eastAsia="宋体" w:cs="Times New Roman"/>
                      <w:color w:val="auto"/>
                      <w:sz w:val="21"/>
                      <w:szCs w:val="21"/>
                      <w:u w:val="none" w:color="auto"/>
                    </w:rPr>
                    <w:t>设备运行过程产生的噪声</w:t>
                  </w:r>
                </w:p>
              </w:tc>
              <w:tc>
                <w:tcPr>
                  <w:tcW w:w="732" w:type="pct"/>
                  <w:tcMar>
                    <w:top w:w="57" w:type="dxa"/>
                    <w:bottom w:w="57" w:type="dxa"/>
                  </w:tcMar>
                  <w:vAlign w:val="center"/>
                </w:tcPr>
                <w:p w14:paraId="31799E73">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机械噪声</w:t>
                  </w:r>
                </w:p>
              </w:tc>
              <w:tc>
                <w:tcPr>
                  <w:tcW w:w="2419" w:type="pct"/>
                  <w:tcMar>
                    <w:top w:w="57" w:type="dxa"/>
                    <w:bottom w:w="57" w:type="dxa"/>
                  </w:tcMar>
                  <w:vAlign w:val="center"/>
                </w:tcPr>
                <w:p w14:paraId="26332D34">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安装减振、隔声降噪、废气治理设施风机设置隔声间措施；加强对设备进行维修，保证设备正常工作</w:t>
                  </w:r>
                </w:p>
              </w:tc>
              <w:tc>
                <w:tcPr>
                  <w:tcW w:w="415" w:type="pct"/>
                  <w:vAlign w:val="center"/>
                </w:tcPr>
                <w:p w14:paraId="1C526540">
                  <w:pPr>
                    <w:keepNext w:val="0"/>
                    <w:keepLines w:val="0"/>
                    <w:pageBreakBefore w:val="0"/>
                    <w:wordWrap/>
                    <w:overflowPunct/>
                    <w:topLinePunct w:val="0"/>
                    <w:bidi w:val="0"/>
                    <w:snapToGrid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5</w:t>
                  </w:r>
                </w:p>
              </w:tc>
            </w:tr>
            <w:tr w14:paraId="6C8D6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 w:type="pct"/>
                  <w:vMerge w:val="restart"/>
                  <w:tcMar>
                    <w:top w:w="57" w:type="dxa"/>
                    <w:bottom w:w="57" w:type="dxa"/>
                  </w:tcMar>
                  <w:vAlign w:val="center"/>
                </w:tcPr>
                <w:p w14:paraId="6DA70703">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其他</w:t>
                  </w:r>
                </w:p>
              </w:tc>
              <w:tc>
                <w:tcPr>
                  <w:tcW w:w="1907" w:type="pct"/>
                  <w:gridSpan w:val="3"/>
                  <w:vMerge w:val="restart"/>
                  <w:tcMar>
                    <w:top w:w="57" w:type="dxa"/>
                    <w:bottom w:w="57" w:type="dxa"/>
                  </w:tcMar>
                  <w:vAlign w:val="center"/>
                </w:tcPr>
                <w:p w14:paraId="6BE8082D">
                  <w:pPr>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风险防范措施</w:t>
                  </w:r>
                </w:p>
              </w:tc>
              <w:tc>
                <w:tcPr>
                  <w:tcW w:w="2419" w:type="pct"/>
                  <w:tcMar>
                    <w:top w:w="57" w:type="dxa"/>
                    <w:bottom w:w="57" w:type="dxa"/>
                  </w:tcMar>
                  <w:vAlign w:val="center"/>
                </w:tcPr>
                <w:p w14:paraId="3B362BC9">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车间设置禁火标识，在仓库以及危废暂存间配备消防沙、灭火器等消防器材</w:t>
                  </w:r>
                </w:p>
              </w:tc>
              <w:tc>
                <w:tcPr>
                  <w:tcW w:w="415" w:type="pct"/>
                  <w:vAlign w:val="center"/>
                </w:tcPr>
                <w:p w14:paraId="2F87605F">
                  <w:pPr>
                    <w:keepNext w:val="0"/>
                    <w:keepLines w:val="0"/>
                    <w:pageBreakBefore w:val="0"/>
                    <w:wordWrap/>
                    <w:overflowPunct/>
                    <w:topLinePunct w:val="0"/>
                    <w:bidi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sz w:val="21"/>
                      <w:szCs w:val="21"/>
                      <w:u w:val="none" w:color="auto"/>
                    </w:rPr>
                    <w:t>5</w:t>
                  </w:r>
                </w:p>
              </w:tc>
            </w:tr>
            <w:tr w14:paraId="3D9BC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 w:type="pct"/>
                  <w:vMerge w:val="continue"/>
                  <w:tcMar>
                    <w:top w:w="57" w:type="dxa"/>
                    <w:bottom w:w="57" w:type="dxa"/>
                  </w:tcMar>
                  <w:vAlign w:val="center"/>
                </w:tcPr>
                <w:p w14:paraId="4B7BF9FB">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p>
              </w:tc>
              <w:tc>
                <w:tcPr>
                  <w:tcW w:w="1907" w:type="pct"/>
                  <w:gridSpan w:val="3"/>
                  <w:vMerge w:val="continue"/>
                  <w:tcMar>
                    <w:top w:w="57" w:type="dxa"/>
                    <w:bottom w:w="57" w:type="dxa"/>
                  </w:tcMar>
                  <w:vAlign w:val="center"/>
                </w:tcPr>
                <w:p w14:paraId="72B5DA41">
                  <w:pPr>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p>
              </w:tc>
              <w:tc>
                <w:tcPr>
                  <w:tcW w:w="2419" w:type="pct"/>
                  <w:tcMar>
                    <w:top w:w="57" w:type="dxa"/>
                    <w:bottom w:w="57" w:type="dxa"/>
                  </w:tcMar>
                  <w:vAlign w:val="center"/>
                </w:tcPr>
                <w:p w14:paraId="720D5E33">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制定针对车间、仓库火灾的现场应急处置方案，加强员工生产安全培训及事故应急处理培训</w:t>
                  </w:r>
                </w:p>
              </w:tc>
              <w:tc>
                <w:tcPr>
                  <w:tcW w:w="415" w:type="pct"/>
                  <w:vAlign w:val="center"/>
                </w:tcPr>
                <w:p w14:paraId="15F007C8">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w:t>
                  </w:r>
                </w:p>
              </w:tc>
            </w:tr>
            <w:tr w14:paraId="4A146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 w:type="pct"/>
                  <w:vMerge w:val="continue"/>
                  <w:tcMar>
                    <w:top w:w="57" w:type="dxa"/>
                    <w:bottom w:w="57" w:type="dxa"/>
                  </w:tcMar>
                  <w:vAlign w:val="center"/>
                </w:tcPr>
                <w:p w14:paraId="729A0C83">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p>
              </w:tc>
              <w:tc>
                <w:tcPr>
                  <w:tcW w:w="1907" w:type="pct"/>
                  <w:gridSpan w:val="3"/>
                  <w:vMerge w:val="continue"/>
                  <w:tcMar>
                    <w:top w:w="57" w:type="dxa"/>
                    <w:bottom w:w="57" w:type="dxa"/>
                  </w:tcMar>
                  <w:vAlign w:val="center"/>
                </w:tcPr>
                <w:p w14:paraId="724EA15D">
                  <w:pPr>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p>
              </w:tc>
              <w:tc>
                <w:tcPr>
                  <w:tcW w:w="2419" w:type="pct"/>
                  <w:tcMar>
                    <w:top w:w="57" w:type="dxa"/>
                    <w:bottom w:w="57" w:type="dxa"/>
                  </w:tcMar>
                  <w:vAlign w:val="center"/>
                </w:tcPr>
                <w:p w14:paraId="78E59455">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设置1座100m</w:t>
                  </w:r>
                  <w:r>
                    <w:rPr>
                      <w:rFonts w:hint="default" w:ascii="Times New Roman" w:hAnsi="Times New Roman" w:eastAsia="宋体" w:cs="Times New Roman"/>
                      <w:color w:val="auto"/>
                      <w:sz w:val="21"/>
                      <w:szCs w:val="21"/>
                      <w:u w:val="none" w:color="auto"/>
                      <w:vertAlign w:val="superscript"/>
                    </w:rPr>
                    <w:t>3</w:t>
                  </w:r>
                  <w:r>
                    <w:rPr>
                      <w:rFonts w:hint="default" w:ascii="Times New Roman" w:hAnsi="Times New Roman" w:eastAsia="宋体" w:cs="Times New Roman"/>
                      <w:color w:val="auto"/>
                      <w:sz w:val="21"/>
                      <w:szCs w:val="21"/>
                      <w:u w:val="none" w:color="auto"/>
                    </w:rPr>
                    <w:t>的消防废水池</w:t>
                  </w:r>
                </w:p>
              </w:tc>
              <w:tc>
                <w:tcPr>
                  <w:tcW w:w="415" w:type="pct"/>
                  <w:vAlign w:val="center"/>
                </w:tcPr>
                <w:p w14:paraId="35EED1F3">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30</w:t>
                  </w:r>
                </w:p>
              </w:tc>
            </w:tr>
            <w:tr w14:paraId="79996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 w:type="pct"/>
                  <w:vMerge w:val="continue"/>
                  <w:tcMar>
                    <w:top w:w="57" w:type="dxa"/>
                    <w:bottom w:w="57" w:type="dxa"/>
                  </w:tcMar>
                  <w:vAlign w:val="center"/>
                </w:tcPr>
                <w:p w14:paraId="25C06D5E">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p>
              </w:tc>
              <w:tc>
                <w:tcPr>
                  <w:tcW w:w="1907" w:type="pct"/>
                  <w:gridSpan w:val="3"/>
                  <w:vMerge w:val="continue"/>
                  <w:tcMar>
                    <w:top w:w="57" w:type="dxa"/>
                    <w:bottom w:w="57" w:type="dxa"/>
                  </w:tcMar>
                  <w:vAlign w:val="center"/>
                </w:tcPr>
                <w:p w14:paraId="7400BB3F">
                  <w:pPr>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p>
              </w:tc>
              <w:tc>
                <w:tcPr>
                  <w:tcW w:w="2419" w:type="pct"/>
                  <w:tcMar>
                    <w:top w:w="57" w:type="dxa"/>
                    <w:bottom w:w="57" w:type="dxa"/>
                  </w:tcMar>
                  <w:vAlign w:val="center"/>
                </w:tcPr>
                <w:p w14:paraId="7C1ED004">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设置1座0.</w:t>
                  </w:r>
                  <w:r>
                    <w:rPr>
                      <w:rFonts w:hint="default" w:ascii="Times New Roman" w:hAnsi="Times New Roman" w:eastAsia="宋体" w:cs="Times New Roman"/>
                      <w:color w:val="auto"/>
                      <w:sz w:val="21"/>
                      <w:szCs w:val="21"/>
                      <w:u w:val="none" w:color="auto"/>
                      <w:lang w:val="en-US" w:eastAsia="zh-CN"/>
                    </w:rPr>
                    <w:t>5</w:t>
                  </w:r>
                  <w:r>
                    <w:rPr>
                      <w:rFonts w:hint="default" w:ascii="Times New Roman" w:hAnsi="Times New Roman" w:eastAsia="宋体" w:cs="Times New Roman"/>
                      <w:color w:val="auto"/>
                      <w:sz w:val="21"/>
                      <w:szCs w:val="21"/>
                      <w:u w:val="none" w:color="auto"/>
                    </w:rPr>
                    <w:t>m</w:t>
                  </w:r>
                  <w:r>
                    <w:rPr>
                      <w:rFonts w:hint="default" w:ascii="Times New Roman" w:hAnsi="Times New Roman" w:eastAsia="宋体" w:cs="Times New Roman"/>
                      <w:color w:val="auto"/>
                      <w:sz w:val="21"/>
                      <w:szCs w:val="21"/>
                      <w:u w:val="none" w:color="auto"/>
                      <w:vertAlign w:val="superscript"/>
                    </w:rPr>
                    <w:t>3</w:t>
                  </w:r>
                  <w:r>
                    <w:rPr>
                      <w:rFonts w:hint="default" w:ascii="Times New Roman" w:hAnsi="Times New Roman" w:eastAsia="宋体" w:cs="Times New Roman"/>
                      <w:color w:val="auto"/>
                      <w:sz w:val="21"/>
                      <w:szCs w:val="21"/>
                      <w:u w:val="none" w:color="auto"/>
                    </w:rPr>
                    <w:t>的事故收集池</w:t>
                  </w:r>
                </w:p>
              </w:tc>
              <w:tc>
                <w:tcPr>
                  <w:tcW w:w="415" w:type="pct"/>
                  <w:vAlign w:val="center"/>
                </w:tcPr>
                <w:p w14:paraId="70655AC4">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w:t>
                  </w:r>
                </w:p>
              </w:tc>
            </w:tr>
            <w:tr w14:paraId="47C1D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 w:type="pct"/>
                  <w:vMerge w:val="continue"/>
                  <w:tcMar>
                    <w:top w:w="57" w:type="dxa"/>
                    <w:bottom w:w="57" w:type="dxa"/>
                  </w:tcMar>
                  <w:vAlign w:val="center"/>
                </w:tcPr>
                <w:p w14:paraId="78659399">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p>
              </w:tc>
              <w:tc>
                <w:tcPr>
                  <w:tcW w:w="1907" w:type="pct"/>
                  <w:gridSpan w:val="3"/>
                  <w:vMerge w:val="continue"/>
                  <w:tcMar>
                    <w:top w:w="57" w:type="dxa"/>
                    <w:bottom w:w="57" w:type="dxa"/>
                  </w:tcMar>
                  <w:vAlign w:val="center"/>
                </w:tcPr>
                <w:p w14:paraId="4545DE27">
                  <w:pPr>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p>
              </w:tc>
              <w:tc>
                <w:tcPr>
                  <w:tcW w:w="2419" w:type="pct"/>
                  <w:tcMar>
                    <w:top w:w="57" w:type="dxa"/>
                    <w:bottom w:w="57" w:type="dxa"/>
                  </w:tcMar>
                  <w:vAlign w:val="center"/>
                </w:tcPr>
                <w:p w14:paraId="25F60C3D">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原料仓库四周设置围堰、危废暂存间设置围堰</w:t>
                  </w:r>
                </w:p>
              </w:tc>
              <w:tc>
                <w:tcPr>
                  <w:tcW w:w="415" w:type="pct"/>
                  <w:vAlign w:val="center"/>
                </w:tcPr>
                <w:p w14:paraId="5A64A0FB">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5</w:t>
                  </w:r>
                </w:p>
              </w:tc>
            </w:tr>
            <w:tr w14:paraId="43254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 w:type="pct"/>
                  <w:vMerge w:val="continue"/>
                  <w:tcMar>
                    <w:top w:w="57" w:type="dxa"/>
                    <w:bottom w:w="57" w:type="dxa"/>
                  </w:tcMar>
                  <w:vAlign w:val="center"/>
                </w:tcPr>
                <w:p w14:paraId="055C6DC3">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p>
              </w:tc>
              <w:tc>
                <w:tcPr>
                  <w:tcW w:w="1907" w:type="pct"/>
                  <w:gridSpan w:val="3"/>
                  <w:tcMar>
                    <w:top w:w="57" w:type="dxa"/>
                    <w:bottom w:w="57" w:type="dxa"/>
                  </w:tcMar>
                  <w:vAlign w:val="center"/>
                </w:tcPr>
                <w:p w14:paraId="69BB2573">
                  <w:pPr>
                    <w:keepNext w:val="0"/>
                    <w:keepLines w:val="0"/>
                    <w:pageBreakBefore w:val="0"/>
                    <w:wordWrap/>
                    <w:overflowPunct/>
                    <w:topLinePunct w:val="0"/>
                    <w:bidi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地下水、土壤防渗措施</w:t>
                  </w:r>
                </w:p>
              </w:tc>
              <w:tc>
                <w:tcPr>
                  <w:tcW w:w="2419" w:type="pct"/>
                  <w:tcMar>
                    <w:top w:w="57" w:type="dxa"/>
                    <w:bottom w:w="57" w:type="dxa"/>
                  </w:tcMar>
                  <w:vAlign w:val="center"/>
                </w:tcPr>
                <w:p w14:paraId="20CFE2DD">
                  <w:pPr>
                    <w:keepNext w:val="0"/>
                    <w:keepLines w:val="0"/>
                    <w:pageBreakBefore w:val="0"/>
                    <w:wordWrap/>
                    <w:overflowPunct/>
                    <w:topLinePunct w:val="0"/>
                    <w:bidi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根据本次评价防渗分区要求进行分区防渗</w:t>
                  </w:r>
                </w:p>
              </w:tc>
              <w:tc>
                <w:tcPr>
                  <w:tcW w:w="415" w:type="pct"/>
                  <w:vAlign w:val="center"/>
                </w:tcPr>
                <w:p w14:paraId="76985C9E">
                  <w:pPr>
                    <w:keepNext w:val="0"/>
                    <w:keepLines w:val="0"/>
                    <w:pageBreakBefore w:val="0"/>
                    <w:wordWrap/>
                    <w:overflowPunct/>
                    <w:topLinePunct w:val="0"/>
                    <w:bidi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sz w:val="21"/>
                      <w:szCs w:val="21"/>
                      <w:u w:val="none" w:color="auto"/>
                    </w:rPr>
                    <w:t>40</w:t>
                  </w:r>
                </w:p>
              </w:tc>
            </w:tr>
            <w:tr w14:paraId="1D324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84" w:type="pct"/>
                  <w:gridSpan w:val="5"/>
                  <w:tcMar>
                    <w:top w:w="57" w:type="dxa"/>
                    <w:bottom w:w="57" w:type="dxa"/>
                  </w:tcMar>
                  <w:vAlign w:val="center"/>
                </w:tcPr>
                <w:p w14:paraId="71EFA41C">
                  <w:pPr>
                    <w:keepNext w:val="0"/>
                    <w:keepLines w:val="0"/>
                    <w:pageBreakBefore w:val="0"/>
                    <w:wordWrap/>
                    <w:overflowPunct/>
                    <w:topLinePunct w:val="0"/>
                    <w:bidi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合计</w:t>
                  </w:r>
                </w:p>
              </w:tc>
              <w:tc>
                <w:tcPr>
                  <w:tcW w:w="415" w:type="pct"/>
                  <w:vAlign w:val="center"/>
                </w:tcPr>
                <w:p w14:paraId="3A7F633F">
                  <w:pPr>
                    <w:keepNext w:val="0"/>
                    <w:keepLines w:val="0"/>
                    <w:pageBreakBefore w:val="0"/>
                    <w:wordWrap/>
                    <w:overflowPunct/>
                    <w:topLinePunct w:val="0"/>
                    <w:bidi w:val="0"/>
                    <w:snapToGrid w:val="0"/>
                    <w:jc w:val="center"/>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eastAsia="宋体" w:cs="Times New Roman"/>
                      <w:color w:val="auto"/>
                      <w:kern w:val="0"/>
                      <w:sz w:val="21"/>
                      <w:szCs w:val="21"/>
                      <w:u w:val="none" w:color="auto"/>
                      <w:lang w:val="en-US" w:eastAsia="zh-CN"/>
                    </w:rPr>
                    <w:t>120</w:t>
                  </w:r>
                </w:p>
              </w:tc>
            </w:tr>
          </w:tbl>
          <w:p w14:paraId="6365D732">
            <w:pPr>
              <w:adjustRightInd w:val="0"/>
              <w:snapToGrid w:val="0"/>
              <w:spacing w:line="360" w:lineRule="auto"/>
              <w:rPr>
                <w:rFonts w:hint="default" w:ascii="Times New Roman" w:hAnsi="Times New Roman" w:cs="Times New Roman"/>
                <w:b/>
                <w:bCs/>
                <w:color w:val="auto"/>
                <w:spacing w:val="-10"/>
                <w:sz w:val="24"/>
                <w:highlight w:val="none"/>
                <w:u w:val="none" w:color="auto"/>
              </w:rPr>
            </w:pPr>
          </w:p>
        </w:tc>
      </w:tr>
    </w:tbl>
    <w:p w14:paraId="39AB4AC7">
      <w:pPr>
        <w:adjustRightInd w:val="0"/>
        <w:snapToGrid w:val="0"/>
        <w:spacing w:line="360" w:lineRule="auto"/>
        <w:rPr>
          <w:rFonts w:hint="default" w:ascii="Times New Roman" w:hAnsi="Times New Roman" w:cs="Times New Roman"/>
          <w:b/>
          <w:color w:val="auto"/>
          <w:kern w:val="0"/>
          <w:sz w:val="28"/>
          <w:szCs w:val="28"/>
          <w:highlight w:val="none"/>
          <w:u w:val="none" w:color="auto"/>
        </w:rPr>
        <w:sectPr>
          <w:pgSz w:w="11907" w:h="16840"/>
          <w:pgMar w:top="1701" w:right="1531" w:bottom="2127" w:left="1531" w:header="851" w:footer="851" w:gutter="0"/>
          <w:cols w:space="720" w:num="1"/>
          <w:docGrid w:linePitch="312" w:charSpace="0"/>
        </w:sectPr>
      </w:pPr>
    </w:p>
    <w:p w14:paraId="2BDFEFFD">
      <w:pPr>
        <w:pStyle w:val="2"/>
        <w:rPr>
          <w:rFonts w:hint="default" w:ascii="Times New Roman" w:hAnsi="Times New Roman" w:cs="Times New Roman"/>
          <w:color w:val="auto"/>
          <w:highlight w:val="none"/>
          <w:u w:val="none" w:color="auto"/>
        </w:rPr>
      </w:pPr>
      <w:bookmarkStart w:id="101" w:name="_Toc19740"/>
      <w:bookmarkStart w:id="102" w:name="_Toc32166"/>
      <w:bookmarkStart w:id="103" w:name="_Toc32698"/>
      <w:bookmarkStart w:id="104" w:name="_Toc10985"/>
      <w:bookmarkStart w:id="105" w:name="_Toc15214"/>
      <w:bookmarkStart w:id="106" w:name="_Toc14490"/>
      <w:r>
        <w:rPr>
          <w:rFonts w:hint="default" w:ascii="Times New Roman" w:hAnsi="Times New Roman" w:cs="Times New Roman"/>
          <w:color w:val="auto"/>
          <w:highlight w:val="none"/>
          <w:u w:val="none" w:color="auto"/>
        </w:rPr>
        <w:t>五、环境保护措施监督检查清单</w:t>
      </w:r>
      <w:bookmarkEnd w:id="101"/>
      <w:bookmarkEnd w:id="102"/>
      <w:bookmarkEnd w:id="103"/>
      <w:bookmarkEnd w:id="104"/>
      <w:bookmarkEnd w:id="105"/>
      <w:bookmarkEnd w:id="106"/>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9"/>
        <w:gridCol w:w="426"/>
        <w:gridCol w:w="698"/>
        <w:gridCol w:w="1086"/>
        <w:gridCol w:w="3262"/>
        <w:gridCol w:w="2909"/>
      </w:tblGrid>
      <w:tr w14:paraId="591DE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Align w:val="center"/>
          </w:tcPr>
          <w:p w14:paraId="23652FF4">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p w14:paraId="52A3ACAE">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p w14:paraId="7F0EE4D0">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要素</w:t>
            </w:r>
          </w:p>
          <w:p w14:paraId="03998E24">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内容</w:t>
            </w:r>
          </w:p>
          <w:p w14:paraId="0ED2622F">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620" w:type="pct"/>
            <w:gridSpan w:val="2"/>
            <w:vAlign w:val="center"/>
          </w:tcPr>
          <w:p w14:paraId="3EA9C8DE">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排放口(编号、名称)/污染源</w:t>
            </w:r>
          </w:p>
        </w:tc>
        <w:tc>
          <w:tcPr>
            <w:tcW w:w="599" w:type="pct"/>
            <w:vAlign w:val="center"/>
          </w:tcPr>
          <w:p w14:paraId="4AD3099B">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污染物项目</w:t>
            </w:r>
          </w:p>
        </w:tc>
        <w:tc>
          <w:tcPr>
            <w:tcW w:w="1800" w:type="pct"/>
            <w:vAlign w:val="center"/>
          </w:tcPr>
          <w:p w14:paraId="4C281317">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环境保护措施</w:t>
            </w:r>
          </w:p>
        </w:tc>
        <w:tc>
          <w:tcPr>
            <w:tcW w:w="1603" w:type="pct"/>
            <w:vAlign w:val="center"/>
          </w:tcPr>
          <w:p w14:paraId="01E9350E">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执行标准</w:t>
            </w:r>
          </w:p>
        </w:tc>
      </w:tr>
      <w:tr w14:paraId="2F068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restart"/>
            <w:vAlign w:val="center"/>
          </w:tcPr>
          <w:p w14:paraId="22044EF4">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大气环境</w:t>
            </w:r>
          </w:p>
        </w:tc>
        <w:tc>
          <w:tcPr>
            <w:tcW w:w="235" w:type="pct"/>
            <w:vMerge w:val="restart"/>
            <w:vAlign w:val="center"/>
          </w:tcPr>
          <w:p w14:paraId="5DEA2E31">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有组织</w:t>
            </w:r>
          </w:p>
        </w:tc>
        <w:tc>
          <w:tcPr>
            <w:tcW w:w="385" w:type="pct"/>
            <w:vMerge w:val="restart"/>
            <w:vAlign w:val="center"/>
          </w:tcPr>
          <w:p w14:paraId="511AEF66">
            <w:pPr>
              <w:pStyle w:val="149"/>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实验室废气</w:t>
            </w:r>
          </w:p>
        </w:tc>
        <w:tc>
          <w:tcPr>
            <w:tcW w:w="599" w:type="pct"/>
            <w:vMerge w:val="restart"/>
            <w:vAlign w:val="center"/>
          </w:tcPr>
          <w:p w14:paraId="0F9C59FA">
            <w:pPr>
              <w:pStyle w:val="171"/>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rPr>
              <w:t>氯化氢、硫酸雾等</w:t>
            </w:r>
          </w:p>
        </w:tc>
        <w:tc>
          <w:tcPr>
            <w:tcW w:w="1800" w:type="pct"/>
            <w:vMerge w:val="restart"/>
            <w:vAlign w:val="center"/>
          </w:tcPr>
          <w:p w14:paraId="255DA725">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sz w:val="21"/>
                <w:szCs w:val="21"/>
                <w:highlight w:val="none"/>
                <w:u w:val="none" w:color="auto"/>
              </w:rPr>
              <w:t>实验室操作台内安装通风橱，在使用、配备挥发性的试剂时应在通风橱内操作，通风橱进行负压收集，通过通风管道输送到楼顶经二级活性炭吸附装置</w:t>
            </w:r>
            <w:r>
              <w:rPr>
                <w:rFonts w:hint="default" w:ascii="Times New Roman" w:hAnsi="Times New Roman" w:eastAsia="宋体" w:cs="Times New Roman"/>
                <w:bCs/>
                <w:color w:val="auto"/>
                <w:sz w:val="21"/>
                <w:szCs w:val="21"/>
                <w:highlight w:val="none"/>
                <w:u w:val="none" w:color="auto"/>
                <w:lang w:eastAsia="zh-CN"/>
              </w:rPr>
              <w:t>（</w:t>
            </w:r>
            <w:r>
              <w:rPr>
                <w:rFonts w:hint="default" w:ascii="Times New Roman" w:hAnsi="Times New Roman" w:eastAsia="宋体" w:cs="Times New Roman"/>
                <w:bCs/>
                <w:color w:val="auto"/>
                <w:sz w:val="21"/>
                <w:szCs w:val="21"/>
                <w:highlight w:val="none"/>
                <w:u w:val="none" w:color="auto"/>
                <w:lang w:val="en-US" w:eastAsia="zh-CN"/>
              </w:rPr>
              <w:t>TA001）</w:t>
            </w:r>
            <w:r>
              <w:rPr>
                <w:rFonts w:hint="default" w:ascii="Times New Roman" w:hAnsi="Times New Roman" w:eastAsia="宋体" w:cs="Times New Roman"/>
                <w:bCs/>
                <w:color w:val="auto"/>
                <w:sz w:val="21"/>
                <w:szCs w:val="21"/>
                <w:highlight w:val="none"/>
                <w:u w:val="none" w:color="auto"/>
              </w:rPr>
              <w:t>处理后由</w:t>
            </w:r>
            <w:r>
              <w:rPr>
                <w:rFonts w:hint="default" w:ascii="Times New Roman" w:hAnsi="Times New Roman" w:eastAsia="宋体" w:cs="Times New Roman"/>
                <w:bCs/>
                <w:color w:val="auto"/>
                <w:sz w:val="21"/>
                <w:szCs w:val="21"/>
                <w:highlight w:val="none"/>
                <w:u w:val="none" w:color="auto"/>
                <w:lang w:val="en-US" w:eastAsia="zh-CN"/>
              </w:rPr>
              <w:t>20m高排气筒（DA001）引至高空排放</w:t>
            </w:r>
          </w:p>
        </w:tc>
        <w:tc>
          <w:tcPr>
            <w:tcW w:w="1603" w:type="pct"/>
            <w:vAlign w:val="center"/>
          </w:tcPr>
          <w:p w14:paraId="334482C7">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rPr>
              <w:t>《大气污染物综合排放标准》（GB16297-1996）表2中二级标准</w:t>
            </w:r>
          </w:p>
        </w:tc>
      </w:tr>
      <w:tr w14:paraId="34504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vAlign w:val="center"/>
          </w:tcPr>
          <w:p w14:paraId="7EF1FD8A">
            <w:pPr>
              <w:keepNext w:val="0"/>
              <w:keepLines w:val="0"/>
              <w:pageBreakBefore w:val="0"/>
              <w:wordWrap/>
              <w:overflowPunct/>
              <w:topLinePunct w:val="0"/>
              <w:bidi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235" w:type="pct"/>
            <w:vMerge w:val="continue"/>
            <w:vAlign w:val="center"/>
          </w:tcPr>
          <w:p w14:paraId="06CCFFE9">
            <w:pPr>
              <w:keepNext w:val="0"/>
              <w:keepLines w:val="0"/>
              <w:pageBreakBefore w:val="0"/>
              <w:wordWrap/>
              <w:overflowPunct/>
              <w:topLinePunct w:val="0"/>
              <w:bidi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385" w:type="pct"/>
            <w:vMerge w:val="restart"/>
            <w:vAlign w:val="center"/>
          </w:tcPr>
          <w:p w14:paraId="448BABCC">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eastAsia="zh-CN" w:bidi="ar"/>
              </w:rPr>
              <w:t>餐厅</w:t>
            </w:r>
            <w:r>
              <w:rPr>
                <w:rFonts w:hint="default" w:ascii="Times New Roman" w:hAnsi="Times New Roman" w:eastAsia="宋体" w:cs="Times New Roman"/>
                <w:color w:val="auto"/>
                <w:sz w:val="21"/>
                <w:szCs w:val="21"/>
                <w:highlight w:val="none"/>
                <w:u w:val="none" w:color="auto"/>
                <w:lang w:val="en-US" w:eastAsia="zh-CN" w:bidi="ar"/>
              </w:rPr>
              <w:t>废气</w:t>
            </w:r>
          </w:p>
        </w:tc>
        <w:tc>
          <w:tcPr>
            <w:tcW w:w="599" w:type="pct"/>
            <w:vMerge w:val="restart"/>
            <w:vAlign w:val="center"/>
          </w:tcPr>
          <w:p w14:paraId="19C6444D">
            <w:pPr>
              <w:pStyle w:val="171"/>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val="en-US" w:eastAsia="zh-CN"/>
              </w:rPr>
              <w:t>油烟</w:t>
            </w:r>
          </w:p>
        </w:tc>
        <w:tc>
          <w:tcPr>
            <w:tcW w:w="1800" w:type="pct"/>
            <w:vMerge w:val="restart"/>
            <w:vAlign w:val="center"/>
          </w:tcPr>
          <w:p w14:paraId="43C328CD">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sz w:val="21"/>
                <w:szCs w:val="21"/>
                <w:highlight w:val="none"/>
                <w:u w:val="none" w:color="auto"/>
                <w:lang w:val="en-US" w:eastAsia="zh-CN"/>
              </w:rPr>
              <w:t>经现有8套</w:t>
            </w:r>
            <w:r>
              <w:rPr>
                <w:rFonts w:hint="default" w:ascii="Times New Roman" w:hAnsi="Times New Roman" w:eastAsia="宋体" w:cs="Times New Roman"/>
                <w:bCs/>
                <w:color w:val="auto"/>
                <w:sz w:val="21"/>
                <w:szCs w:val="21"/>
                <w:highlight w:val="none"/>
                <w:u w:val="none" w:color="auto"/>
              </w:rPr>
              <w:t>油烟净化器</w:t>
            </w:r>
            <w:r>
              <w:rPr>
                <w:rFonts w:hint="default" w:ascii="Times New Roman" w:hAnsi="Times New Roman" w:eastAsia="宋体" w:cs="Times New Roman"/>
                <w:bCs/>
                <w:color w:val="auto"/>
                <w:sz w:val="21"/>
                <w:szCs w:val="21"/>
                <w:highlight w:val="none"/>
                <w:u w:val="none" w:color="auto"/>
                <w:lang w:val="en-US" w:eastAsia="zh-CN"/>
              </w:rPr>
              <w:t>处理后通过1根专用烟道（DA002）排放</w:t>
            </w:r>
          </w:p>
        </w:tc>
        <w:tc>
          <w:tcPr>
            <w:tcW w:w="1603" w:type="pct"/>
            <w:vMerge w:val="restart"/>
            <w:vAlign w:val="center"/>
          </w:tcPr>
          <w:p w14:paraId="564E4F3D">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rPr>
              <w:t>《餐饮业油烟污染物排放标准》（DB41/1604-2018）表1，</w:t>
            </w:r>
            <w:r>
              <w:rPr>
                <w:rFonts w:hint="default" w:ascii="Times New Roman" w:hAnsi="Times New Roman" w:eastAsia="宋体" w:cs="Times New Roman"/>
                <w:color w:val="auto"/>
                <w:sz w:val="21"/>
                <w:szCs w:val="21"/>
                <w:highlight w:val="none"/>
                <w:u w:val="none" w:color="auto"/>
                <w:lang w:val="en-US" w:eastAsia="zh-CN"/>
              </w:rPr>
              <w:t>大</w:t>
            </w:r>
            <w:r>
              <w:rPr>
                <w:rFonts w:hint="default" w:ascii="Times New Roman" w:hAnsi="Times New Roman" w:eastAsia="宋体" w:cs="Times New Roman"/>
                <w:color w:val="auto"/>
                <w:sz w:val="21"/>
                <w:szCs w:val="21"/>
                <w:highlight w:val="none"/>
                <w:u w:val="none" w:color="auto"/>
              </w:rPr>
              <w:t>型标准</w:t>
            </w:r>
          </w:p>
        </w:tc>
      </w:tr>
      <w:tr w14:paraId="21899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vAlign w:val="center"/>
          </w:tcPr>
          <w:p w14:paraId="5DD02665">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235" w:type="pct"/>
            <w:vMerge w:val="continue"/>
            <w:vAlign w:val="center"/>
          </w:tcPr>
          <w:p w14:paraId="75832D0F">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385" w:type="pct"/>
            <w:vMerge w:val="continue"/>
            <w:vAlign w:val="center"/>
          </w:tcPr>
          <w:p w14:paraId="2FC4C4D3">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599" w:type="pct"/>
            <w:vAlign w:val="center"/>
          </w:tcPr>
          <w:p w14:paraId="76E59AB5">
            <w:pPr>
              <w:pStyle w:val="171"/>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val="en-US" w:eastAsia="zh-CN"/>
              </w:rPr>
              <w:t>非甲烷总烃</w:t>
            </w:r>
          </w:p>
        </w:tc>
        <w:tc>
          <w:tcPr>
            <w:tcW w:w="1800" w:type="pct"/>
            <w:vMerge w:val="continue"/>
            <w:vAlign w:val="center"/>
          </w:tcPr>
          <w:p w14:paraId="6C12409B">
            <w:pPr>
              <w:pStyle w:val="171"/>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603" w:type="pct"/>
            <w:vMerge w:val="continue"/>
            <w:vAlign w:val="center"/>
          </w:tcPr>
          <w:p w14:paraId="5E2EB96C">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p>
        </w:tc>
      </w:tr>
      <w:tr w14:paraId="42436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vAlign w:val="center"/>
          </w:tcPr>
          <w:p w14:paraId="177A9362">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235" w:type="pct"/>
            <w:vMerge w:val="restart"/>
            <w:vAlign w:val="center"/>
          </w:tcPr>
          <w:p w14:paraId="38953738">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无组织</w:t>
            </w:r>
          </w:p>
        </w:tc>
        <w:tc>
          <w:tcPr>
            <w:tcW w:w="385" w:type="pct"/>
            <w:vMerge w:val="restart"/>
            <w:vAlign w:val="center"/>
          </w:tcPr>
          <w:p w14:paraId="3E03B605">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eastAsia="zh-CN" w:bidi="ar"/>
              </w:rPr>
              <w:t>餐厅</w:t>
            </w:r>
            <w:r>
              <w:rPr>
                <w:rFonts w:hint="default" w:ascii="Times New Roman" w:hAnsi="Times New Roman" w:eastAsia="宋体" w:cs="Times New Roman"/>
                <w:color w:val="auto"/>
                <w:sz w:val="21"/>
                <w:szCs w:val="21"/>
                <w:highlight w:val="none"/>
                <w:u w:val="none" w:color="auto"/>
                <w:lang w:val="en-US" w:eastAsia="zh-CN" w:bidi="ar"/>
              </w:rPr>
              <w:t>废气</w:t>
            </w:r>
          </w:p>
        </w:tc>
        <w:tc>
          <w:tcPr>
            <w:tcW w:w="599" w:type="pct"/>
            <w:vAlign w:val="center"/>
          </w:tcPr>
          <w:p w14:paraId="49FCBDEB">
            <w:pPr>
              <w:pStyle w:val="171"/>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val="en-US" w:eastAsia="zh-CN"/>
              </w:rPr>
              <w:t>油烟</w:t>
            </w:r>
          </w:p>
        </w:tc>
        <w:tc>
          <w:tcPr>
            <w:tcW w:w="1800" w:type="pct"/>
            <w:vMerge w:val="restart"/>
            <w:vAlign w:val="center"/>
          </w:tcPr>
          <w:p w14:paraId="1ECE1F01">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rPr>
              <w:t>定期对废气环保设备维护，保证废气收集效率；</w:t>
            </w:r>
          </w:p>
        </w:tc>
        <w:tc>
          <w:tcPr>
            <w:tcW w:w="1603" w:type="pct"/>
            <w:vMerge w:val="restart"/>
            <w:shd w:val="clear" w:color="auto" w:fill="auto"/>
            <w:vAlign w:val="center"/>
          </w:tcPr>
          <w:p w14:paraId="1BAA3CAC">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rPr>
              <w:t>《大气污染物综合排放标准》（GB16297-1996）表2</w:t>
            </w:r>
            <w:r>
              <w:rPr>
                <w:rFonts w:hint="eastAsia" w:cs="Times New Roman"/>
                <w:color w:val="auto"/>
                <w:sz w:val="21"/>
                <w:szCs w:val="21"/>
                <w:highlight w:val="none"/>
                <w:u w:val="none" w:color="auto"/>
                <w:lang w:val="en-US" w:eastAsia="zh-CN"/>
              </w:rPr>
              <w:t>无组织限值要求</w:t>
            </w:r>
          </w:p>
        </w:tc>
      </w:tr>
      <w:tr w14:paraId="242BA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vAlign w:val="center"/>
          </w:tcPr>
          <w:p w14:paraId="25BB6974">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235" w:type="pct"/>
            <w:vMerge w:val="continue"/>
            <w:vAlign w:val="center"/>
          </w:tcPr>
          <w:p w14:paraId="7104A270">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385" w:type="pct"/>
            <w:vMerge w:val="continue"/>
            <w:vAlign w:val="center"/>
          </w:tcPr>
          <w:p w14:paraId="6230496E">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599" w:type="pct"/>
            <w:vMerge w:val="restart"/>
            <w:vAlign w:val="center"/>
          </w:tcPr>
          <w:p w14:paraId="04C85F23">
            <w:pPr>
              <w:pStyle w:val="171"/>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val="en-US" w:eastAsia="zh-CN"/>
              </w:rPr>
              <w:t>非甲烷总烃</w:t>
            </w:r>
          </w:p>
        </w:tc>
        <w:tc>
          <w:tcPr>
            <w:tcW w:w="1800" w:type="pct"/>
            <w:vMerge w:val="continue"/>
            <w:vAlign w:val="center"/>
          </w:tcPr>
          <w:p w14:paraId="720F5356">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603" w:type="pct"/>
            <w:vMerge w:val="continue"/>
            <w:shd w:val="clear" w:color="auto" w:fill="auto"/>
            <w:vAlign w:val="center"/>
          </w:tcPr>
          <w:p w14:paraId="43FD6949">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p>
        </w:tc>
      </w:tr>
      <w:tr w14:paraId="1561C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vAlign w:val="center"/>
          </w:tcPr>
          <w:p w14:paraId="5D340F11">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235" w:type="pct"/>
            <w:vMerge w:val="continue"/>
            <w:vAlign w:val="center"/>
          </w:tcPr>
          <w:p w14:paraId="48BB0217">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385" w:type="pct"/>
            <w:vAlign w:val="center"/>
          </w:tcPr>
          <w:p w14:paraId="6E7A0ED9">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bidi="ar"/>
              </w:rPr>
              <w:t>实验室</w:t>
            </w:r>
            <w:r>
              <w:rPr>
                <w:rFonts w:hint="default" w:ascii="Times New Roman" w:hAnsi="Times New Roman" w:eastAsia="宋体" w:cs="Times New Roman"/>
                <w:color w:val="auto"/>
                <w:sz w:val="21"/>
                <w:szCs w:val="21"/>
                <w:highlight w:val="none"/>
                <w:u w:val="none" w:color="auto"/>
                <w:lang w:val="en-US" w:eastAsia="zh-CN" w:bidi="ar"/>
              </w:rPr>
              <w:t>未收集的</w:t>
            </w:r>
            <w:r>
              <w:rPr>
                <w:rFonts w:hint="default" w:ascii="Times New Roman" w:hAnsi="Times New Roman" w:eastAsia="宋体" w:cs="Times New Roman"/>
                <w:color w:val="auto"/>
                <w:sz w:val="21"/>
                <w:szCs w:val="21"/>
                <w:highlight w:val="none"/>
                <w:u w:val="none" w:color="auto"/>
                <w:lang w:bidi="ar"/>
              </w:rPr>
              <w:t>废气</w:t>
            </w:r>
          </w:p>
        </w:tc>
        <w:tc>
          <w:tcPr>
            <w:tcW w:w="599" w:type="pct"/>
            <w:vAlign w:val="center"/>
          </w:tcPr>
          <w:p w14:paraId="44BC08CC">
            <w:pPr>
              <w:pStyle w:val="171"/>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rPr>
              <w:t>氯化氢、硫酸雾等</w:t>
            </w:r>
          </w:p>
        </w:tc>
        <w:tc>
          <w:tcPr>
            <w:tcW w:w="1800" w:type="pct"/>
            <w:vMerge w:val="continue"/>
            <w:vAlign w:val="center"/>
          </w:tcPr>
          <w:p w14:paraId="478A9457">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603" w:type="pct"/>
            <w:vMerge w:val="continue"/>
            <w:vAlign w:val="center"/>
          </w:tcPr>
          <w:p w14:paraId="35C81140">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p>
        </w:tc>
      </w:tr>
      <w:tr w14:paraId="31A5D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restart"/>
            <w:vAlign w:val="center"/>
          </w:tcPr>
          <w:p w14:paraId="1501E1E2">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地表水环境</w:t>
            </w:r>
          </w:p>
        </w:tc>
        <w:tc>
          <w:tcPr>
            <w:tcW w:w="620" w:type="pct"/>
            <w:gridSpan w:val="2"/>
            <w:vAlign w:val="center"/>
          </w:tcPr>
          <w:p w14:paraId="27316CE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bCs/>
                <w:color w:val="auto"/>
                <w:sz w:val="21"/>
                <w:szCs w:val="21"/>
                <w:u w:val="none" w:color="auto"/>
                <w:lang w:val="en-US" w:eastAsia="zh-CN"/>
              </w:rPr>
              <w:t>师生日常生活污水</w:t>
            </w:r>
          </w:p>
        </w:tc>
        <w:tc>
          <w:tcPr>
            <w:tcW w:w="599" w:type="pct"/>
            <w:vAlign w:val="center"/>
          </w:tcPr>
          <w:p w14:paraId="7ACA2292">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COD、BOD</w:t>
            </w:r>
            <w:r>
              <w:rPr>
                <w:rFonts w:hint="default" w:ascii="Times New Roman" w:hAnsi="Times New Roman" w:eastAsia="宋体" w:cs="Times New Roman"/>
                <w:color w:val="auto"/>
                <w:sz w:val="21"/>
                <w:szCs w:val="21"/>
                <w:u w:val="none" w:color="auto"/>
                <w:vertAlign w:val="subscript"/>
              </w:rPr>
              <w:t>5</w:t>
            </w:r>
            <w:r>
              <w:rPr>
                <w:rFonts w:hint="default" w:ascii="Times New Roman" w:hAnsi="Times New Roman" w:eastAsia="宋体" w:cs="Times New Roman"/>
                <w:color w:val="auto"/>
                <w:sz w:val="21"/>
                <w:szCs w:val="21"/>
                <w:u w:val="none" w:color="auto"/>
              </w:rPr>
              <w:t>、NH</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rPr>
              <w:t>-N、SS、pH</w:t>
            </w:r>
          </w:p>
        </w:tc>
        <w:tc>
          <w:tcPr>
            <w:tcW w:w="1800" w:type="pct"/>
            <w:vMerge w:val="restart"/>
            <w:vAlign w:val="center"/>
          </w:tcPr>
          <w:p w14:paraId="45220B92">
            <w:pPr>
              <w:keepNext w:val="0"/>
              <w:keepLines w:val="0"/>
              <w:pageBreakBefore w:val="0"/>
              <w:wordWrap/>
              <w:overflowPunct/>
              <w:topLinePunct w:val="0"/>
              <w:bidi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师生日常生活污水与经现有地埋式隔油池（1座，地埋式，容积230m</w:t>
            </w:r>
            <w:r>
              <w:rPr>
                <w:rFonts w:hint="default" w:ascii="Times New Roman" w:hAnsi="Times New Roman" w:eastAsia="宋体" w:cs="Times New Roman"/>
                <w:color w:val="auto"/>
                <w:sz w:val="21"/>
                <w:szCs w:val="21"/>
                <w:u w:val="none" w:color="auto"/>
                <w:vertAlign w:val="superscript"/>
                <w:lang w:val="en-US" w:eastAsia="zh-CN"/>
              </w:rPr>
              <w:t>3</w:t>
            </w:r>
            <w:r>
              <w:rPr>
                <w:rFonts w:hint="default" w:ascii="Times New Roman" w:hAnsi="Times New Roman" w:eastAsia="宋体" w:cs="Times New Roman"/>
                <w:color w:val="auto"/>
                <w:sz w:val="21"/>
                <w:szCs w:val="21"/>
                <w:u w:val="none" w:color="auto"/>
                <w:lang w:val="en-US" w:eastAsia="zh-CN"/>
              </w:rPr>
              <w:t>）处理后的餐厅废水以及经中和池（新建，1座，地埋式，容积5m</w:t>
            </w:r>
            <w:r>
              <w:rPr>
                <w:rFonts w:hint="default" w:ascii="Times New Roman" w:hAnsi="Times New Roman" w:eastAsia="宋体" w:cs="Times New Roman"/>
                <w:color w:val="auto"/>
                <w:sz w:val="21"/>
                <w:szCs w:val="21"/>
                <w:u w:val="none" w:color="auto"/>
                <w:vertAlign w:val="superscript"/>
                <w:lang w:val="en-US" w:eastAsia="zh-CN"/>
              </w:rPr>
              <w:t>3</w:t>
            </w:r>
            <w:r>
              <w:rPr>
                <w:rFonts w:hint="default" w:ascii="Times New Roman" w:hAnsi="Times New Roman" w:eastAsia="宋体" w:cs="Times New Roman"/>
                <w:color w:val="auto"/>
                <w:sz w:val="21"/>
                <w:szCs w:val="21"/>
                <w:u w:val="none" w:color="auto"/>
                <w:lang w:val="en-US" w:eastAsia="zh-CN"/>
              </w:rPr>
              <w:t>）处理后的实验室废水一起进入现有地埋式化粪池（1座，地埋式，现有容积650m</w:t>
            </w:r>
            <w:r>
              <w:rPr>
                <w:rFonts w:hint="default" w:ascii="Times New Roman" w:hAnsi="Times New Roman" w:eastAsia="宋体" w:cs="Times New Roman"/>
                <w:color w:val="auto"/>
                <w:sz w:val="21"/>
                <w:szCs w:val="21"/>
                <w:u w:val="none" w:color="auto"/>
                <w:vertAlign w:val="superscript"/>
                <w:lang w:val="en-US" w:eastAsia="zh-CN"/>
              </w:rPr>
              <w:t>3</w:t>
            </w:r>
            <w:r>
              <w:rPr>
                <w:rFonts w:hint="default" w:ascii="Times New Roman" w:hAnsi="Times New Roman" w:eastAsia="宋体" w:cs="Times New Roman"/>
                <w:color w:val="auto"/>
                <w:sz w:val="21"/>
                <w:szCs w:val="21"/>
                <w:u w:val="none" w:color="auto"/>
                <w:lang w:val="en-US" w:eastAsia="zh-CN"/>
              </w:rPr>
              <w:t>）处理后</w:t>
            </w:r>
            <w:r>
              <w:rPr>
                <w:rFonts w:hint="default" w:ascii="Times New Roman" w:hAnsi="Times New Roman" w:eastAsia="宋体" w:cs="Times New Roman"/>
                <w:color w:val="auto"/>
                <w:kern w:val="0"/>
                <w:sz w:val="21"/>
                <w:szCs w:val="21"/>
                <w:u w:val="none" w:color="auto"/>
              </w:rPr>
              <w:t>满足《污水综合排放标准》（GB8978-1996）表4三级标准及镇平县</w:t>
            </w:r>
            <w:r>
              <w:rPr>
                <w:rFonts w:hint="default" w:ascii="Times New Roman" w:hAnsi="Times New Roman" w:eastAsia="宋体" w:cs="Times New Roman"/>
                <w:color w:val="auto"/>
                <w:kern w:val="0"/>
                <w:sz w:val="21"/>
                <w:szCs w:val="21"/>
                <w:u w:val="none" w:color="auto"/>
                <w:lang w:val="en-US" w:eastAsia="zh-CN"/>
              </w:rPr>
              <w:t>污水处理中心</w:t>
            </w:r>
            <w:r>
              <w:rPr>
                <w:rFonts w:hint="default" w:ascii="Times New Roman" w:hAnsi="Times New Roman" w:eastAsia="宋体" w:cs="Times New Roman"/>
                <w:color w:val="auto"/>
                <w:kern w:val="0"/>
                <w:sz w:val="21"/>
                <w:szCs w:val="21"/>
                <w:u w:val="none" w:color="auto"/>
              </w:rPr>
              <w:t>进水水质指标后经市政污水管网进入镇平县</w:t>
            </w:r>
            <w:r>
              <w:rPr>
                <w:rFonts w:hint="default" w:ascii="Times New Roman" w:hAnsi="Times New Roman" w:eastAsia="宋体" w:cs="Times New Roman"/>
                <w:color w:val="auto"/>
                <w:kern w:val="0"/>
                <w:sz w:val="21"/>
                <w:szCs w:val="21"/>
                <w:u w:val="none" w:color="auto"/>
                <w:lang w:val="en-US" w:eastAsia="zh-CN"/>
              </w:rPr>
              <w:t>污水处理中心</w:t>
            </w:r>
            <w:r>
              <w:rPr>
                <w:rFonts w:hint="default" w:ascii="Times New Roman" w:hAnsi="Times New Roman" w:eastAsia="宋体" w:cs="Times New Roman"/>
                <w:color w:val="auto"/>
                <w:kern w:val="0"/>
                <w:sz w:val="21"/>
                <w:szCs w:val="21"/>
                <w:u w:val="none" w:color="auto"/>
              </w:rPr>
              <w:t>进一步处理达到《城镇污水处理厂污染物排放标准》（GB18918-2002）一级A标准后</w:t>
            </w:r>
            <w:r>
              <w:rPr>
                <w:rFonts w:hint="default" w:ascii="Times New Roman" w:hAnsi="Times New Roman" w:eastAsia="宋体" w:cs="Times New Roman"/>
                <w:color w:val="auto"/>
                <w:sz w:val="21"/>
                <w:szCs w:val="21"/>
                <w:u w:val="none" w:color="auto"/>
              </w:rPr>
              <w:t>排入</w:t>
            </w:r>
            <w:r>
              <w:rPr>
                <w:rFonts w:hint="default" w:ascii="Times New Roman" w:hAnsi="Times New Roman" w:eastAsia="宋体" w:cs="Times New Roman"/>
                <w:color w:val="auto"/>
                <w:sz w:val="21"/>
                <w:szCs w:val="21"/>
                <w:u w:val="none" w:color="auto"/>
                <w:lang w:val="en-US" w:eastAsia="zh-CN"/>
              </w:rPr>
              <w:t>西三里河</w:t>
            </w:r>
          </w:p>
        </w:tc>
        <w:tc>
          <w:tcPr>
            <w:tcW w:w="1603" w:type="pct"/>
            <w:vMerge w:val="restart"/>
            <w:vAlign w:val="center"/>
          </w:tcPr>
          <w:p w14:paraId="0634F3FC">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执行</w:t>
            </w:r>
            <w:r>
              <w:rPr>
                <w:rFonts w:hint="default" w:ascii="Times New Roman" w:hAnsi="Times New Roman" w:eastAsia="宋体" w:cs="Times New Roman"/>
                <w:color w:val="auto"/>
                <w:kern w:val="0"/>
                <w:sz w:val="21"/>
                <w:szCs w:val="21"/>
                <w:u w:val="none" w:color="auto"/>
              </w:rPr>
              <w:t>《污水综合排放标准》（GB8978-1996）表4三级标准及镇平县</w:t>
            </w:r>
            <w:r>
              <w:rPr>
                <w:rFonts w:hint="default" w:ascii="Times New Roman" w:hAnsi="Times New Roman" w:eastAsia="宋体" w:cs="Times New Roman"/>
                <w:color w:val="auto"/>
                <w:kern w:val="0"/>
                <w:sz w:val="21"/>
                <w:szCs w:val="21"/>
                <w:u w:val="none" w:color="auto"/>
                <w:lang w:val="en-US" w:eastAsia="zh-CN"/>
              </w:rPr>
              <w:t>污水处理中心</w:t>
            </w:r>
            <w:r>
              <w:rPr>
                <w:rFonts w:hint="default" w:ascii="Times New Roman" w:hAnsi="Times New Roman" w:eastAsia="宋体" w:cs="Times New Roman"/>
                <w:color w:val="auto"/>
                <w:kern w:val="0"/>
                <w:sz w:val="21"/>
                <w:szCs w:val="21"/>
                <w:u w:val="none" w:color="auto"/>
              </w:rPr>
              <w:t>进水水质指标</w:t>
            </w:r>
          </w:p>
        </w:tc>
      </w:tr>
      <w:tr w14:paraId="57464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vAlign w:val="center"/>
          </w:tcPr>
          <w:p w14:paraId="606958B8">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620" w:type="pct"/>
            <w:gridSpan w:val="2"/>
            <w:vAlign w:val="center"/>
          </w:tcPr>
          <w:p w14:paraId="5AD4F6F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sz w:val="21"/>
                <w:szCs w:val="21"/>
                <w:u w:val="none" w:color="auto"/>
                <w:lang w:val="en-US" w:eastAsia="zh-CN"/>
              </w:rPr>
              <w:t>餐厅废水</w:t>
            </w:r>
          </w:p>
        </w:tc>
        <w:tc>
          <w:tcPr>
            <w:tcW w:w="599" w:type="pct"/>
            <w:vAlign w:val="center"/>
          </w:tcPr>
          <w:p w14:paraId="6B8EC758">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COD、BOD</w:t>
            </w:r>
            <w:r>
              <w:rPr>
                <w:rFonts w:hint="default" w:ascii="Times New Roman" w:hAnsi="Times New Roman" w:eastAsia="宋体" w:cs="Times New Roman"/>
                <w:color w:val="auto"/>
                <w:sz w:val="21"/>
                <w:szCs w:val="21"/>
                <w:u w:val="none" w:color="auto"/>
                <w:vertAlign w:val="subscript"/>
              </w:rPr>
              <w:t>5</w:t>
            </w:r>
            <w:r>
              <w:rPr>
                <w:rFonts w:hint="default" w:ascii="Times New Roman" w:hAnsi="Times New Roman" w:eastAsia="宋体" w:cs="Times New Roman"/>
                <w:color w:val="auto"/>
                <w:sz w:val="21"/>
                <w:szCs w:val="21"/>
                <w:u w:val="none" w:color="auto"/>
              </w:rPr>
              <w:t>、NH</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rPr>
              <w:t>-N、SS、pH</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动植物油</w:t>
            </w:r>
          </w:p>
        </w:tc>
        <w:tc>
          <w:tcPr>
            <w:tcW w:w="1800" w:type="pct"/>
            <w:vMerge w:val="continue"/>
            <w:vAlign w:val="center"/>
          </w:tcPr>
          <w:p w14:paraId="04FE978B">
            <w:pPr>
              <w:keepNext w:val="0"/>
              <w:keepLines w:val="0"/>
              <w:pageBreakBefore w:val="0"/>
              <w:wordWrap/>
              <w:overflowPunct/>
              <w:topLinePunct w:val="0"/>
              <w:bidi w:val="0"/>
              <w:snapToGrid w:val="0"/>
              <w:spacing w:line="240" w:lineRule="auto"/>
              <w:ind w:firstLine="0" w:firstLineChars="0"/>
              <w:jc w:val="center"/>
              <w:rPr>
                <w:rFonts w:hint="default" w:ascii="Times New Roman" w:hAnsi="Times New Roman" w:eastAsia="宋体" w:cs="Times New Roman"/>
                <w:bCs/>
                <w:color w:val="auto"/>
                <w:sz w:val="21"/>
                <w:szCs w:val="21"/>
                <w:u w:val="none" w:color="auto"/>
              </w:rPr>
            </w:pPr>
          </w:p>
        </w:tc>
        <w:tc>
          <w:tcPr>
            <w:tcW w:w="1603" w:type="pct"/>
            <w:vMerge w:val="continue"/>
            <w:vAlign w:val="center"/>
          </w:tcPr>
          <w:p w14:paraId="52320832">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p>
        </w:tc>
      </w:tr>
      <w:tr w14:paraId="1AC37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vAlign w:val="center"/>
          </w:tcPr>
          <w:p w14:paraId="497AF2E7">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620" w:type="pct"/>
            <w:gridSpan w:val="2"/>
            <w:vAlign w:val="center"/>
          </w:tcPr>
          <w:p w14:paraId="12F0F79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实验室废水</w:t>
            </w:r>
          </w:p>
        </w:tc>
        <w:tc>
          <w:tcPr>
            <w:tcW w:w="599" w:type="pct"/>
            <w:vAlign w:val="center"/>
          </w:tcPr>
          <w:p w14:paraId="69C20422">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COD、BOD</w:t>
            </w:r>
            <w:r>
              <w:rPr>
                <w:rFonts w:hint="default" w:ascii="Times New Roman" w:hAnsi="Times New Roman" w:eastAsia="宋体" w:cs="Times New Roman"/>
                <w:color w:val="auto"/>
                <w:sz w:val="21"/>
                <w:szCs w:val="21"/>
                <w:u w:val="none" w:color="auto"/>
                <w:vertAlign w:val="subscript"/>
              </w:rPr>
              <w:t>5</w:t>
            </w:r>
            <w:r>
              <w:rPr>
                <w:rFonts w:hint="default" w:ascii="Times New Roman" w:hAnsi="Times New Roman" w:eastAsia="宋体" w:cs="Times New Roman"/>
                <w:color w:val="auto"/>
                <w:sz w:val="21"/>
                <w:szCs w:val="21"/>
                <w:u w:val="none" w:color="auto"/>
              </w:rPr>
              <w:t>、NH</w:t>
            </w:r>
            <w:r>
              <w:rPr>
                <w:rFonts w:hint="default" w:ascii="Times New Roman" w:hAnsi="Times New Roman" w:eastAsia="宋体" w:cs="Times New Roman"/>
                <w:color w:val="auto"/>
                <w:sz w:val="21"/>
                <w:szCs w:val="21"/>
                <w:u w:val="none" w:color="auto"/>
                <w:vertAlign w:val="subscript"/>
              </w:rPr>
              <w:t>3</w:t>
            </w:r>
            <w:r>
              <w:rPr>
                <w:rFonts w:hint="default" w:ascii="Times New Roman" w:hAnsi="Times New Roman" w:eastAsia="宋体" w:cs="Times New Roman"/>
                <w:color w:val="auto"/>
                <w:sz w:val="21"/>
                <w:szCs w:val="21"/>
                <w:u w:val="none" w:color="auto"/>
              </w:rPr>
              <w:t>-N、SS、pH</w:t>
            </w:r>
          </w:p>
        </w:tc>
        <w:tc>
          <w:tcPr>
            <w:tcW w:w="1800" w:type="pct"/>
            <w:vMerge w:val="continue"/>
            <w:vAlign w:val="center"/>
          </w:tcPr>
          <w:p w14:paraId="54861D60">
            <w:pPr>
              <w:keepNext w:val="0"/>
              <w:keepLines w:val="0"/>
              <w:pageBreakBefore w:val="0"/>
              <w:wordWrap/>
              <w:overflowPunct/>
              <w:topLinePunct w:val="0"/>
              <w:bidi w:val="0"/>
              <w:snapToGrid w:val="0"/>
              <w:spacing w:line="240" w:lineRule="auto"/>
              <w:ind w:firstLine="0" w:firstLineChars="0"/>
              <w:jc w:val="center"/>
              <w:rPr>
                <w:rFonts w:hint="default" w:ascii="Times New Roman" w:hAnsi="Times New Roman" w:eastAsia="宋体" w:cs="Times New Roman"/>
                <w:bCs/>
                <w:color w:val="auto"/>
                <w:sz w:val="21"/>
                <w:szCs w:val="21"/>
                <w:u w:val="none" w:color="auto"/>
              </w:rPr>
            </w:pPr>
          </w:p>
        </w:tc>
        <w:tc>
          <w:tcPr>
            <w:tcW w:w="1603" w:type="pct"/>
            <w:vMerge w:val="continue"/>
            <w:vAlign w:val="center"/>
          </w:tcPr>
          <w:p w14:paraId="00F40725">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p>
        </w:tc>
      </w:tr>
      <w:tr w14:paraId="7FCF5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Align w:val="center"/>
          </w:tcPr>
          <w:p w14:paraId="07E5A2AE">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声环境</w:t>
            </w:r>
          </w:p>
        </w:tc>
        <w:tc>
          <w:tcPr>
            <w:tcW w:w="620" w:type="pct"/>
            <w:gridSpan w:val="2"/>
            <w:vAlign w:val="center"/>
          </w:tcPr>
          <w:p w14:paraId="2B73AF12">
            <w:pPr>
              <w:keepNext w:val="0"/>
              <w:keepLines w:val="0"/>
              <w:pageBreakBefore w:val="0"/>
              <w:wordWrap/>
              <w:overflowPunct/>
              <w:topLinePunct w:val="0"/>
              <w:bidi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二级活性炭配套风机等</w:t>
            </w:r>
            <w:r>
              <w:rPr>
                <w:rFonts w:hint="default" w:ascii="Times New Roman" w:hAnsi="Times New Roman" w:eastAsia="宋体" w:cs="Times New Roman"/>
                <w:color w:val="auto"/>
                <w:sz w:val="21"/>
                <w:szCs w:val="21"/>
                <w:u w:val="none" w:color="auto"/>
              </w:rPr>
              <w:t>设备运行过程产生的噪声</w:t>
            </w:r>
          </w:p>
        </w:tc>
        <w:tc>
          <w:tcPr>
            <w:tcW w:w="599" w:type="pct"/>
            <w:vAlign w:val="center"/>
          </w:tcPr>
          <w:p w14:paraId="38A97356">
            <w:pPr>
              <w:keepNext w:val="0"/>
              <w:keepLines w:val="0"/>
              <w:pageBreakBefore w:val="0"/>
              <w:wordWrap/>
              <w:overflowPunct/>
              <w:topLinePunct w:val="0"/>
              <w:bidi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机械噪声</w:t>
            </w:r>
          </w:p>
        </w:tc>
        <w:tc>
          <w:tcPr>
            <w:tcW w:w="1800" w:type="pct"/>
            <w:vAlign w:val="center"/>
          </w:tcPr>
          <w:p w14:paraId="56B823DF">
            <w:pPr>
              <w:keepNext w:val="0"/>
              <w:keepLines w:val="0"/>
              <w:pageBreakBefore w:val="0"/>
              <w:wordWrap/>
              <w:overflowPunct/>
              <w:topLinePunct w:val="0"/>
              <w:bidi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安装减振、隔声降噪、废气治理设施风机设置隔声间措施；加强对设备进行维修，保证设备正常工作</w:t>
            </w:r>
          </w:p>
        </w:tc>
        <w:tc>
          <w:tcPr>
            <w:tcW w:w="1603" w:type="pct"/>
            <w:vAlign w:val="center"/>
          </w:tcPr>
          <w:p w14:paraId="17929107">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《工业企业厂界环境噪声排放标准》（GB12348-2008）2类标准</w:t>
            </w:r>
          </w:p>
        </w:tc>
      </w:tr>
      <w:tr w14:paraId="5EBD7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Align w:val="center"/>
          </w:tcPr>
          <w:p w14:paraId="060EA1CA">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电磁辐射</w:t>
            </w:r>
          </w:p>
        </w:tc>
        <w:tc>
          <w:tcPr>
            <w:tcW w:w="620" w:type="pct"/>
            <w:gridSpan w:val="2"/>
            <w:vAlign w:val="center"/>
          </w:tcPr>
          <w:p w14:paraId="72B10FCE">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599" w:type="pct"/>
            <w:vAlign w:val="center"/>
          </w:tcPr>
          <w:p w14:paraId="49E88BB0">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800" w:type="pct"/>
            <w:vAlign w:val="center"/>
          </w:tcPr>
          <w:p w14:paraId="267D30D9">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603" w:type="pct"/>
            <w:vAlign w:val="center"/>
          </w:tcPr>
          <w:p w14:paraId="506D5358">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14:paraId="7869B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restart"/>
            <w:vAlign w:val="center"/>
          </w:tcPr>
          <w:p w14:paraId="08C20502">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固体废物</w:t>
            </w:r>
          </w:p>
        </w:tc>
        <w:tc>
          <w:tcPr>
            <w:tcW w:w="620" w:type="pct"/>
            <w:gridSpan w:val="2"/>
            <w:vAlign w:val="center"/>
          </w:tcPr>
          <w:p w14:paraId="0D847B0D">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lang w:val="en-US" w:eastAsia="zh-CN"/>
              </w:rPr>
              <w:t>教职工及学生日常</w:t>
            </w:r>
            <w:r>
              <w:rPr>
                <w:rFonts w:hint="default" w:ascii="Times New Roman" w:hAnsi="Times New Roman" w:eastAsia="宋体" w:cs="Times New Roman"/>
                <w:bCs/>
                <w:color w:val="auto"/>
                <w:kern w:val="0"/>
                <w:sz w:val="21"/>
                <w:szCs w:val="21"/>
                <w:u w:val="none" w:color="auto"/>
              </w:rPr>
              <w:t>生活</w:t>
            </w:r>
          </w:p>
        </w:tc>
        <w:tc>
          <w:tcPr>
            <w:tcW w:w="599" w:type="pct"/>
            <w:vAlign w:val="center"/>
          </w:tcPr>
          <w:p w14:paraId="5A17540E">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lang w:val="en-US" w:eastAsia="zh-CN"/>
              </w:rPr>
              <w:t>教职工及学生日常</w:t>
            </w:r>
            <w:r>
              <w:rPr>
                <w:rFonts w:hint="default" w:ascii="Times New Roman" w:hAnsi="Times New Roman" w:eastAsia="宋体" w:cs="Times New Roman"/>
                <w:bCs/>
                <w:color w:val="auto"/>
                <w:kern w:val="0"/>
                <w:sz w:val="21"/>
                <w:szCs w:val="21"/>
                <w:u w:val="none" w:color="auto"/>
              </w:rPr>
              <w:t>生活垃圾</w:t>
            </w:r>
          </w:p>
        </w:tc>
        <w:tc>
          <w:tcPr>
            <w:tcW w:w="1800" w:type="pct"/>
            <w:vAlign w:val="center"/>
          </w:tcPr>
          <w:p w14:paraId="64AF75BD">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rPr>
              <w:t>分类收集后交由环卫部门运至垃圾中转站处理</w:t>
            </w:r>
          </w:p>
        </w:tc>
        <w:tc>
          <w:tcPr>
            <w:tcW w:w="1603" w:type="pct"/>
            <w:vMerge w:val="restart"/>
            <w:vAlign w:val="center"/>
          </w:tcPr>
          <w:p w14:paraId="71CDEDD2">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r>
              <w:rPr>
                <w:rFonts w:hint="default" w:ascii="Times New Roman" w:hAnsi="Times New Roman" w:eastAsia="宋体" w:cs="Times New Roman"/>
                <w:color w:val="auto"/>
                <w:sz w:val="21"/>
                <w:szCs w:val="21"/>
                <w:u w:val="none" w:color="auto"/>
              </w:rPr>
              <w:fldChar w:fldCharType="begin"/>
            </w:r>
            <w:r>
              <w:rPr>
                <w:rFonts w:hint="default" w:ascii="Times New Roman" w:hAnsi="Times New Roman" w:eastAsia="宋体" w:cs="Times New Roman"/>
                <w:color w:val="auto"/>
                <w:sz w:val="21"/>
                <w:szCs w:val="21"/>
                <w:u w:val="none" w:color="auto"/>
              </w:rPr>
              <w:instrText xml:space="preserve"> HYPERLINK "http://www.es.org.cn/download/15-1.pdf" \h </w:instrText>
            </w:r>
            <w:r>
              <w:rPr>
                <w:rFonts w:hint="default" w:ascii="Times New Roman" w:hAnsi="Times New Roman" w:eastAsia="宋体" w:cs="Times New Roman"/>
                <w:color w:val="auto"/>
                <w:sz w:val="21"/>
                <w:szCs w:val="21"/>
                <w:u w:val="none" w:color="auto"/>
              </w:rPr>
              <w:fldChar w:fldCharType="separate"/>
            </w:r>
            <w:r>
              <w:rPr>
                <w:rStyle w:val="41"/>
                <w:rFonts w:hint="default" w:ascii="Times New Roman" w:hAnsi="Times New Roman" w:eastAsia="宋体" w:cs="Times New Roman"/>
                <w:color w:val="auto"/>
                <w:sz w:val="21"/>
                <w:szCs w:val="21"/>
                <w:u w:val="none" w:color="auto"/>
              </w:rPr>
              <w:t>一般工业固体废物贮存和填埋污染控制标准</w:t>
            </w:r>
            <w:r>
              <w:rPr>
                <w:rStyle w:val="41"/>
                <w:rFonts w:hint="default" w:ascii="Times New Roman" w:hAnsi="Times New Roman" w:eastAsia="宋体" w:cs="Times New Roman"/>
                <w:color w:val="auto"/>
                <w:sz w:val="21"/>
                <w:szCs w:val="21"/>
                <w:u w:val="none" w:color="auto"/>
              </w:rPr>
              <w:fldChar w:fldCharType="end"/>
            </w:r>
            <w:r>
              <w:rPr>
                <w:rFonts w:hint="default" w:ascii="Times New Roman" w:hAnsi="Times New Roman" w:eastAsia="宋体" w:cs="Times New Roman"/>
                <w:color w:val="auto"/>
                <w:sz w:val="21"/>
                <w:szCs w:val="21"/>
                <w:u w:val="none" w:color="auto"/>
              </w:rPr>
              <w:t>》（GB18599-2020）</w:t>
            </w:r>
          </w:p>
        </w:tc>
      </w:tr>
      <w:tr w14:paraId="0DE4D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vAlign w:val="center"/>
          </w:tcPr>
          <w:p w14:paraId="5F7ED728">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620" w:type="pct"/>
            <w:gridSpan w:val="2"/>
            <w:vAlign w:val="center"/>
          </w:tcPr>
          <w:p w14:paraId="64D1E8B6">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rPr>
              <w:t>化粪池</w:t>
            </w:r>
          </w:p>
        </w:tc>
        <w:tc>
          <w:tcPr>
            <w:tcW w:w="599" w:type="pct"/>
            <w:vAlign w:val="center"/>
          </w:tcPr>
          <w:p w14:paraId="12302E2F">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rPr>
              <w:t>化粪池污泥</w:t>
            </w:r>
          </w:p>
        </w:tc>
        <w:tc>
          <w:tcPr>
            <w:tcW w:w="1800" w:type="pct"/>
            <w:vAlign w:val="center"/>
          </w:tcPr>
          <w:p w14:paraId="09E3FA41">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rPr>
              <w:t>定期清掏交由环卫部门处理</w:t>
            </w:r>
          </w:p>
        </w:tc>
        <w:tc>
          <w:tcPr>
            <w:tcW w:w="1603" w:type="pct"/>
            <w:vMerge w:val="continue"/>
            <w:vAlign w:val="center"/>
          </w:tcPr>
          <w:p w14:paraId="3BBD8230">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r>
      <w:tr w14:paraId="56E01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vAlign w:val="center"/>
          </w:tcPr>
          <w:p w14:paraId="3314140E">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620" w:type="pct"/>
            <w:gridSpan w:val="2"/>
            <w:vAlign w:val="center"/>
          </w:tcPr>
          <w:p w14:paraId="46FB2CA5">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餐厅</w:t>
            </w:r>
          </w:p>
        </w:tc>
        <w:tc>
          <w:tcPr>
            <w:tcW w:w="599" w:type="pct"/>
            <w:vAlign w:val="center"/>
          </w:tcPr>
          <w:p w14:paraId="6968A1E6">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Style w:val="42"/>
                <w:rFonts w:hint="default" w:ascii="Times New Roman" w:hAnsi="Times New Roman" w:eastAsia="宋体" w:cs="Times New Roman"/>
                <w:color w:val="auto"/>
                <w:kern w:val="0"/>
                <w:sz w:val="21"/>
                <w:szCs w:val="21"/>
                <w:u w:val="none" w:color="auto"/>
              </w:rPr>
              <w:t>餐厨垃圾</w:t>
            </w:r>
          </w:p>
        </w:tc>
        <w:tc>
          <w:tcPr>
            <w:tcW w:w="1800" w:type="pct"/>
            <w:vAlign w:val="center"/>
          </w:tcPr>
          <w:p w14:paraId="574B678B">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rPr>
              <w:t>分类收集后交由环卫部门运至垃圾中转站进行处理</w:t>
            </w:r>
          </w:p>
        </w:tc>
        <w:tc>
          <w:tcPr>
            <w:tcW w:w="1603" w:type="pct"/>
            <w:vMerge w:val="continue"/>
            <w:vAlign w:val="center"/>
          </w:tcPr>
          <w:p w14:paraId="2423C351">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r>
      <w:tr w14:paraId="0BBA8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vAlign w:val="center"/>
          </w:tcPr>
          <w:p w14:paraId="37B29363">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620" w:type="pct"/>
            <w:gridSpan w:val="2"/>
            <w:vAlign w:val="center"/>
          </w:tcPr>
          <w:p w14:paraId="17B3369A">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隔油池</w:t>
            </w:r>
          </w:p>
        </w:tc>
        <w:tc>
          <w:tcPr>
            <w:tcW w:w="599" w:type="pct"/>
            <w:vAlign w:val="center"/>
          </w:tcPr>
          <w:p w14:paraId="05966C1C">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Style w:val="42"/>
                <w:rFonts w:hint="default" w:ascii="Times New Roman" w:hAnsi="Times New Roman" w:eastAsia="宋体" w:cs="Times New Roman"/>
                <w:color w:val="auto"/>
                <w:kern w:val="0"/>
                <w:sz w:val="21"/>
                <w:szCs w:val="21"/>
                <w:u w:val="none" w:color="auto"/>
              </w:rPr>
              <w:t>隔油池废油脂</w:t>
            </w:r>
          </w:p>
        </w:tc>
        <w:tc>
          <w:tcPr>
            <w:tcW w:w="1800" w:type="pct"/>
            <w:vAlign w:val="center"/>
          </w:tcPr>
          <w:p w14:paraId="69CB7C3B">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及时清掏后交由环卫部门处理处理</w:t>
            </w:r>
          </w:p>
        </w:tc>
        <w:tc>
          <w:tcPr>
            <w:tcW w:w="1603" w:type="pct"/>
            <w:vMerge w:val="continue"/>
            <w:vAlign w:val="center"/>
          </w:tcPr>
          <w:p w14:paraId="63710C4C">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r>
      <w:tr w14:paraId="1C606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restart"/>
            <w:vAlign w:val="center"/>
          </w:tcPr>
          <w:p w14:paraId="5AF3EA8E">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危险废物</w:t>
            </w:r>
          </w:p>
        </w:tc>
        <w:tc>
          <w:tcPr>
            <w:tcW w:w="620" w:type="pct"/>
            <w:gridSpan w:val="2"/>
            <w:vAlign w:val="center"/>
          </w:tcPr>
          <w:p w14:paraId="3B4D5989">
            <w:pPr>
              <w:pStyle w:val="88"/>
              <w:keepNext w:val="0"/>
              <w:keepLines w:val="0"/>
              <w:pageBreakBefore w:val="0"/>
              <w:wordWrap/>
              <w:overflowPunct/>
              <w:topLinePunct w:val="0"/>
              <w:bidi w:val="0"/>
              <w:snapToGrid w:val="0"/>
              <w:spacing w:line="240" w:lineRule="auto"/>
              <w:ind w:firstLine="0" w:firstLineChars="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sz w:val="21"/>
                <w:szCs w:val="21"/>
                <w:u w:val="none" w:color="auto"/>
              </w:rPr>
              <w:t>有机废气治理设施</w:t>
            </w:r>
          </w:p>
        </w:tc>
        <w:tc>
          <w:tcPr>
            <w:tcW w:w="599" w:type="pct"/>
            <w:vAlign w:val="center"/>
          </w:tcPr>
          <w:p w14:paraId="4C7CA097">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废活性炭</w:t>
            </w:r>
          </w:p>
        </w:tc>
        <w:tc>
          <w:tcPr>
            <w:tcW w:w="1800" w:type="pct"/>
            <w:vMerge w:val="restart"/>
            <w:vAlign w:val="center"/>
          </w:tcPr>
          <w:p w14:paraId="6790B557">
            <w:pPr>
              <w:pStyle w:val="88"/>
              <w:keepNext w:val="0"/>
              <w:keepLines w:val="0"/>
              <w:pageBreakBefore w:val="0"/>
              <w:wordWrap/>
              <w:overflowPunct/>
              <w:topLinePunct w:val="0"/>
              <w:bidi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分类</w:t>
            </w:r>
            <w:r>
              <w:rPr>
                <w:rFonts w:hint="default" w:ascii="Times New Roman" w:hAnsi="Times New Roman" w:eastAsia="宋体" w:cs="Times New Roman"/>
                <w:color w:val="auto"/>
                <w:sz w:val="21"/>
                <w:szCs w:val="21"/>
                <w:u w:val="none" w:color="auto"/>
              </w:rPr>
              <w:t>收集于危废暂存间（面积</w:t>
            </w:r>
            <w:r>
              <w:rPr>
                <w:rFonts w:hint="default" w:ascii="Times New Roman" w:hAnsi="Times New Roman" w:eastAsia="宋体" w:cs="Times New Roman"/>
                <w:color w:val="auto"/>
                <w:sz w:val="21"/>
                <w:szCs w:val="21"/>
                <w:u w:val="none" w:color="auto"/>
                <w:lang w:val="en-US" w:eastAsia="zh-CN"/>
              </w:rPr>
              <w:t>10</w:t>
            </w:r>
            <w:r>
              <w:rPr>
                <w:rFonts w:hint="default" w:ascii="Times New Roman" w:hAnsi="Times New Roman" w:eastAsia="宋体" w:cs="Times New Roman"/>
                <w:color w:val="auto"/>
                <w:sz w:val="21"/>
                <w:szCs w:val="21"/>
                <w:u w:val="none" w:color="auto"/>
              </w:rPr>
              <w:t>m</w:t>
            </w:r>
            <w:r>
              <w:rPr>
                <w:rFonts w:hint="default" w:ascii="Times New Roman" w:hAnsi="Times New Roman" w:eastAsia="宋体" w:cs="Times New Roman"/>
                <w:color w:val="auto"/>
                <w:sz w:val="21"/>
                <w:szCs w:val="21"/>
                <w:u w:val="none" w:color="auto"/>
                <w:vertAlign w:val="superscript"/>
              </w:rPr>
              <w:t>2</w:t>
            </w:r>
            <w:r>
              <w:rPr>
                <w:rFonts w:hint="default" w:ascii="Times New Roman" w:hAnsi="Times New Roman" w:eastAsia="宋体" w:cs="Times New Roman"/>
                <w:color w:val="auto"/>
                <w:sz w:val="21"/>
                <w:szCs w:val="21"/>
                <w:u w:val="none" w:color="auto"/>
              </w:rPr>
              <w:t>，采取</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六防措施</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），定期交由有危废处理资质单位进行处置</w:t>
            </w:r>
          </w:p>
        </w:tc>
        <w:tc>
          <w:tcPr>
            <w:tcW w:w="1603" w:type="pct"/>
            <w:vMerge w:val="restart"/>
            <w:vAlign w:val="center"/>
          </w:tcPr>
          <w:p w14:paraId="48BC63C8">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《危险废物贮存污染控制标准》（GB18597-2023）</w:t>
            </w:r>
          </w:p>
        </w:tc>
      </w:tr>
      <w:tr w14:paraId="209D4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vAlign w:val="center"/>
          </w:tcPr>
          <w:p w14:paraId="1780BE48">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620" w:type="pct"/>
            <w:gridSpan w:val="2"/>
            <w:vAlign w:val="center"/>
          </w:tcPr>
          <w:p w14:paraId="7DB0D2AB">
            <w:pPr>
              <w:pStyle w:val="88"/>
              <w:keepNext w:val="0"/>
              <w:keepLines w:val="0"/>
              <w:pageBreakBefore w:val="0"/>
              <w:wordWrap/>
              <w:overflowPunct/>
              <w:topLinePunct w:val="0"/>
              <w:bidi w:val="0"/>
              <w:snapToGrid w:val="0"/>
              <w:spacing w:line="240" w:lineRule="auto"/>
              <w:ind w:firstLine="0" w:firstLineChars="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sz w:val="21"/>
                <w:szCs w:val="21"/>
                <w:u w:val="none" w:color="auto"/>
                <w:lang w:val="en-US" w:eastAsia="zh-CN"/>
              </w:rPr>
              <w:t>柴油使用过程</w:t>
            </w:r>
          </w:p>
        </w:tc>
        <w:tc>
          <w:tcPr>
            <w:tcW w:w="599" w:type="pct"/>
            <w:vAlign w:val="center"/>
          </w:tcPr>
          <w:p w14:paraId="3F20750C">
            <w:pPr>
              <w:keepNext w:val="0"/>
              <w:keepLines w:val="0"/>
              <w:pageBreakBefore w:val="0"/>
              <w:wordWrap/>
              <w:overflowPunct/>
              <w:topLinePunct w:val="0"/>
              <w:bidi w:val="0"/>
              <w:spacing w:line="240" w:lineRule="auto"/>
              <w:ind w:firstLine="0" w:firstLineChars="0"/>
              <w:jc w:val="center"/>
              <w:rPr>
                <w:rStyle w:val="42"/>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sz w:val="21"/>
                <w:szCs w:val="21"/>
                <w:u w:val="none" w:color="auto"/>
              </w:rPr>
              <w:t>废</w:t>
            </w:r>
            <w:r>
              <w:rPr>
                <w:rFonts w:hint="default" w:ascii="Times New Roman" w:hAnsi="Times New Roman" w:eastAsia="宋体" w:cs="Times New Roman"/>
                <w:color w:val="auto"/>
                <w:sz w:val="21"/>
                <w:szCs w:val="21"/>
                <w:u w:val="none" w:color="auto"/>
                <w:lang w:val="en-US" w:eastAsia="zh-CN"/>
              </w:rPr>
              <w:t>柴油</w:t>
            </w:r>
            <w:r>
              <w:rPr>
                <w:rFonts w:hint="default" w:ascii="Times New Roman" w:hAnsi="Times New Roman" w:eastAsia="宋体" w:cs="Times New Roman"/>
                <w:color w:val="auto"/>
                <w:sz w:val="21"/>
                <w:szCs w:val="21"/>
                <w:u w:val="none" w:color="auto"/>
              </w:rPr>
              <w:t>桶</w:t>
            </w:r>
          </w:p>
        </w:tc>
        <w:tc>
          <w:tcPr>
            <w:tcW w:w="1800" w:type="pct"/>
            <w:vMerge w:val="continue"/>
            <w:vAlign w:val="center"/>
          </w:tcPr>
          <w:p w14:paraId="23B3C4B5">
            <w:pPr>
              <w:keepNext w:val="0"/>
              <w:keepLines w:val="0"/>
              <w:pageBreakBefore w:val="0"/>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603" w:type="pct"/>
            <w:vMerge w:val="continue"/>
            <w:vAlign w:val="center"/>
          </w:tcPr>
          <w:p w14:paraId="551572FB">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r>
      <w:tr w14:paraId="48011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Merge w:val="continue"/>
            <w:vAlign w:val="center"/>
          </w:tcPr>
          <w:p w14:paraId="5879DBC9">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620" w:type="pct"/>
            <w:gridSpan w:val="2"/>
            <w:vAlign w:val="center"/>
          </w:tcPr>
          <w:p w14:paraId="41A89E4A">
            <w:pPr>
              <w:pStyle w:val="88"/>
              <w:keepNext w:val="0"/>
              <w:keepLines w:val="0"/>
              <w:pageBreakBefore w:val="0"/>
              <w:wordWrap/>
              <w:overflowPunct/>
              <w:topLinePunct w:val="0"/>
              <w:bidi w:val="0"/>
              <w:snapToGrid w:val="0"/>
              <w:spacing w:line="240" w:lineRule="auto"/>
              <w:ind w:firstLine="0" w:firstLineChars="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sz w:val="21"/>
                <w:szCs w:val="21"/>
                <w:u w:val="none" w:color="auto"/>
                <w:lang w:val="en-US" w:eastAsia="zh-CN"/>
              </w:rPr>
              <w:t>实验课使用过程</w:t>
            </w:r>
          </w:p>
        </w:tc>
        <w:tc>
          <w:tcPr>
            <w:tcW w:w="599" w:type="pct"/>
            <w:vAlign w:val="center"/>
          </w:tcPr>
          <w:p w14:paraId="20576827">
            <w:pPr>
              <w:keepNext w:val="0"/>
              <w:keepLines w:val="0"/>
              <w:pageBreakBefore w:val="0"/>
              <w:wordWrap/>
              <w:overflowPunct/>
              <w:topLinePunct w:val="0"/>
              <w:bidi w:val="0"/>
              <w:spacing w:line="240" w:lineRule="auto"/>
              <w:ind w:firstLine="0" w:firstLineChars="0"/>
              <w:jc w:val="center"/>
              <w:rPr>
                <w:rStyle w:val="42"/>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sz w:val="21"/>
                <w:szCs w:val="21"/>
                <w:u w:val="none" w:color="auto"/>
              </w:rPr>
              <w:t>实验室危险废物</w:t>
            </w:r>
          </w:p>
        </w:tc>
        <w:tc>
          <w:tcPr>
            <w:tcW w:w="1800" w:type="pct"/>
            <w:vMerge w:val="continue"/>
            <w:vAlign w:val="center"/>
          </w:tcPr>
          <w:p w14:paraId="2A79F521">
            <w:pPr>
              <w:pStyle w:val="88"/>
              <w:keepNext w:val="0"/>
              <w:keepLines w:val="0"/>
              <w:pageBreakBefore w:val="0"/>
              <w:wordWrap/>
              <w:overflowPunct/>
              <w:topLinePunct w:val="0"/>
              <w:bidi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c>
          <w:tcPr>
            <w:tcW w:w="1603" w:type="pct"/>
            <w:vMerge w:val="continue"/>
            <w:vAlign w:val="center"/>
          </w:tcPr>
          <w:p w14:paraId="609C74BE">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p>
        </w:tc>
      </w:tr>
      <w:tr w14:paraId="219E7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375" w:type="pct"/>
            <w:vAlign w:val="center"/>
          </w:tcPr>
          <w:p w14:paraId="404DD14B">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土壤及地下水污染防治措施</w:t>
            </w:r>
          </w:p>
        </w:tc>
        <w:tc>
          <w:tcPr>
            <w:tcW w:w="4624" w:type="pct"/>
            <w:gridSpan w:val="5"/>
            <w:vAlign w:val="center"/>
          </w:tcPr>
          <w:p w14:paraId="0A0C1B91">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设置分区防渗，重点防渗区为：危废暂存间。一般防渗区为：管道等污水输送设施</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lang w:val="en-US" w:eastAsia="zh-CN"/>
              </w:rPr>
              <w:t>一般固废暂存间</w:t>
            </w:r>
            <w:r>
              <w:rPr>
                <w:rFonts w:hint="default" w:ascii="Times New Roman" w:hAnsi="Times New Roman" w:eastAsia="宋体" w:cs="Times New Roman"/>
                <w:color w:val="auto"/>
                <w:sz w:val="21"/>
                <w:szCs w:val="21"/>
                <w:u w:val="none" w:color="auto"/>
              </w:rPr>
              <w:t>等地。简单防渗区为：危废暂存间。分区防渗要求：①重点防渗区</w:t>
            </w:r>
          </w:p>
          <w:p w14:paraId="7F8EFCDE">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重点防渗区等效黏土防渗层Mb≥6.0m，且渗透系数 K≤1.0×10</w:t>
            </w:r>
            <w:r>
              <w:rPr>
                <w:rFonts w:hint="default" w:ascii="Times New Roman" w:hAnsi="Times New Roman" w:eastAsia="宋体" w:cs="Times New Roman"/>
                <w:color w:val="auto"/>
                <w:sz w:val="21"/>
                <w:szCs w:val="21"/>
                <w:u w:val="none" w:color="auto"/>
                <w:vertAlign w:val="superscript"/>
              </w:rPr>
              <w:t>-7</w:t>
            </w:r>
            <w:r>
              <w:rPr>
                <w:rFonts w:hint="default" w:ascii="Times New Roman" w:hAnsi="Times New Roman" w:eastAsia="宋体" w:cs="Times New Roman"/>
                <w:color w:val="auto"/>
                <w:sz w:val="21"/>
                <w:szCs w:val="21"/>
                <w:u w:val="none" w:color="auto"/>
              </w:rPr>
              <w:t>cm/s。②一般防渗区一般防渗区的防渗技术要求：等效黏土防渗层 Mb≥1.5m，K≤1.0×10</w:t>
            </w:r>
            <w:r>
              <w:rPr>
                <w:rFonts w:hint="default" w:ascii="Times New Roman" w:hAnsi="Times New Roman" w:eastAsia="宋体" w:cs="Times New Roman"/>
                <w:color w:val="auto"/>
                <w:sz w:val="21"/>
                <w:szCs w:val="21"/>
                <w:u w:val="none" w:color="auto"/>
                <w:vertAlign w:val="superscript"/>
              </w:rPr>
              <w:t>-7</w:t>
            </w:r>
            <w:r>
              <w:rPr>
                <w:rFonts w:hint="default" w:ascii="Times New Roman" w:hAnsi="Times New Roman" w:eastAsia="宋体" w:cs="Times New Roman"/>
                <w:color w:val="auto"/>
                <w:sz w:val="21"/>
                <w:szCs w:val="21"/>
                <w:u w:val="none" w:color="auto"/>
              </w:rPr>
              <w:t>cm/s。③简单防渗区简单防渗区采用混凝土硬化即可，厚度不低于2cm。</w:t>
            </w:r>
          </w:p>
        </w:tc>
      </w:tr>
      <w:tr w14:paraId="3DC6D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Align w:val="center"/>
          </w:tcPr>
          <w:p w14:paraId="21024D02">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生态保护措施</w:t>
            </w:r>
          </w:p>
        </w:tc>
        <w:tc>
          <w:tcPr>
            <w:tcW w:w="4624" w:type="pct"/>
            <w:gridSpan w:val="5"/>
            <w:vAlign w:val="center"/>
          </w:tcPr>
          <w:p w14:paraId="38E837A8">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14:paraId="3137A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Align w:val="center"/>
          </w:tcPr>
          <w:p w14:paraId="18894456">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pacing w:val="-8"/>
                <w:sz w:val="21"/>
                <w:szCs w:val="21"/>
                <w:u w:val="none" w:color="auto"/>
              </w:rPr>
            </w:pPr>
            <w:r>
              <w:rPr>
                <w:rFonts w:hint="default" w:ascii="Times New Roman" w:hAnsi="Times New Roman" w:eastAsia="宋体" w:cs="Times New Roman"/>
                <w:color w:val="auto"/>
                <w:spacing w:val="-8"/>
                <w:sz w:val="21"/>
                <w:szCs w:val="21"/>
                <w:u w:val="none" w:color="auto"/>
              </w:rPr>
              <w:t>环境风险</w:t>
            </w:r>
          </w:p>
          <w:p w14:paraId="02B45FC3">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pacing w:val="-8"/>
                <w:sz w:val="21"/>
                <w:szCs w:val="21"/>
                <w:u w:val="none" w:color="auto"/>
              </w:rPr>
            </w:pPr>
            <w:r>
              <w:rPr>
                <w:rFonts w:hint="default" w:ascii="Times New Roman" w:hAnsi="Times New Roman" w:eastAsia="宋体" w:cs="Times New Roman"/>
                <w:color w:val="auto"/>
                <w:spacing w:val="-8"/>
                <w:sz w:val="21"/>
                <w:szCs w:val="21"/>
                <w:u w:val="none" w:color="auto"/>
              </w:rPr>
              <w:t>防范措施</w:t>
            </w:r>
          </w:p>
        </w:tc>
        <w:tc>
          <w:tcPr>
            <w:tcW w:w="4624" w:type="pct"/>
            <w:gridSpan w:val="5"/>
            <w:vAlign w:val="center"/>
          </w:tcPr>
          <w:p w14:paraId="2A9156C4">
            <w:pPr>
              <w:keepNext w:val="0"/>
              <w:keepLines w:val="0"/>
              <w:pageBreakBefore w:val="0"/>
              <w:tabs>
                <w:tab w:val="left" w:pos="1081"/>
              </w:tabs>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（1）原料储存过程事故收集措施</w:t>
            </w:r>
          </w:p>
          <w:p w14:paraId="7A1AB9BC">
            <w:pPr>
              <w:keepNext w:val="0"/>
              <w:keepLines w:val="0"/>
              <w:pageBreakBefore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原料（</w:t>
            </w:r>
            <w:r>
              <w:rPr>
                <w:rFonts w:hint="default" w:ascii="Times New Roman" w:hAnsi="Times New Roman" w:eastAsia="宋体" w:cs="Times New Roman"/>
                <w:color w:val="auto"/>
                <w:sz w:val="21"/>
                <w:szCs w:val="21"/>
                <w:u w:val="none" w:color="auto"/>
                <w:lang w:val="en-US" w:eastAsia="zh-CN"/>
              </w:rPr>
              <w:t>柴油、硝酸、盐酸</w:t>
            </w:r>
            <w:r>
              <w:rPr>
                <w:rFonts w:hint="default" w:ascii="Times New Roman" w:hAnsi="Times New Roman" w:eastAsia="宋体" w:cs="Times New Roman"/>
                <w:color w:val="auto"/>
                <w:sz w:val="21"/>
                <w:szCs w:val="21"/>
                <w:u w:val="none" w:color="auto"/>
              </w:rPr>
              <w:t>等物料）加强贮存使用管理，及时检查包装容器完好使用情况，严防出现泄漏事故。原料仓库四周设置围堰（容积2m</w:t>
            </w:r>
            <w:r>
              <w:rPr>
                <w:rFonts w:hint="default" w:ascii="Times New Roman" w:hAnsi="Times New Roman" w:eastAsia="宋体" w:cs="Times New Roman"/>
                <w:color w:val="auto"/>
                <w:sz w:val="21"/>
                <w:szCs w:val="21"/>
                <w:u w:val="none" w:color="auto"/>
                <w:vertAlign w:val="superscript"/>
              </w:rPr>
              <w:t>3</w:t>
            </w:r>
            <w:r>
              <w:rPr>
                <w:rFonts w:hint="default" w:ascii="Times New Roman" w:hAnsi="Times New Roman" w:eastAsia="宋体" w:cs="Times New Roman"/>
                <w:color w:val="auto"/>
                <w:sz w:val="21"/>
                <w:szCs w:val="21"/>
                <w:u w:val="none" w:color="auto"/>
              </w:rPr>
              <w:t>），泄露物料及时收集后作为危废处理，危废间设置</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“六防</w:t>
            </w:r>
            <w:r>
              <w:rPr>
                <w:rFonts w:hint="default" w:ascii="Times New Roman" w:hAnsi="Times New Roman" w:eastAsia="宋体" w:cs="Times New Roman"/>
                <w:color w:val="auto"/>
                <w:sz w:val="21"/>
                <w:szCs w:val="21"/>
                <w:u w:val="none" w:color="auto"/>
                <w:lang w:eastAsia="zh-CN"/>
              </w:rPr>
              <w:t>”</w:t>
            </w:r>
            <w:r>
              <w:rPr>
                <w:rFonts w:hint="default" w:ascii="Times New Roman" w:hAnsi="Times New Roman" w:eastAsia="宋体" w:cs="Times New Roman"/>
                <w:color w:val="auto"/>
                <w:sz w:val="21"/>
                <w:szCs w:val="21"/>
                <w:u w:val="none" w:color="auto"/>
              </w:rPr>
              <w:t>措施。一旦发生泄漏情况，应迅速撤离污染区人员至上风处，设置一定隔离距离，严格限制无关人员出入；建议应急处理人员戴自给正压式呼吸器，穿防护服，从上风处进入现场，及时清理现场泄漏物料，防止外排污染水环境。</w:t>
            </w:r>
          </w:p>
          <w:p w14:paraId="35DC8269">
            <w:pPr>
              <w:keepNext w:val="0"/>
              <w:keepLines w:val="0"/>
              <w:pageBreakBefore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（2）危废暂存过程中风险防范措施：</w:t>
            </w:r>
          </w:p>
          <w:p w14:paraId="5085C641">
            <w:pPr>
              <w:keepNext w:val="0"/>
              <w:keepLines w:val="0"/>
              <w:pageBreakBefore w:val="0"/>
              <w:widowControl/>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①危废暂存间贮存区域应符合有关安全、防火规定，并设置相应的通风、防爆、防火、灭火等安全设施。</w:t>
            </w:r>
          </w:p>
          <w:p w14:paraId="2D4B2FD9">
            <w:pPr>
              <w:keepNext w:val="0"/>
              <w:keepLines w:val="0"/>
              <w:pageBreakBefore w:val="0"/>
              <w:widowControl/>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②储存地点设置围堰，防止事故泄露</w:t>
            </w:r>
          </w:p>
          <w:p w14:paraId="7616E3DF">
            <w:pPr>
              <w:keepNext w:val="0"/>
              <w:keepLines w:val="0"/>
              <w:pageBreakBefore w:val="0"/>
              <w:widowControl/>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③危废暂存间设置事故沟等风险防范措施；</w:t>
            </w:r>
          </w:p>
          <w:p w14:paraId="73C02264">
            <w:pPr>
              <w:keepNext w:val="0"/>
              <w:keepLines w:val="0"/>
              <w:pageBreakBefore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④建立安全生产岗位责任制，制定安全生产规章制度、安全操作规程，加强员工安全环保意识教育，树立安全生产意识，防止人为事故发生。</w:t>
            </w:r>
          </w:p>
          <w:p w14:paraId="64EB475C">
            <w:pPr>
              <w:keepNext w:val="0"/>
              <w:keepLines w:val="0"/>
              <w:pageBreakBefore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⑤根据《危险废物贮存污染控制标准》(GB18597-2023)中的相关要求液态危险废物的堵截设施最小容积不应低于对应贮存区域最大液态废物容器容积或液态废物总储量 1/10（二者取较大者），本项目危废暂存间实验室废液</w:t>
            </w:r>
            <w:r>
              <w:rPr>
                <w:rFonts w:hint="default" w:ascii="Times New Roman" w:hAnsi="Times New Roman" w:eastAsia="宋体" w:cs="Times New Roman"/>
                <w:color w:val="auto"/>
                <w:sz w:val="21"/>
                <w:szCs w:val="21"/>
                <w:u w:val="none" w:color="auto"/>
                <w:lang w:val="en-US" w:eastAsia="zh-CN"/>
              </w:rPr>
              <w:t>以及过期试剂</w:t>
            </w:r>
            <w:r>
              <w:rPr>
                <w:rFonts w:hint="default" w:ascii="Times New Roman" w:hAnsi="Times New Roman" w:eastAsia="宋体" w:cs="Times New Roman"/>
                <w:color w:val="auto"/>
                <w:sz w:val="21"/>
                <w:szCs w:val="21"/>
                <w:u w:val="none" w:color="auto"/>
              </w:rPr>
              <w:t>暂存采用的带盖密闭塑料桶单个容积为50L，实验室废液</w:t>
            </w:r>
            <w:r>
              <w:rPr>
                <w:rFonts w:hint="default" w:ascii="Times New Roman" w:hAnsi="Times New Roman" w:eastAsia="宋体" w:cs="Times New Roman"/>
                <w:color w:val="auto"/>
                <w:sz w:val="21"/>
                <w:szCs w:val="21"/>
                <w:u w:val="none" w:color="auto"/>
                <w:lang w:val="en-US" w:eastAsia="zh-CN"/>
              </w:rPr>
              <w:t>以及过期试剂</w:t>
            </w:r>
            <w:r>
              <w:rPr>
                <w:rFonts w:hint="default" w:ascii="Times New Roman" w:hAnsi="Times New Roman" w:eastAsia="宋体" w:cs="Times New Roman"/>
                <w:color w:val="auto"/>
                <w:sz w:val="21"/>
                <w:szCs w:val="21"/>
                <w:u w:val="none" w:color="auto"/>
              </w:rPr>
              <w:t>的最大产生量为</w:t>
            </w:r>
            <w:r>
              <w:rPr>
                <w:rFonts w:hint="default" w:ascii="Times New Roman" w:hAnsi="Times New Roman" w:eastAsia="宋体" w:cs="Times New Roman"/>
                <w:color w:val="auto"/>
                <w:sz w:val="21"/>
                <w:szCs w:val="21"/>
                <w:u w:val="none" w:color="auto"/>
                <w:lang w:val="en-US" w:eastAsia="zh-CN"/>
              </w:rPr>
              <w:t>1.32</w:t>
            </w:r>
            <w:r>
              <w:rPr>
                <w:rFonts w:hint="default" w:ascii="Times New Roman" w:hAnsi="Times New Roman" w:eastAsia="宋体" w:cs="Times New Roman"/>
                <w:color w:val="auto"/>
                <w:sz w:val="21"/>
                <w:szCs w:val="21"/>
                <w:u w:val="none" w:color="auto"/>
              </w:rPr>
              <w:t>t/a，约为</w:t>
            </w:r>
            <w:r>
              <w:rPr>
                <w:rFonts w:hint="default" w:ascii="Times New Roman" w:hAnsi="Times New Roman" w:eastAsia="宋体" w:cs="Times New Roman"/>
                <w:color w:val="auto"/>
                <w:sz w:val="21"/>
                <w:szCs w:val="21"/>
                <w:u w:val="none" w:color="auto"/>
                <w:lang w:val="en-US" w:eastAsia="zh-CN"/>
              </w:rPr>
              <w:t>2.8</w:t>
            </w:r>
            <w:r>
              <w:rPr>
                <w:rFonts w:hint="default" w:ascii="Times New Roman" w:hAnsi="Times New Roman" w:eastAsia="宋体" w:cs="Times New Roman"/>
                <w:color w:val="auto"/>
                <w:sz w:val="21"/>
                <w:szCs w:val="21"/>
                <w:u w:val="none" w:color="auto"/>
              </w:rPr>
              <w:t>m</w:t>
            </w:r>
            <w:r>
              <w:rPr>
                <w:rFonts w:hint="default" w:ascii="Times New Roman" w:hAnsi="Times New Roman" w:eastAsia="宋体" w:cs="Times New Roman"/>
                <w:color w:val="auto"/>
                <w:sz w:val="21"/>
                <w:szCs w:val="21"/>
                <w:u w:val="none" w:color="auto"/>
                <w:vertAlign w:val="superscript"/>
              </w:rPr>
              <w:t>3</w:t>
            </w:r>
            <w:r>
              <w:rPr>
                <w:rFonts w:hint="default" w:ascii="Times New Roman" w:hAnsi="Times New Roman" w:eastAsia="宋体" w:cs="Times New Roman"/>
                <w:color w:val="auto"/>
                <w:sz w:val="21"/>
                <w:szCs w:val="21"/>
                <w:u w:val="none" w:color="auto"/>
              </w:rPr>
              <w:t>/a，项目每半年委托一次危废处理资质单位进行处置废油液，可得出，项目危废暂存间</w:t>
            </w:r>
            <w:r>
              <w:rPr>
                <w:rFonts w:hint="default" w:ascii="Times New Roman" w:hAnsi="Times New Roman" w:eastAsia="宋体" w:cs="Times New Roman"/>
                <w:color w:val="auto"/>
                <w:sz w:val="21"/>
                <w:szCs w:val="21"/>
                <w:u w:val="none" w:color="auto"/>
                <w:lang w:val="en-US" w:eastAsia="zh-CN"/>
              </w:rPr>
              <w:t>液态</w:t>
            </w:r>
            <w:r>
              <w:rPr>
                <w:rFonts w:hint="default" w:ascii="Times New Roman" w:hAnsi="Times New Roman" w:eastAsia="宋体" w:cs="Times New Roman"/>
                <w:color w:val="auto"/>
                <w:sz w:val="21"/>
                <w:szCs w:val="21"/>
                <w:u w:val="none" w:color="auto"/>
              </w:rPr>
              <w:t>暂存区实验室废液</w:t>
            </w:r>
            <w:r>
              <w:rPr>
                <w:rFonts w:hint="default" w:ascii="Times New Roman" w:hAnsi="Times New Roman" w:eastAsia="宋体" w:cs="Times New Roman"/>
                <w:color w:val="auto"/>
                <w:sz w:val="21"/>
                <w:szCs w:val="21"/>
                <w:u w:val="none" w:color="auto"/>
                <w:lang w:val="en-US" w:eastAsia="zh-CN"/>
              </w:rPr>
              <w:t>以及过期试剂</w:t>
            </w:r>
            <w:r>
              <w:rPr>
                <w:rFonts w:hint="default" w:ascii="Times New Roman" w:hAnsi="Times New Roman" w:eastAsia="宋体" w:cs="Times New Roman"/>
                <w:color w:val="auto"/>
                <w:sz w:val="21"/>
                <w:szCs w:val="21"/>
                <w:u w:val="none" w:color="auto"/>
              </w:rPr>
              <w:t>的最大储存量为</w:t>
            </w:r>
            <w:r>
              <w:rPr>
                <w:rFonts w:hint="default" w:ascii="Times New Roman" w:hAnsi="Times New Roman" w:eastAsia="宋体" w:cs="Times New Roman"/>
                <w:color w:val="auto"/>
                <w:sz w:val="21"/>
                <w:szCs w:val="21"/>
                <w:u w:val="none" w:color="auto"/>
                <w:lang w:val="en-US" w:eastAsia="zh-CN"/>
              </w:rPr>
              <w:t>0.14</w:t>
            </w:r>
            <w:r>
              <w:rPr>
                <w:rFonts w:hint="default" w:ascii="Times New Roman" w:hAnsi="Times New Roman" w:eastAsia="宋体" w:cs="Times New Roman"/>
                <w:color w:val="auto"/>
                <w:sz w:val="21"/>
                <w:szCs w:val="21"/>
                <w:u w:val="none" w:color="auto"/>
              </w:rPr>
              <w:t>m</w:t>
            </w:r>
            <w:r>
              <w:rPr>
                <w:rFonts w:hint="default" w:ascii="Times New Roman" w:hAnsi="Times New Roman" w:eastAsia="宋体" w:cs="Times New Roman"/>
                <w:color w:val="auto"/>
                <w:sz w:val="21"/>
                <w:szCs w:val="21"/>
                <w:u w:val="none" w:color="auto"/>
                <w:vertAlign w:val="superscript"/>
              </w:rPr>
              <w:t>3</w:t>
            </w:r>
            <w:r>
              <w:rPr>
                <w:rFonts w:hint="default" w:ascii="Times New Roman" w:hAnsi="Times New Roman" w:eastAsia="宋体" w:cs="Times New Roman"/>
                <w:color w:val="auto"/>
                <w:sz w:val="21"/>
                <w:szCs w:val="21"/>
                <w:u w:val="none" w:color="auto"/>
              </w:rPr>
              <w:t>，因此，应在危废暂存间内设置一座</w:t>
            </w:r>
            <w:r>
              <w:rPr>
                <w:rFonts w:hint="default" w:ascii="Times New Roman" w:hAnsi="Times New Roman" w:eastAsia="宋体" w:cs="Times New Roman"/>
                <w:color w:val="auto"/>
                <w:sz w:val="21"/>
                <w:szCs w:val="21"/>
                <w:u w:val="none" w:color="auto"/>
                <w:lang w:val="en-US" w:eastAsia="zh-CN"/>
              </w:rPr>
              <w:t>0.5</w:t>
            </w:r>
            <w:r>
              <w:rPr>
                <w:rFonts w:hint="default" w:ascii="Times New Roman" w:hAnsi="Times New Roman" w:eastAsia="宋体" w:cs="Times New Roman"/>
                <w:color w:val="auto"/>
                <w:sz w:val="21"/>
                <w:szCs w:val="21"/>
                <w:u w:val="none" w:color="auto"/>
              </w:rPr>
              <w:t>m</w:t>
            </w:r>
            <w:r>
              <w:rPr>
                <w:rFonts w:hint="default" w:ascii="Times New Roman" w:hAnsi="Times New Roman" w:eastAsia="宋体" w:cs="Times New Roman"/>
                <w:color w:val="auto"/>
                <w:sz w:val="21"/>
                <w:szCs w:val="21"/>
                <w:u w:val="none" w:color="auto"/>
                <w:vertAlign w:val="superscript"/>
              </w:rPr>
              <w:t>3</w:t>
            </w:r>
            <w:r>
              <w:rPr>
                <w:rFonts w:hint="default" w:ascii="Times New Roman" w:hAnsi="Times New Roman" w:eastAsia="宋体" w:cs="Times New Roman"/>
                <w:color w:val="auto"/>
                <w:sz w:val="21"/>
                <w:szCs w:val="21"/>
                <w:u w:val="none" w:color="auto"/>
              </w:rPr>
              <w:t>的事故收集池。</w:t>
            </w:r>
          </w:p>
          <w:p w14:paraId="2C57C4DB">
            <w:pPr>
              <w:keepNext w:val="0"/>
              <w:keepLines w:val="0"/>
              <w:pageBreakBefore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（3）火灾事故风险防范措施</w:t>
            </w:r>
          </w:p>
          <w:p w14:paraId="20204F7F">
            <w:pPr>
              <w:keepNext w:val="0"/>
              <w:keepLines w:val="0"/>
              <w:pageBreakBefore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①在工程设计中，应严格按照国家有关规范和标准进行平面布置、建筑设计。生产区与办公室之间根据消防部门意见保持足够的安全距离。原料及产品库区设计按规范要求进行；平面布置上建筑物间的距离必须符合有关防火设计规范，各区可利用道路进行功能分区，必须满足交通和消防两方面要求。</w:t>
            </w:r>
          </w:p>
          <w:p w14:paraId="12CCF5CC">
            <w:pPr>
              <w:keepNext w:val="0"/>
              <w:keepLines w:val="0"/>
              <w:pageBreakBefore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②建立健全安全、环境管理体系及高效的安全生产机构，一旦发生事故，要做到快速、高效、安全处置。</w:t>
            </w:r>
          </w:p>
          <w:p w14:paraId="3AD9C78C">
            <w:pPr>
              <w:keepNext w:val="0"/>
              <w:keepLines w:val="0"/>
              <w:pageBreakBefore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③厂内的电气设备严格按照防爆区划分配置。</w:t>
            </w:r>
          </w:p>
          <w:p w14:paraId="30FAC28A">
            <w:pPr>
              <w:keepNext w:val="0"/>
              <w:keepLines w:val="0"/>
              <w:pageBreakBefore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④如突发火灾，应立即采取急救措施，并及时向当地环保局等有关部门报告。一旦发生火灾事故，迅速按灭火作战预案紧急处理。</w:t>
            </w:r>
          </w:p>
          <w:p w14:paraId="143B5B35">
            <w:pPr>
              <w:keepNext w:val="0"/>
              <w:keepLines w:val="0"/>
              <w:pageBreakBefore w:val="0"/>
              <w:widowControl/>
              <w:kinsoku/>
              <w:wordWrap/>
              <w:overflowPunct/>
              <w:topLinePunct w:val="0"/>
              <w:autoSpaceDE/>
              <w:autoSpaceDN/>
              <w:bidi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⑤</w:t>
            </w:r>
            <w:r>
              <w:rPr>
                <w:rFonts w:hint="default" w:ascii="Times New Roman" w:hAnsi="Times New Roman" w:eastAsia="宋体" w:cs="Times New Roman"/>
                <w:bCs/>
                <w:color w:val="auto"/>
                <w:sz w:val="21"/>
                <w:szCs w:val="21"/>
                <w:u w:val="none" w:color="auto"/>
              </w:rPr>
              <w:t>一旦发生事故，建设单位应及时采用正确方法处理所发生事故，应急处理人员穿戴全身专用防护服，佩戴氧气呼吸器对事故进行应急处理，尽量减轻对人员的影响，发生小范围火灾事故时，使用干粉灭火器及时灭火；发生大范围火灾事故时，使用消防水及时灭火。若发生大范围火灾事故时，使用消防水进行灭火，会产生消防废水，建设单位应及时用沙袋封堵厂区雨水总排口，截留有限的消防废水，</w:t>
            </w:r>
            <w:r>
              <w:rPr>
                <w:rFonts w:hint="default" w:ascii="Times New Roman" w:hAnsi="Times New Roman" w:eastAsia="宋体" w:cs="Times New Roman"/>
                <w:color w:val="auto"/>
                <w:kern w:val="0"/>
                <w:sz w:val="21"/>
                <w:szCs w:val="21"/>
                <w:u w:val="none" w:color="auto"/>
                <w:lang w:bidi="ar"/>
              </w:rPr>
              <w:t>参考《水体污染防控紧急措施设计导则》，消防废水储存设施总有效容积计算公式为：</w:t>
            </w:r>
          </w:p>
          <w:p w14:paraId="22FEE1BA">
            <w:pPr>
              <w:keepNext w:val="0"/>
              <w:keepLines w:val="0"/>
              <w:pageBreakBefore w:val="0"/>
              <w:widowControl/>
              <w:kinsoku/>
              <w:wordWrap/>
              <w:overflowPunct/>
              <w:topLinePunct w:val="0"/>
              <w:autoSpaceDE/>
              <w:autoSpaceDN/>
              <w:bidi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V</w:t>
            </w:r>
            <w:r>
              <w:rPr>
                <w:rFonts w:hint="default" w:ascii="Times New Roman" w:hAnsi="Times New Roman" w:eastAsia="宋体" w:cs="Times New Roman"/>
                <w:color w:val="auto"/>
                <w:kern w:val="0"/>
                <w:sz w:val="21"/>
                <w:szCs w:val="21"/>
                <w:u w:val="none" w:color="auto"/>
                <w:vertAlign w:val="subscript"/>
                <w:lang w:bidi="ar"/>
              </w:rPr>
              <w:t>2</w:t>
            </w:r>
            <w:r>
              <w:rPr>
                <w:rFonts w:hint="default" w:ascii="Times New Roman" w:hAnsi="Times New Roman" w:eastAsia="宋体" w:cs="Times New Roman"/>
                <w:color w:val="auto"/>
                <w:kern w:val="0"/>
                <w:sz w:val="21"/>
                <w:szCs w:val="21"/>
                <w:u w:val="none" w:color="auto"/>
                <w:lang w:bidi="ar"/>
              </w:rPr>
              <w:t>—发生事故的储罐或装置的消防水量，m</w:t>
            </w:r>
            <w:r>
              <w:rPr>
                <w:rFonts w:hint="default" w:ascii="Times New Roman" w:hAnsi="Times New Roman" w:eastAsia="宋体" w:cs="Times New Roman"/>
                <w:color w:val="auto"/>
                <w:kern w:val="0"/>
                <w:sz w:val="21"/>
                <w:szCs w:val="21"/>
                <w:u w:val="none" w:color="auto"/>
                <w:vertAlign w:val="superscript"/>
                <w:lang w:bidi="ar"/>
              </w:rPr>
              <w:t>3</w:t>
            </w:r>
            <w:r>
              <w:rPr>
                <w:rFonts w:hint="default" w:ascii="Times New Roman" w:hAnsi="Times New Roman" w:eastAsia="宋体" w:cs="Times New Roman"/>
                <w:color w:val="auto"/>
                <w:kern w:val="0"/>
                <w:sz w:val="21"/>
                <w:szCs w:val="21"/>
                <w:u w:val="none" w:color="auto"/>
                <w:lang w:bidi="ar"/>
              </w:rPr>
              <w:t>；</w:t>
            </w:r>
          </w:p>
          <w:p w14:paraId="40428F73">
            <w:pPr>
              <w:keepNext w:val="0"/>
              <w:keepLines w:val="0"/>
              <w:pageBreakBefore w:val="0"/>
              <w:widowControl/>
              <w:kinsoku/>
              <w:wordWrap/>
              <w:overflowPunct/>
              <w:topLinePunct w:val="0"/>
              <w:autoSpaceDE/>
              <w:autoSpaceDN/>
              <w:bidi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V</w:t>
            </w:r>
            <w:r>
              <w:rPr>
                <w:rFonts w:hint="default" w:ascii="Times New Roman" w:hAnsi="Times New Roman" w:eastAsia="宋体" w:cs="Times New Roman"/>
                <w:color w:val="auto"/>
                <w:kern w:val="0"/>
                <w:sz w:val="21"/>
                <w:szCs w:val="21"/>
                <w:u w:val="none" w:color="auto"/>
                <w:vertAlign w:val="subscript"/>
                <w:lang w:bidi="ar"/>
              </w:rPr>
              <w:t>2</w:t>
            </w:r>
            <w:r>
              <w:rPr>
                <w:rFonts w:hint="default" w:ascii="Times New Roman" w:hAnsi="Times New Roman" w:eastAsia="宋体" w:cs="Times New Roman"/>
                <w:color w:val="auto"/>
                <w:kern w:val="0"/>
                <w:sz w:val="21"/>
                <w:szCs w:val="21"/>
                <w:u w:val="none" w:color="auto"/>
                <w:lang w:bidi="ar"/>
              </w:rPr>
              <w:t>=∑Q</w:t>
            </w:r>
            <w:r>
              <w:rPr>
                <w:rFonts w:hint="default" w:ascii="Times New Roman" w:hAnsi="Times New Roman" w:eastAsia="宋体" w:cs="Times New Roman"/>
                <w:color w:val="auto"/>
                <w:kern w:val="0"/>
                <w:sz w:val="21"/>
                <w:szCs w:val="21"/>
                <w:u w:val="none" w:color="auto"/>
                <w:vertAlign w:val="subscript"/>
                <w:lang w:bidi="ar"/>
              </w:rPr>
              <w:t>消</w:t>
            </w:r>
            <w:r>
              <w:rPr>
                <w:rFonts w:hint="default" w:ascii="Times New Roman" w:hAnsi="Times New Roman" w:eastAsia="宋体" w:cs="Times New Roman"/>
                <w:color w:val="auto"/>
                <w:kern w:val="0"/>
                <w:sz w:val="21"/>
                <w:szCs w:val="21"/>
                <w:u w:val="none" w:color="auto"/>
                <w:lang w:bidi="ar"/>
              </w:rPr>
              <w:t>t</w:t>
            </w:r>
            <w:r>
              <w:rPr>
                <w:rFonts w:hint="default" w:ascii="Times New Roman" w:hAnsi="Times New Roman" w:eastAsia="宋体" w:cs="Times New Roman"/>
                <w:color w:val="auto"/>
                <w:kern w:val="0"/>
                <w:sz w:val="21"/>
                <w:szCs w:val="21"/>
                <w:u w:val="none" w:color="auto"/>
                <w:vertAlign w:val="subscript"/>
                <w:lang w:bidi="ar"/>
              </w:rPr>
              <w:t>消</w:t>
            </w:r>
          </w:p>
          <w:p w14:paraId="3AB0139C">
            <w:pPr>
              <w:keepNext w:val="0"/>
              <w:keepLines w:val="0"/>
              <w:pageBreakBefore w:val="0"/>
              <w:widowControl/>
              <w:kinsoku/>
              <w:wordWrap/>
              <w:overflowPunct/>
              <w:topLinePunct w:val="0"/>
              <w:autoSpaceDE/>
              <w:autoSpaceDN/>
              <w:bidi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Q</w:t>
            </w:r>
            <w:r>
              <w:rPr>
                <w:rFonts w:hint="default" w:ascii="Times New Roman" w:hAnsi="Times New Roman" w:eastAsia="宋体" w:cs="Times New Roman"/>
                <w:color w:val="auto"/>
                <w:kern w:val="0"/>
                <w:sz w:val="21"/>
                <w:szCs w:val="21"/>
                <w:u w:val="none" w:color="auto"/>
                <w:vertAlign w:val="subscript"/>
                <w:lang w:bidi="ar"/>
              </w:rPr>
              <w:t>消</w:t>
            </w:r>
            <w:r>
              <w:rPr>
                <w:rFonts w:hint="default" w:ascii="Times New Roman" w:hAnsi="Times New Roman" w:eastAsia="宋体" w:cs="Times New Roman"/>
                <w:color w:val="auto"/>
                <w:kern w:val="0"/>
                <w:sz w:val="21"/>
                <w:szCs w:val="21"/>
                <w:u w:val="none" w:color="auto"/>
                <w:lang w:bidi="ar"/>
              </w:rPr>
              <w:t>—发生事故时的储罐或装置同时使用的消防设施给水流量，m</w:t>
            </w:r>
            <w:r>
              <w:rPr>
                <w:rFonts w:hint="default" w:ascii="Times New Roman" w:hAnsi="Times New Roman" w:eastAsia="宋体" w:cs="Times New Roman"/>
                <w:color w:val="auto"/>
                <w:kern w:val="0"/>
                <w:sz w:val="21"/>
                <w:szCs w:val="21"/>
                <w:u w:val="none" w:color="auto"/>
                <w:vertAlign w:val="superscript"/>
                <w:lang w:bidi="ar"/>
              </w:rPr>
              <w:t>3</w:t>
            </w:r>
            <w:r>
              <w:rPr>
                <w:rFonts w:hint="default" w:ascii="Times New Roman" w:hAnsi="Times New Roman" w:eastAsia="宋体" w:cs="Times New Roman"/>
                <w:color w:val="auto"/>
                <w:kern w:val="0"/>
                <w:sz w:val="21"/>
                <w:szCs w:val="21"/>
                <w:u w:val="none" w:color="auto"/>
                <w:lang w:bidi="ar"/>
              </w:rPr>
              <w:t xml:space="preserve"> /h；综合考虑灭火喷淋消防给水量，取10L/s；</w:t>
            </w:r>
          </w:p>
          <w:p w14:paraId="26C695A3">
            <w:pPr>
              <w:keepNext w:val="0"/>
              <w:keepLines w:val="0"/>
              <w:pageBreakBefore w:val="0"/>
              <w:widowControl/>
              <w:kinsoku/>
              <w:wordWrap/>
              <w:overflowPunct/>
              <w:topLinePunct w:val="0"/>
              <w:autoSpaceDE/>
              <w:autoSpaceDN/>
              <w:bidi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bidi="ar"/>
              </w:rPr>
              <w:t>t</w:t>
            </w:r>
            <w:r>
              <w:rPr>
                <w:rFonts w:hint="default" w:ascii="Times New Roman" w:hAnsi="Times New Roman" w:eastAsia="宋体" w:cs="Times New Roman"/>
                <w:color w:val="auto"/>
                <w:kern w:val="0"/>
                <w:sz w:val="21"/>
                <w:szCs w:val="21"/>
                <w:u w:val="none" w:color="auto"/>
                <w:vertAlign w:val="subscript"/>
                <w:lang w:bidi="ar"/>
              </w:rPr>
              <w:t>消</w:t>
            </w:r>
            <w:r>
              <w:rPr>
                <w:rFonts w:hint="default" w:ascii="Times New Roman" w:hAnsi="Times New Roman" w:eastAsia="宋体" w:cs="Times New Roman"/>
                <w:color w:val="auto"/>
                <w:kern w:val="0"/>
                <w:sz w:val="21"/>
                <w:szCs w:val="21"/>
                <w:u w:val="none" w:color="auto"/>
                <w:lang w:bidi="ar"/>
              </w:rPr>
              <w:t>—消防设施对应的设计消防历时（h），取2.0h；</w:t>
            </w:r>
          </w:p>
          <w:p w14:paraId="52D0DC6F">
            <w:pPr>
              <w:keepNext w:val="0"/>
              <w:keepLines w:val="0"/>
              <w:pageBreakBefore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kern w:val="0"/>
                <w:sz w:val="21"/>
                <w:szCs w:val="21"/>
                <w:u w:val="none" w:color="auto"/>
                <w:lang w:bidi="ar"/>
              </w:rPr>
              <w:t>经计算，消防用水量为72m</w:t>
            </w:r>
            <w:r>
              <w:rPr>
                <w:rFonts w:hint="default" w:ascii="Times New Roman" w:hAnsi="Times New Roman" w:eastAsia="宋体" w:cs="Times New Roman"/>
                <w:color w:val="auto"/>
                <w:kern w:val="0"/>
                <w:sz w:val="21"/>
                <w:szCs w:val="21"/>
                <w:u w:val="none" w:color="auto"/>
                <w:vertAlign w:val="superscript"/>
                <w:lang w:bidi="ar"/>
              </w:rPr>
              <w:t>3</w:t>
            </w:r>
            <w:r>
              <w:rPr>
                <w:rFonts w:hint="default" w:ascii="Times New Roman" w:hAnsi="Times New Roman" w:eastAsia="宋体" w:cs="Times New Roman"/>
                <w:color w:val="auto"/>
                <w:kern w:val="0"/>
                <w:sz w:val="21"/>
                <w:szCs w:val="21"/>
                <w:u w:val="none" w:color="auto"/>
                <w:lang w:bidi="ar"/>
              </w:rPr>
              <w:t>。项目设计1座100m</w:t>
            </w:r>
            <w:r>
              <w:rPr>
                <w:rFonts w:hint="default" w:ascii="Times New Roman" w:hAnsi="Times New Roman" w:eastAsia="宋体" w:cs="Times New Roman"/>
                <w:color w:val="auto"/>
                <w:kern w:val="0"/>
                <w:sz w:val="21"/>
                <w:szCs w:val="21"/>
                <w:u w:val="none" w:color="auto"/>
                <w:vertAlign w:val="superscript"/>
                <w:lang w:bidi="ar"/>
              </w:rPr>
              <w:t>3</w:t>
            </w:r>
            <w:r>
              <w:rPr>
                <w:rFonts w:hint="default" w:ascii="Times New Roman" w:hAnsi="Times New Roman" w:eastAsia="宋体" w:cs="Times New Roman"/>
                <w:color w:val="auto"/>
                <w:kern w:val="0"/>
                <w:sz w:val="21"/>
                <w:szCs w:val="21"/>
                <w:u w:val="none" w:color="auto"/>
                <w:lang w:bidi="ar"/>
              </w:rPr>
              <w:t>消防废水池，消防废水池建设应按照《危险废物贮存污染控制标准》（GB18597-2023）中的相关要求做好防渗措施；生产车间和污水站应设置收集槽，以保证事故发生时，废水能够收集到消防废水池内</w:t>
            </w:r>
            <w:r>
              <w:rPr>
                <w:rFonts w:hint="default" w:ascii="Times New Roman" w:hAnsi="Times New Roman" w:eastAsia="宋体" w:cs="Times New Roman"/>
                <w:bCs/>
                <w:color w:val="auto"/>
                <w:sz w:val="21"/>
                <w:szCs w:val="21"/>
                <w:u w:val="none" w:color="auto"/>
              </w:rPr>
              <w:t>，若水质满足污水处理厂进水水质要求，将消防废水经市政污水管网排入市政污水管网；若水质不能满足污水处理厂进水水质要求，将消防废水外运委托有资质单位处理</w:t>
            </w:r>
            <w:r>
              <w:rPr>
                <w:rFonts w:hint="default" w:ascii="Times New Roman" w:hAnsi="Times New Roman" w:eastAsia="宋体" w:cs="Times New Roman"/>
                <w:bCs/>
                <w:color w:val="auto"/>
                <w:sz w:val="21"/>
                <w:szCs w:val="21"/>
                <w:u w:val="none" w:color="auto"/>
                <w:lang w:eastAsia="zh-CN"/>
              </w:rPr>
              <w:t>。</w:t>
            </w:r>
          </w:p>
        </w:tc>
      </w:tr>
      <w:tr w14:paraId="3399A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5" w:type="pct"/>
            <w:vAlign w:val="center"/>
          </w:tcPr>
          <w:p w14:paraId="1AAB13F7">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pacing w:val="-8"/>
                <w:sz w:val="21"/>
                <w:szCs w:val="21"/>
                <w:u w:val="none" w:color="auto"/>
              </w:rPr>
            </w:pPr>
            <w:r>
              <w:rPr>
                <w:rFonts w:hint="default" w:ascii="Times New Roman" w:hAnsi="Times New Roman" w:eastAsia="宋体" w:cs="Times New Roman"/>
                <w:color w:val="auto"/>
                <w:spacing w:val="-8"/>
                <w:sz w:val="21"/>
                <w:szCs w:val="21"/>
                <w:u w:val="none" w:color="auto"/>
              </w:rPr>
              <w:t>其他环境</w:t>
            </w:r>
          </w:p>
          <w:p w14:paraId="6A94EEA7">
            <w:pPr>
              <w:keepNext w:val="0"/>
              <w:keepLines w:val="0"/>
              <w:pageBreakBefore w:val="0"/>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spacing w:val="-8"/>
                <w:sz w:val="21"/>
                <w:szCs w:val="21"/>
                <w:u w:val="none" w:color="auto"/>
              </w:rPr>
            </w:pPr>
            <w:r>
              <w:rPr>
                <w:rFonts w:hint="default" w:ascii="Times New Roman" w:hAnsi="Times New Roman" w:eastAsia="宋体" w:cs="Times New Roman"/>
                <w:color w:val="auto"/>
                <w:spacing w:val="-8"/>
                <w:sz w:val="21"/>
                <w:szCs w:val="21"/>
                <w:u w:val="none" w:color="auto"/>
              </w:rPr>
              <w:t>管理要求</w:t>
            </w:r>
          </w:p>
        </w:tc>
        <w:tc>
          <w:tcPr>
            <w:tcW w:w="4624" w:type="pct"/>
            <w:gridSpan w:val="5"/>
            <w:vAlign w:val="center"/>
          </w:tcPr>
          <w:p w14:paraId="6CEF1D35">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①按照排污许可证申请与核发技术规范要求，企业及时办理排污许可证。</w:t>
            </w:r>
          </w:p>
          <w:p w14:paraId="38675F32">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②建立完善的环境管理制度，设立专门环境管理机构，建立完善的环境监测制度。</w:t>
            </w:r>
          </w:p>
          <w:p w14:paraId="0B31BA65">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③按照环境监测计划对项目废气、废水、</w:t>
            </w:r>
            <w:r>
              <w:rPr>
                <w:rFonts w:hint="eastAsia" w:cs="Times New Roman"/>
                <w:color w:val="auto"/>
                <w:sz w:val="21"/>
                <w:szCs w:val="21"/>
                <w:u w:val="none" w:color="auto"/>
                <w:lang w:eastAsia="zh-CN"/>
              </w:rPr>
              <w:t>校界</w:t>
            </w:r>
            <w:r>
              <w:rPr>
                <w:rFonts w:hint="default" w:ascii="Times New Roman" w:hAnsi="Times New Roman" w:eastAsia="宋体" w:cs="Times New Roman"/>
                <w:color w:val="auto"/>
                <w:sz w:val="21"/>
                <w:szCs w:val="21"/>
                <w:u w:val="none" w:color="auto"/>
              </w:rPr>
              <w:t>噪声等定期进行监测。</w:t>
            </w:r>
          </w:p>
          <w:p w14:paraId="48AB3DFE">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④废气排气筒预留监测口并设立相应标志牌。</w:t>
            </w:r>
          </w:p>
          <w:p w14:paraId="33F52E48">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⑤按照《固定源废气监测技术规范》（HJ/T 397-2007）要求设置采样口。</w:t>
            </w:r>
          </w:p>
          <w:p w14:paraId="63734D01">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⑥一般工业固废贮存设施按照《环境保护图形标志》的规定设置警示标志。</w:t>
            </w:r>
          </w:p>
        </w:tc>
      </w:tr>
    </w:tbl>
    <w:p w14:paraId="2537BC6F">
      <w:pPr>
        <w:pStyle w:val="2"/>
        <w:ind w:left="0" w:firstLine="0"/>
        <w:rPr>
          <w:rFonts w:hint="default" w:ascii="Times New Roman" w:hAnsi="Times New Roman" w:cs="Times New Roman"/>
          <w:color w:val="auto"/>
          <w:highlight w:val="none"/>
          <w:u w:val="none" w:color="auto"/>
        </w:rPr>
      </w:pPr>
      <w:r>
        <w:rPr>
          <w:rFonts w:hint="default" w:ascii="Times New Roman" w:hAnsi="Times New Roman" w:cs="Times New Roman"/>
          <w:snapToGrid w:val="0"/>
          <w:color w:val="auto"/>
          <w:highlight w:val="none"/>
          <w:u w:val="none" w:color="auto"/>
        </w:rPr>
        <w:br w:type="page"/>
      </w:r>
      <w:bookmarkStart w:id="107" w:name="_Toc8319"/>
      <w:bookmarkStart w:id="108" w:name="_Toc19749"/>
      <w:bookmarkStart w:id="109" w:name="_Toc4231"/>
      <w:bookmarkStart w:id="110" w:name="_Toc28296"/>
      <w:bookmarkStart w:id="111" w:name="_Toc28944"/>
      <w:bookmarkStart w:id="112" w:name="_Toc21019"/>
      <w:r>
        <w:rPr>
          <w:rFonts w:hint="default" w:ascii="Times New Roman" w:hAnsi="Times New Roman" w:cs="Times New Roman"/>
          <w:color w:val="auto"/>
          <w:highlight w:val="none"/>
          <w:u w:val="none" w:color="auto"/>
        </w:rPr>
        <w:t>六、结论</w:t>
      </w:r>
      <w:bookmarkEnd w:id="107"/>
      <w:bookmarkEnd w:id="108"/>
      <w:bookmarkEnd w:id="109"/>
      <w:bookmarkEnd w:id="110"/>
      <w:bookmarkEnd w:id="111"/>
      <w:bookmarkEnd w:id="112"/>
    </w:p>
    <w:tbl>
      <w:tblPr>
        <w:tblStyle w:val="3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751C59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14:paraId="17DEE873">
            <w:pPr>
              <w:spacing w:line="360" w:lineRule="auto"/>
              <w:ind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综上所述，</w:t>
            </w:r>
            <w:r>
              <w:rPr>
                <w:rFonts w:hint="default" w:ascii="Times New Roman" w:hAnsi="Times New Roman" w:cs="Times New Roman"/>
                <w:color w:val="auto"/>
                <w:sz w:val="24"/>
                <w:highlight w:val="none"/>
                <w:u w:val="none" w:color="auto"/>
                <w:lang w:val="en-US" w:eastAsia="zh-CN"/>
              </w:rPr>
              <w:t>镇平县雪枫中学扩建项目</w:t>
            </w:r>
            <w:r>
              <w:rPr>
                <w:rFonts w:hint="default" w:ascii="Times New Roman" w:hAnsi="Times New Roman" w:cs="Times New Roman"/>
                <w:color w:val="auto"/>
                <w:sz w:val="24"/>
                <w:highlight w:val="none"/>
                <w:u w:val="none" w:color="auto"/>
              </w:rPr>
              <w:t>的建设符合国家产业政策，项目符合规划、选址合理。在严格执行有关环保法规和“三同时”制度，认真落实环评提出的环保措施和对策的基础上能够实现污染物达标排放和合理处置，实现社会效益、经济效益和环境效益的协调发展，从环保角度分析，该项目建设是可行的。</w:t>
            </w:r>
          </w:p>
        </w:tc>
      </w:tr>
    </w:tbl>
    <w:p w14:paraId="36627362">
      <w:pPr>
        <w:rPr>
          <w:rFonts w:hint="default" w:ascii="Times New Roman" w:hAnsi="Times New Roman" w:cs="Times New Roman"/>
          <w:color w:val="auto"/>
          <w:highlight w:val="none"/>
          <w:u w:val="none" w:color="auto"/>
        </w:rPr>
        <w:sectPr>
          <w:pgSz w:w="11906" w:h="16838"/>
          <w:pgMar w:top="1701" w:right="1531" w:bottom="1701" w:left="1531" w:header="851" w:footer="851" w:gutter="0"/>
          <w:cols w:space="720" w:num="1"/>
          <w:docGrid w:linePitch="312" w:charSpace="0"/>
        </w:sectPr>
      </w:pPr>
    </w:p>
    <w:p w14:paraId="1ADBDF2F">
      <w:pPr>
        <w:rPr>
          <w:rFonts w:hint="default" w:ascii="Times New Roman" w:hAnsi="Times New Roman" w:cs="Times New Roman"/>
          <w:b/>
          <w:bCs/>
          <w:color w:val="auto"/>
          <w:sz w:val="30"/>
          <w:szCs w:val="30"/>
          <w:highlight w:val="none"/>
          <w:u w:val="none" w:color="auto"/>
        </w:rPr>
      </w:pPr>
      <w:bookmarkStart w:id="113" w:name="_Toc1605"/>
      <w:r>
        <w:rPr>
          <w:rFonts w:hint="default" w:ascii="Times New Roman" w:hAnsi="Times New Roman" w:cs="Times New Roman"/>
          <w:b/>
          <w:bCs/>
          <w:color w:val="auto"/>
          <w:sz w:val="30"/>
          <w:szCs w:val="30"/>
          <w:highlight w:val="none"/>
          <w:u w:val="none" w:color="auto"/>
        </w:rPr>
        <w:t>附表</w:t>
      </w:r>
      <w:bookmarkEnd w:id="113"/>
    </w:p>
    <w:p w14:paraId="18AA5E96">
      <w:pPr>
        <w:jc w:val="center"/>
        <w:outlineLvl w:val="0"/>
        <w:rPr>
          <w:rFonts w:hint="default" w:ascii="Times New Roman" w:hAnsi="Times New Roman" w:cs="Times New Roman"/>
          <w:b/>
          <w:bCs/>
          <w:color w:val="auto"/>
          <w:sz w:val="30"/>
          <w:szCs w:val="30"/>
          <w:highlight w:val="none"/>
          <w:u w:val="none" w:color="auto"/>
        </w:rPr>
      </w:pPr>
      <w:bookmarkStart w:id="114" w:name="_Toc6459"/>
      <w:bookmarkStart w:id="115" w:name="_Toc14185"/>
      <w:bookmarkStart w:id="116" w:name="_Toc158"/>
      <w:bookmarkStart w:id="117" w:name="_Toc30784"/>
      <w:bookmarkStart w:id="118" w:name="_Toc22385"/>
      <w:bookmarkStart w:id="119" w:name="_Toc1127"/>
      <w:r>
        <w:rPr>
          <w:rFonts w:hint="default" w:ascii="Times New Roman" w:hAnsi="Times New Roman" w:cs="Times New Roman"/>
          <w:b/>
          <w:bCs/>
          <w:color w:val="auto"/>
          <w:sz w:val="30"/>
          <w:szCs w:val="30"/>
          <w:highlight w:val="none"/>
          <w:u w:val="none" w:color="auto"/>
        </w:rPr>
        <w:t>建设项目污染物排放量汇总表</w:t>
      </w:r>
      <w:bookmarkEnd w:id="114"/>
      <w:bookmarkEnd w:id="115"/>
      <w:bookmarkEnd w:id="116"/>
      <w:bookmarkEnd w:id="117"/>
      <w:bookmarkEnd w:id="118"/>
      <w:bookmarkEnd w:id="119"/>
    </w:p>
    <w:tbl>
      <w:tblPr>
        <w:tblStyle w:val="3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0"/>
        <w:gridCol w:w="1945"/>
        <w:gridCol w:w="1387"/>
        <w:gridCol w:w="1187"/>
        <w:gridCol w:w="1599"/>
        <w:gridCol w:w="1461"/>
        <w:gridCol w:w="1655"/>
        <w:gridCol w:w="1440"/>
        <w:gridCol w:w="1502"/>
      </w:tblGrid>
      <w:tr w14:paraId="30016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 w:type="pct"/>
            <w:tcMar>
              <w:left w:w="28" w:type="dxa"/>
              <w:right w:w="28" w:type="dxa"/>
            </w:tcMar>
            <w:vAlign w:val="center"/>
          </w:tcPr>
          <w:p w14:paraId="192BBF05">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spacing w:val="-6"/>
                <w:kern w:val="21"/>
                <w:sz w:val="21"/>
                <w:szCs w:val="21"/>
                <w:u w:val="none" w:color="auto"/>
              </w:rPr>
            </w:pPr>
          </w:p>
          <w:p w14:paraId="7E2E6C65">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spacing w:val="-6"/>
                <w:kern w:val="21"/>
                <w:sz w:val="21"/>
                <w:szCs w:val="21"/>
                <w:u w:val="none" w:color="auto"/>
              </w:rPr>
            </w:pPr>
          </w:p>
          <w:p w14:paraId="07C09491">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spacing w:val="-6"/>
                <w:kern w:val="21"/>
                <w:sz w:val="21"/>
                <w:szCs w:val="21"/>
                <w:u w:val="none" w:color="auto"/>
              </w:rPr>
            </w:pPr>
            <w:r>
              <w:rPr>
                <w:rFonts w:hint="default" w:ascii="Times New Roman" w:hAnsi="Times New Roman" w:eastAsia="宋体" w:cs="Times New Roman"/>
                <w:snapToGrid w:val="0"/>
                <w:color w:val="auto"/>
                <w:spacing w:val="-6"/>
                <w:kern w:val="21"/>
                <w:sz w:val="21"/>
                <w:szCs w:val="21"/>
                <w:u w:val="none" w:color="auto"/>
              </w:rPr>
              <w:t>分类</w:t>
            </w:r>
          </w:p>
          <w:p w14:paraId="01685EAC">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spacing w:val="-6"/>
                <w:kern w:val="21"/>
                <w:sz w:val="21"/>
                <w:szCs w:val="21"/>
                <w:u w:val="none" w:color="auto"/>
              </w:rPr>
            </w:pPr>
            <w:r>
              <w:rPr>
                <w:rFonts w:hint="default" w:ascii="Times New Roman" w:hAnsi="Times New Roman" w:eastAsia="宋体" w:cs="Times New Roman"/>
                <w:snapToGrid w:val="0"/>
                <w:color w:val="auto"/>
                <w:spacing w:val="-6"/>
                <w:kern w:val="21"/>
                <w:sz w:val="21"/>
                <w:szCs w:val="21"/>
                <w:u w:val="none" w:color="auto"/>
              </w:rPr>
              <w:t>项目</w:t>
            </w:r>
          </w:p>
          <w:p w14:paraId="168BD294">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spacing w:val="-6"/>
                <w:kern w:val="21"/>
                <w:sz w:val="21"/>
                <w:szCs w:val="21"/>
                <w:u w:val="none" w:color="auto"/>
              </w:rPr>
            </w:pPr>
          </w:p>
        </w:tc>
        <w:tc>
          <w:tcPr>
            <w:tcW w:w="733" w:type="pct"/>
            <w:tcMar>
              <w:left w:w="28" w:type="dxa"/>
              <w:right w:w="28" w:type="dxa"/>
            </w:tcMar>
            <w:vAlign w:val="center"/>
          </w:tcPr>
          <w:p w14:paraId="31EA7828">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spacing w:val="-6"/>
                <w:kern w:val="21"/>
                <w:sz w:val="21"/>
                <w:szCs w:val="21"/>
                <w:u w:val="none" w:color="auto"/>
              </w:rPr>
            </w:pPr>
            <w:r>
              <w:rPr>
                <w:rFonts w:hint="default" w:ascii="Times New Roman" w:hAnsi="Times New Roman" w:eastAsia="宋体" w:cs="Times New Roman"/>
                <w:snapToGrid w:val="0"/>
                <w:color w:val="auto"/>
                <w:spacing w:val="-6"/>
                <w:kern w:val="21"/>
                <w:sz w:val="21"/>
                <w:szCs w:val="21"/>
                <w:u w:val="none" w:color="auto"/>
              </w:rPr>
              <w:t>污染物名称</w:t>
            </w:r>
          </w:p>
        </w:tc>
        <w:tc>
          <w:tcPr>
            <w:tcW w:w="510" w:type="pct"/>
            <w:tcMar>
              <w:left w:w="28" w:type="dxa"/>
              <w:right w:w="28" w:type="dxa"/>
            </w:tcMar>
            <w:vAlign w:val="center"/>
          </w:tcPr>
          <w:p w14:paraId="7434875F">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spacing w:val="-6"/>
                <w:kern w:val="21"/>
                <w:sz w:val="21"/>
                <w:szCs w:val="21"/>
                <w:u w:val="none" w:color="auto"/>
              </w:rPr>
            </w:pPr>
            <w:r>
              <w:rPr>
                <w:rFonts w:hint="default" w:ascii="Times New Roman" w:hAnsi="Times New Roman" w:eastAsia="宋体" w:cs="Times New Roman"/>
                <w:snapToGrid w:val="0"/>
                <w:color w:val="auto"/>
                <w:spacing w:val="-6"/>
                <w:kern w:val="21"/>
                <w:sz w:val="21"/>
                <w:szCs w:val="21"/>
                <w:u w:val="none" w:color="auto"/>
              </w:rPr>
              <w:t>现有工程</w:t>
            </w:r>
          </w:p>
          <w:p w14:paraId="04E71F53">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spacing w:val="-6"/>
                <w:kern w:val="21"/>
                <w:sz w:val="21"/>
                <w:szCs w:val="21"/>
                <w:u w:val="none" w:color="auto"/>
              </w:rPr>
            </w:pPr>
            <w:r>
              <w:rPr>
                <w:rFonts w:hint="default" w:ascii="Times New Roman" w:hAnsi="Times New Roman" w:eastAsia="宋体" w:cs="Times New Roman"/>
                <w:snapToGrid w:val="0"/>
                <w:color w:val="auto"/>
                <w:spacing w:val="-6"/>
                <w:kern w:val="21"/>
                <w:sz w:val="21"/>
                <w:szCs w:val="21"/>
                <w:u w:val="none" w:color="auto"/>
              </w:rPr>
              <w:t>排放量（固体废物产生量）</w:t>
            </w:r>
            <w:r>
              <w:rPr>
                <w:rFonts w:hint="default" w:ascii="Times New Roman" w:hAnsi="Times New Roman" w:eastAsia="宋体" w:cs="Times New Roman"/>
                <w:snapToGrid w:val="0"/>
                <w:color w:val="auto"/>
                <w:spacing w:val="-6"/>
                <w:kern w:val="21"/>
                <w:sz w:val="21"/>
                <w:szCs w:val="21"/>
                <w:u w:val="none" w:color="auto"/>
              </w:rPr>
              <w:fldChar w:fldCharType="begin"/>
            </w:r>
            <w:r>
              <w:rPr>
                <w:rFonts w:hint="default" w:ascii="Times New Roman" w:hAnsi="Times New Roman" w:eastAsia="宋体" w:cs="Times New Roman"/>
                <w:snapToGrid w:val="0"/>
                <w:color w:val="auto"/>
                <w:spacing w:val="-6"/>
                <w:kern w:val="21"/>
                <w:sz w:val="21"/>
                <w:szCs w:val="21"/>
                <w:u w:val="none" w:color="auto"/>
              </w:rPr>
              <w:instrText xml:space="preserve"> = 1 \* GB3 \* MERGEFORMAT </w:instrText>
            </w:r>
            <w:r>
              <w:rPr>
                <w:rFonts w:hint="default" w:ascii="Times New Roman" w:hAnsi="Times New Roman" w:eastAsia="宋体" w:cs="Times New Roman"/>
                <w:snapToGrid w:val="0"/>
                <w:color w:val="auto"/>
                <w:spacing w:val="-6"/>
                <w:kern w:val="21"/>
                <w:sz w:val="21"/>
                <w:szCs w:val="21"/>
                <w:u w:val="none" w:color="auto"/>
              </w:rPr>
              <w:fldChar w:fldCharType="separate"/>
            </w:r>
            <w:r>
              <w:rPr>
                <w:rFonts w:hint="default" w:ascii="Times New Roman" w:hAnsi="Times New Roman" w:eastAsia="宋体" w:cs="Times New Roman"/>
                <w:color w:val="auto"/>
                <w:kern w:val="2"/>
                <w:sz w:val="21"/>
                <w:szCs w:val="21"/>
                <w:u w:val="none" w:color="auto"/>
              </w:rPr>
              <w:t>①</w:t>
            </w:r>
            <w:r>
              <w:rPr>
                <w:rFonts w:hint="default" w:ascii="Times New Roman" w:hAnsi="Times New Roman" w:eastAsia="宋体" w:cs="Times New Roman"/>
                <w:snapToGrid w:val="0"/>
                <w:color w:val="auto"/>
                <w:spacing w:val="-6"/>
                <w:kern w:val="21"/>
                <w:sz w:val="21"/>
                <w:szCs w:val="21"/>
                <w:u w:val="none" w:color="auto"/>
              </w:rPr>
              <w:fldChar w:fldCharType="end"/>
            </w:r>
          </w:p>
        </w:tc>
        <w:tc>
          <w:tcPr>
            <w:tcW w:w="448" w:type="pct"/>
            <w:tcMar>
              <w:left w:w="28" w:type="dxa"/>
              <w:right w:w="28" w:type="dxa"/>
            </w:tcMar>
            <w:vAlign w:val="center"/>
          </w:tcPr>
          <w:p w14:paraId="664156ED">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spacing w:val="-6"/>
                <w:kern w:val="21"/>
                <w:sz w:val="21"/>
                <w:szCs w:val="21"/>
                <w:u w:val="none" w:color="auto"/>
              </w:rPr>
            </w:pPr>
            <w:r>
              <w:rPr>
                <w:rFonts w:hint="default" w:ascii="Times New Roman" w:hAnsi="Times New Roman" w:eastAsia="宋体" w:cs="Times New Roman"/>
                <w:snapToGrid w:val="0"/>
                <w:color w:val="auto"/>
                <w:spacing w:val="-6"/>
                <w:kern w:val="21"/>
                <w:sz w:val="21"/>
                <w:szCs w:val="21"/>
                <w:u w:val="none" w:color="auto"/>
              </w:rPr>
              <w:t>现有工程</w:t>
            </w:r>
          </w:p>
          <w:p w14:paraId="499A4CDB">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spacing w:val="-6"/>
                <w:kern w:val="21"/>
                <w:sz w:val="21"/>
                <w:szCs w:val="21"/>
                <w:u w:val="none" w:color="auto"/>
              </w:rPr>
            </w:pPr>
            <w:r>
              <w:rPr>
                <w:rFonts w:hint="default" w:ascii="Times New Roman" w:hAnsi="Times New Roman" w:eastAsia="宋体" w:cs="Times New Roman"/>
                <w:snapToGrid w:val="0"/>
                <w:color w:val="auto"/>
                <w:spacing w:val="-6"/>
                <w:kern w:val="21"/>
                <w:sz w:val="21"/>
                <w:szCs w:val="21"/>
                <w:u w:val="none" w:color="auto"/>
              </w:rPr>
              <w:t>许可排放量</w:t>
            </w:r>
          </w:p>
          <w:p w14:paraId="46E908C0">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spacing w:val="-6"/>
                <w:kern w:val="21"/>
                <w:sz w:val="21"/>
                <w:szCs w:val="21"/>
                <w:u w:val="none" w:color="auto"/>
              </w:rPr>
            </w:pPr>
            <w:r>
              <w:rPr>
                <w:rFonts w:hint="default" w:ascii="Times New Roman" w:hAnsi="Times New Roman" w:eastAsia="宋体" w:cs="Times New Roman"/>
                <w:snapToGrid w:val="0"/>
                <w:color w:val="auto"/>
                <w:spacing w:val="-6"/>
                <w:kern w:val="21"/>
                <w:sz w:val="21"/>
                <w:szCs w:val="21"/>
                <w:u w:val="none" w:color="auto"/>
              </w:rPr>
              <w:fldChar w:fldCharType="begin"/>
            </w:r>
            <w:r>
              <w:rPr>
                <w:rFonts w:hint="default" w:ascii="Times New Roman" w:hAnsi="Times New Roman" w:eastAsia="宋体" w:cs="Times New Roman"/>
                <w:snapToGrid w:val="0"/>
                <w:color w:val="auto"/>
                <w:spacing w:val="-6"/>
                <w:kern w:val="21"/>
                <w:sz w:val="21"/>
                <w:szCs w:val="21"/>
                <w:u w:val="none" w:color="auto"/>
              </w:rPr>
              <w:instrText xml:space="preserve"> = 2 \* GB3 \* MERGEFORMAT </w:instrText>
            </w:r>
            <w:r>
              <w:rPr>
                <w:rFonts w:hint="default" w:ascii="Times New Roman" w:hAnsi="Times New Roman" w:eastAsia="宋体" w:cs="Times New Roman"/>
                <w:snapToGrid w:val="0"/>
                <w:color w:val="auto"/>
                <w:spacing w:val="-6"/>
                <w:kern w:val="21"/>
                <w:sz w:val="21"/>
                <w:szCs w:val="21"/>
                <w:u w:val="none" w:color="auto"/>
              </w:rPr>
              <w:fldChar w:fldCharType="separate"/>
            </w:r>
            <w:r>
              <w:rPr>
                <w:rFonts w:hint="default" w:ascii="Times New Roman" w:hAnsi="Times New Roman" w:eastAsia="宋体" w:cs="Times New Roman"/>
                <w:snapToGrid w:val="0"/>
                <w:color w:val="auto"/>
                <w:spacing w:val="-6"/>
                <w:kern w:val="21"/>
                <w:sz w:val="21"/>
                <w:szCs w:val="21"/>
                <w:u w:val="none" w:color="auto"/>
              </w:rPr>
              <w:t>②</w:t>
            </w:r>
            <w:r>
              <w:rPr>
                <w:rFonts w:hint="default" w:ascii="Times New Roman" w:hAnsi="Times New Roman" w:eastAsia="宋体" w:cs="Times New Roman"/>
                <w:snapToGrid w:val="0"/>
                <w:color w:val="auto"/>
                <w:spacing w:val="-6"/>
                <w:kern w:val="21"/>
                <w:sz w:val="21"/>
                <w:szCs w:val="21"/>
                <w:u w:val="none" w:color="auto"/>
              </w:rPr>
              <w:fldChar w:fldCharType="end"/>
            </w:r>
          </w:p>
        </w:tc>
        <w:tc>
          <w:tcPr>
            <w:tcW w:w="603" w:type="pct"/>
            <w:tcMar>
              <w:left w:w="28" w:type="dxa"/>
              <w:right w:w="28" w:type="dxa"/>
            </w:tcMar>
            <w:vAlign w:val="center"/>
          </w:tcPr>
          <w:p w14:paraId="10048395">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spacing w:val="-6"/>
                <w:kern w:val="21"/>
                <w:sz w:val="21"/>
                <w:szCs w:val="21"/>
                <w:u w:val="none" w:color="auto"/>
              </w:rPr>
            </w:pPr>
            <w:r>
              <w:rPr>
                <w:rFonts w:hint="default" w:ascii="Times New Roman" w:hAnsi="Times New Roman" w:eastAsia="宋体" w:cs="Times New Roman"/>
                <w:snapToGrid w:val="0"/>
                <w:color w:val="auto"/>
                <w:spacing w:val="-6"/>
                <w:kern w:val="21"/>
                <w:sz w:val="21"/>
                <w:szCs w:val="21"/>
                <w:u w:val="none" w:color="auto"/>
              </w:rPr>
              <w:t>在建工程</w:t>
            </w:r>
          </w:p>
          <w:p w14:paraId="59A0886D">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spacing w:val="-6"/>
                <w:kern w:val="21"/>
                <w:sz w:val="21"/>
                <w:szCs w:val="21"/>
                <w:u w:val="none" w:color="auto"/>
              </w:rPr>
            </w:pPr>
            <w:r>
              <w:rPr>
                <w:rFonts w:hint="default" w:ascii="Times New Roman" w:hAnsi="Times New Roman" w:eastAsia="宋体" w:cs="Times New Roman"/>
                <w:snapToGrid w:val="0"/>
                <w:color w:val="auto"/>
                <w:spacing w:val="-6"/>
                <w:kern w:val="21"/>
                <w:sz w:val="21"/>
                <w:szCs w:val="21"/>
                <w:u w:val="none" w:color="auto"/>
              </w:rPr>
              <w:t>排放量（固体废物产生量）</w:t>
            </w:r>
            <w:r>
              <w:rPr>
                <w:rFonts w:hint="default" w:ascii="Times New Roman" w:hAnsi="Times New Roman" w:eastAsia="宋体" w:cs="Times New Roman"/>
                <w:snapToGrid w:val="0"/>
                <w:color w:val="auto"/>
                <w:spacing w:val="-6"/>
                <w:kern w:val="21"/>
                <w:sz w:val="21"/>
                <w:szCs w:val="21"/>
                <w:u w:val="none" w:color="auto"/>
              </w:rPr>
              <w:fldChar w:fldCharType="begin"/>
            </w:r>
            <w:r>
              <w:rPr>
                <w:rFonts w:hint="default" w:ascii="Times New Roman" w:hAnsi="Times New Roman" w:eastAsia="宋体" w:cs="Times New Roman"/>
                <w:snapToGrid w:val="0"/>
                <w:color w:val="auto"/>
                <w:spacing w:val="-6"/>
                <w:kern w:val="21"/>
                <w:sz w:val="21"/>
                <w:szCs w:val="21"/>
                <w:u w:val="none" w:color="auto"/>
              </w:rPr>
              <w:instrText xml:space="preserve"> = 3 \* GB3 \* MERGEFORMAT </w:instrText>
            </w:r>
            <w:r>
              <w:rPr>
                <w:rFonts w:hint="default" w:ascii="Times New Roman" w:hAnsi="Times New Roman" w:eastAsia="宋体" w:cs="Times New Roman"/>
                <w:snapToGrid w:val="0"/>
                <w:color w:val="auto"/>
                <w:spacing w:val="-6"/>
                <w:kern w:val="21"/>
                <w:sz w:val="21"/>
                <w:szCs w:val="21"/>
                <w:u w:val="none" w:color="auto"/>
              </w:rPr>
              <w:fldChar w:fldCharType="separate"/>
            </w:r>
            <w:r>
              <w:rPr>
                <w:rFonts w:hint="default" w:ascii="Times New Roman" w:hAnsi="Times New Roman" w:eastAsia="宋体" w:cs="Times New Roman"/>
                <w:color w:val="auto"/>
                <w:kern w:val="2"/>
                <w:sz w:val="21"/>
                <w:szCs w:val="21"/>
                <w:u w:val="none" w:color="auto"/>
              </w:rPr>
              <w:t>③</w:t>
            </w:r>
            <w:r>
              <w:rPr>
                <w:rFonts w:hint="default" w:ascii="Times New Roman" w:hAnsi="Times New Roman" w:eastAsia="宋体" w:cs="Times New Roman"/>
                <w:snapToGrid w:val="0"/>
                <w:color w:val="auto"/>
                <w:spacing w:val="-6"/>
                <w:kern w:val="21"/>
                <w:sz w:val="21"/>
                <w:szCs w:val="21"/>
                <w:u w:val="none" w:color="auto"/>
              </w:rPr>
              <w:fldChar w:fldCharType="end"/>
            </w:r>
          </w:p>
        </w:tc>
        <w:tc>
          <w:tcPr>
            <w:tcW w:w="551" w:type="pct"/>
            <w:tcMar>
              <w:left w:w="28" w:type="dxa"/>
              <w:right w:w="28" w:type="dxa"/>
            </w:tcMar>
            <w:vAlign w:val="center"/>
          </w:tcPr>
          <w:p w14:paraId="1AE44B32">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spacing w:val="-6"/>
                <w:kern w:val="21"/>
                <w:sz w:val="21"/>
                <w:szCs w:val="21"/>
                <w:u w:val="none" w:color="auto"/>
              </w:rPr>
            </w:pPr>
            <w:r>
              <w:rPr>
                <w:rFonts w:hint="default" w:ascii="Times New Roman" w:hAnsi="Times New Roman" w:eastAsia="宋体" w:cs="Times New Roman"/>
                <w:snapToGrid w:val="0"/>
                <w:color w:val="auto"/>
                <w:spacing w:val="-6"/>
                <w:kern w:val="21"/>
                <w:sz w:val="21"/>
                <w:szCs w:val="21"/>
                <w:u w:val="none" w:color="auto"/>
              </w:rPr>
              <w:t>本项目</w:t>
            </w:r>
          </w:p>
          <w:p w14:paraId="5F7DA694">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spacing w:val="-6"/>
                <w:kern w:val="21"/>
                <w:sz w:val="21"/>
                <w:szCs w:val="21"/>
                <w:u w:val="none" w:color="auto"/>
              </w:rPr>
            </w:pPr>
            <w:r>
              <w:rPr>
                <w:rFonts w:hint="default" w:ascii="Times New Roman" w:hAnsi="Times New Roman" w:eastAsia="宋体" w:cs="Times New Roman"/>
                <w:snapToGrid w:val="0"/>
                <w:color w:val="auto"/>
                <w:spacing w:val="-6"/>
                <w:kern w:val="21"/>
                <w:sz w:val="21"/>
                <w:szCs w:val="21"/>
                <w:u w:val="none" w:color="auto"/>
              </w:rPr>
              <w:t>排放量（固体废物产生量）</w:t>
            </w:r>
            <w:r>
              <w:rPr>
                <w:rFonts w:hint="default" w:ascii="Times New Roman" w:hAnsi="Times New Roman" w:eastAsia="宋体" w:cs="Times New Roman"/>
                <w:snapToGrid w:val="0"/>
                <w:color w:val="auto"/>
                <w:spacing w:val="-6"/>
                <w:kern w:val="21"/>
                <w:sz w:val="21"/>
                <w:szCs w:val="21"/>
                <w:u w:val="none" w:color="auto"/>
              </w:rPr>
              <w:fldChar w:fldCharType="begin"/>
            </w:r>
            <w:r>
              <w:rPr>
                <w:rFonts w:hint="default" w:ascii="Times New Roman" w:hAnsi="Times New Roman" w:eastAsia="宋体" w:cs="Times New Roman"/>
                <w:snapToGrid w:val="0"/>
                <w:color w:val="auto"/>
                <w:spacing w:val="-6"/>
                <w:kern w:val="21"/>
                <w:sz w:val="21"/>
                <w:szCs w:val="21"/>
                <w:u w:val="none" w:color="auto"/>
              </w:rPr>
              <w:instrText xml:space="preserve"> = 4 \* GB3 \* MERGEFORMAT </w:instrText>
            </w:r>
            <w:r>
              <w:rPr>
                <w:rFonts w:hint="default" w:ascii="Times New Roman" w:hAnsi="Times New Roman" w:eastAsia="宋体" w:cs="Times New Roman"/>
                <w:snapToGrid w:val="0"/>
                <w:color w:val="auto"/>
                <w:spacing w:val="-6"/>
                <w:kern w:val="21"/>
                <w:sz w:val="21"/>
                <w:szCs w:val="21"/>
                <w:u w:val="none" w:color="auto"/>
              </w:rPr>
              <w:fldChar w:fldCharType="separate"/>
            </w:r>
            <w:r>
              <w:rPr>
                <w:rFonts w:hint="default" w:ascii="Times New Roman" w:hAnsi="Times New Roman" w:eastAsia="宋体" w:cs="Times New Roman"/>
                <w:color w:val="auto"/>
                <w:kern w:val="2"/>
                <w:sz w:val="21"/>
                <w:szCs w:val="21"/>
                <w:u w:val="none" w:color="auto"/>
              </w:rPr>
              <w:t>④</w:t>
            </w:r>
            <w:r>
              <w:rPr>
                <w:rFonts w:hint="default" w:ascii="Times New Roman" w:hAnsi="Times New Roman" w:eastAsia="宋体" w:cs="Times New Roman"/>
                <w:snapToGrid w:val="0"/>
                <w:color w:val="auto"/>
                <w:spacing w:val="-6"/>
                <w:kern w:val="21"/>
                <w:sz w:val="21"/>
                <w:szCs w:val="21"/>
                <w:u w:val="none" w:color="auto"/>
              </w:rPr>
              <w:fldChar w:fldCharType="end"/>
            </w:r>
          </w:p>
        </w:tc>
        <w:tc>
          <w:tcPr>
            <w:tcW w:w="624" w:type="pct"/>
            <w:tcMar>
              <w:left w:w="28" w:type="dxa"/>
              <w:right w:w="28" w:type="dxa"/>
            </w:tcMar>
            <w:vAlign w:val="center"/>
          </w:tcPr>
          <w:p w14:paraId="44B6443B">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spacing w:val="-16"/>
                <w:kern w:val="21"/>
                <w:sz w:val="21"/>
                <w:szCs w:val="21"/>
                <w:u w:val="none" w:color="auto"/>
              </w:rPr>
            </w:pPr>
            <w:r>
              <w:rPr>
                <w:rFonts w:hint="default" w:ascii="Times New Roman" w:hAnsi="Times New Roman" w:eastAsia="宋体" w:cs="Times New Roman"/>
                <w:snapToGrid w:val="0"/>
                <w:color w:val="auto"/>
                <w:spacing w:val="-16"/>
                <w:kern w:val="21"/>
                <w:sz w:val="21"/>
                <w:szCs w:val="21"/>
                <w:u w:val="none" w:color="auto"/>
              </w:rPr>
              <w:t>以新带老削减量</w:t>
            </w:r>
          </w:p>
          <w:p w14:paraId="6D16270F">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spacing w:val="-16"/>
                <w:kern w:val="21"/>
                <w:sz w:val="21"/>
                <w:szCs w:val="21"/>
                <w:u w:val="none" w:color="auto"/>
              </w:rPr>
            </w:pPr>
            <w:r>
              <w:rPr>
                <w:rFonts w:hint="default" w:ascii="Times New Roman" w:hAnsi="Times New Roman" w:eastAsia="宋体" w:cs="Times New Roman"/>
                <w:snapToGrid w:val="0"/>
                <w:color w:val="auto"/>
                <w:spacing w:val="-16"/>
                <w:kern w:val="21"/>
                <w:sz w:val="21"/>
                <w:szCs w:val="21"/>
                <w:u w:val="none" w:color="auto"/>
              </w:rPr>
              <w:t>（新建项目不填）</w:t>
            </w:r>
            <w:r>
              <w:rPr>
                <w:rFonts w:hint="default" w:ascii="Times New Roman" w:hAnsi="Times New Roman" w:eastAsia="宋体" w:cs="Times New Roman"/>
                <w:snapToGrid w:val="0"/>
                <w:color w:val="auto"/>
                <w:spacing w:val="-16"/>
                <w:kern w:val="21"/>
                <w:sz w:val="21"/>
                <w:szCs w:val="21"/>
                <w:u w:val="none" w:color="auto"/>
              </w:rPr>
              <w:fldChar w:fldCharType="begin"/>
            </w:r>
            <w:r>
              <w:rPr>
                <w:rFonts w:hint="default" w:ascii="Times New Roman" w:hAnsi="Times New Roman" w:eastAsia="宋体" w:cs="Times New Roman"/>
                <w:snapToGrid w:val="0"/>
                <w:color w:val="auto"/>
                <w:spacing w:val="-16"/>
                <w:kern w:val="21"/>
                <w:sz w:val="21"/>
                <w:szCs w:val="21"/>
                <w:u w:val="none" w:color="auto"/>
              </w:rPr>
              <w:instrText xml:space="preserve"> = 5 \* GB3 \* MERGEFORMAT </w:instrText>
            </w:r>
            <w:r>
              <w:rPr>
                <w:rFonts w:hint="default" w:ascii="Times New Roman" w:hAnsi="Times New Roman" w:eastAsia="宋体" w:cs="Times New Roman"/>
                <w:snapToGrid w:val="0"/>
                <w:color w:val="auto"/>
                <w:spacing w:val="-16"/>
                <w:kern w:val="21"/>
                <w:sz w:val="21"/>
                <w:szCs w:val="21"/>
                <w:u w:val="none" w:color="auto"/>
              </w:rPr>
              <w:fldChar w:fldCharType="separate"/>
            </w:r>
            <w:r>
              <w:rPr>
                <w:rFonts w:hint="default" w:ascii="Times New Roman" w:hAnsi="Times New Roman" w:eastAsia="宋体" w:cs="Times New Roman"/>
                <w:color w:val="auto"/>
                <w:kern w:val="2"/>
                <w:sz w:val="21"/>
                <w:szCs w:val="21"/>
                <w:u w:val="none" w:color="auto"/>
              </w:rPr>
              <w:t>⑤</w:t>
            </w:r>
            <w:r>
              <w:rPr>
                <w:rFonts w:hint="default" w:ascii="Times New Roman" w:hAnsi="Times New Roman" w:eastAsia="宋体" w:cs="Times New Roman"/>
                <w:snapToGrid w:val="0"/>
                <w:color w:val="auto"/>
                <w:spacing w:val="-16"/>
                <w:kern w:val="21"/>
                <w:sz w:val="21"/>
                <w:szCs w:val="21"/>
                <w:u w:val="none" w:color="auto"/>
              </w:rPr>
              <w:fldChar w:fldCharType="end"/>
            </w:r>
          </w:p>
        </w:tc>
        <w:tc>
          <w:tcPr>
            <w:tcW w:w="543" w:type="pct"/>
            <w:tcMar>
              <w:left w:w="28" w:type="dxa"/>
              <w:right w:w="28" w:type="dxa"/>
            </w:tcMar>
            <w:vAlign w:val="center"/>
          </w:tcPr>
          <w:p w14:paraId="233013B1">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spacing w:val="-16"/>
                <w:kern w:val="21"/>
                <w:sz w:val="21"/>
                <w:szCs w:val="21"/>
                <w:u w:val="none" w:color="auto"/>
              </w:rPr>
            </w:pPr>
            <w:r>
              <w:rPr>
                <w:rFonts w:hint="default" w:ascii="Times New Roman" w:hAnsi="Times New Roman" w:eastAsia="宋体" w:cs="Times New Roman"/>
                <w:snapToGrid w:val="0"/>
                <w:color w:val="auto"/>
                <w:spacing w:val="-16"/>
                <w:kern w:val="21"/>
                <w:sz w:val="21"/>
                <w:szCs w:val="21"/>
                <w:u w:val="none" w:color="auto"/>
              </w:rPr>
              <w:t>本项目建成后</w:t>
            </w:r>
          </w:p>
          <w:p w14:paraId="136DC61E">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spacing w:val="-16"/>
                <w:kern w:val="21"/>
                <w:sz w:val="21"/>
                <w:szCs w:val="21"/>
                <w:u w:val="none" w:color="auto"/>
              </w:rPr>
            </w:pPr>
            <w:r>
              <w:rPr>
                <w:rFonts w:hint="default" w:ascii="Times New Roman" w:hAnsi="Times New Roman" w:eastAsia="宋体" w:cs="Times New Roman"/>
                <w:snapToGrid w:val="0"/>
                <w:color w:val="auto"/>
                <w:spacing w:val="-16"/>
                <w:kern w:val="21"/>
                <w:sz w:val="21"/>
                <w:szCs w:val="21"/>
                <w:u w:val="none" w:color="auto"/>
              </w:rPr>
              <w:t>全厂排放量（固体废物产生量）</w:t>
            </w:r>
            <w:r>
              <w:rPr>
                <w:rFonts w:hint="default" w:ascii="Times New Roman" w:hAnsi="Times New Roman" w:eastAsia="宋体" w:cs="Times New Roman"/>
                <w:snapToGrid w:val="0"/>
                <w:color w:val="auto"/>
                <w:spacing w:val="-16"/>
                <w:kern w:val="21"/>
                <w:sz w:val="21"/>
                <w:szCs w:val="21"/>
                <w:u w:val="none" w:color="auto"/>
              </w:rPr>
              <w:fldChar w:fldCharType="begin"/>
            </w:r>
            <w:r>
              <w:rPr>
                <w:rFonts w:hint="default" w:ascii="Times New Roman" w:hAnsi="Times New Roman" w:eastAsia="宋体" w:cs="Times New Roman"/>
                <w:snapToGrid w:val="0"/>
                <w:color w:val="auto"/>
                <w:spacing w:val="-16"/>
                <w:kern w:val="21"/>
                <w:sz w:val="21"/>
                <w:szCs w:val="21"/>
                <w:u w:val="none" w:color="auto"/>
              </w:rPr>
              <w:instrText xml:space="preserve"> = 6 \* GB3 \* MERGEFORMAT </w:instrText>
            </w:r>
            <w:r>
              <w:rPr>
                <w:rFonts w:hint="default" w:ascii="Times New Roman" w:hAnsi="Times New Roman" w:eastAsia="宋体" w:cs="Times New Roman"/>
                <w:snapToGrid w:val="0"/>
                <w:color w:val="auto"/>
                <w:spacing w:val="-16"/>
                <w:kern w:val="21"/>
                <w:sz w:val="21"/>
                <w:szCs w:val="21"/>
                <w:u w:val="none" w:color="auto"/>
              </w:rPr>
              <w:fldChar w:fldCharType="separate"/>
            </w:r>
            <w:r>
              <w:rPr>
                <w:rFonts w:hint="default" w:ascii="Times New Roman" w:hAnsi="Times New Roman" w:eastAsia="宋体" w:cs="Times New Roman"/>
                <w:color w:val="auto"/>
                <w:kern w:val="2"/>
                <w:sz w:val="21"/>
                <w:szCs w:val="21"/>
                <w:u w:val="none" w:color="auto"/>
              </w:rPr>
              <w:t>⑥</w:t>
            </w:r>
            <w:r>
              <w:rPr>
                <w:rFonts w:hint="default" w:ascii="Times New Roman" w:hAnsi="Times New Roman" w:eastAsia="宋体" w:cs="Times New Roman"/>
                <w:snapToGrid w:val="0"/>
                <w:color w:val="auto"/>
                <w:spacing w:val="-16"/>
                <w:kern w:val="21"/>
                <w:sz w:val="21"/>
                <w:szCs w:val="21"/>
                <w:u w:val="none" w:color="auto"/>
              </w:rPr>
              <w:fldChar w:fldCharType="end"/>
            </w:r>
          </w:p>
        </w:tc>
        <w:tc>
          <w:tcPr>
            <w:tcW w:w="566" w:type="pct"/>
            <w:tcMar>
              <w:left w:w="28" w:type="dxa"/>
              <w:right w:w="28" w:type="dxa"/>
            </w:tcMar>
            <w:vAlign w:val="center"/>
          </w:tcPr>
          <w:p w14:paraId="3EB432E6">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spacing w:val="-6"/>
                <w:kern w:val="21"/>
                <w:sz w:val="21"/>
                <w:szCs w:val="21"/>
                <w:u w:val="none" w:color="auto"/>
              </w:rPr>
            </w:pPr>
            <w:r>
              <w:rPr>
                <w:rFonts w:hint="default" w:ascii="Times New Roman" w:hAnsi="Times New Roman" w:eastAsia="宋体" w:cs="Times New Roman"/>
                <w:snapToGrid w:val="0"/>
                <w:color w:val="auto"/>
                <w:spacing w:val="-6"/>
                <w:kern w:val="21"/>
                <w:sz w:val="21"/>
                <w:szCs w:val="21"/>
                <w:u w:val="none" w:color="auto"/>
              </w:rPr>
              <w:t>变化量</w:t>
            </w:r>
          </w:p>
          <w:p w14:paraId="0E9AFB01">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spacing w:val="-6"/>
                <w:kern w:val="21"/>
                <w:sz w:val="21"/>
                <w:szCs w:val="21"/>
                <w:u w:val="none" w:color="auto"/>
              </w:rPr>
            </w:pPr>
            <w:r>
              <w:rPr>
                <w:rFonts w:hint="default" w:ascii="Times New Roman" w:hAnsi="Times New Roman" w:eastAsia="宋体" w:cs="Times New Roman"/>
                <w:snapToGrid w:val="0"/>
                <w:color w:val="auto"/>
                <w:spacing w:val="-6"/>
                <w:kern w:val="21"/>
                <w:sz w:val="21"/>
                <w:szCs w:val="21"/>
                <w:u w:val="none" w:color="auto"/>
              </w:rPr>
              <w:fldChar w:fldCharType="begin"/>
            </w:r>
            <w:r>
              <w:rPr>
                <w:rFonts w:hint="default" w:ascii="Times New Roman" w:hAnsi="Times New Roman" w:eastAsia="宋体" w:cs="Times New Roman"/>
                <w:snapToGrid w:val="0"/>
                <w:color w:val="auto"/>
                <w:spacing w:val="-6"/>
                <w:kern w:val="21"/>
                <w:sz w:val="21"/>
                <w:szCs w:val="21"/>
                <w:u w:val="none" w:color="auto"/>
              </w:rPr>
              <w:instrText xml:space="preserve"> = 7 \* GB3 \* MERGEFORMAT </w:instrText>
            </w:r>
            <w:r>
              <w:rPr>
                <w:rFonts w:hint="default" w:ascii="Times New Roman" w:hAnsi="Times New Roman" w:eastAsia="宋体" w:cs="Times New Roman"/>
                <w:snapToGrid w:val="0"/>
                <w:color w:val="auto"/>
                <w:spacing w:val="-6"/>
                <w:kern w:val="21"/>
                <w:sz w:val="21"/>
                <w:szCs w:val="21"/>
                <w:u w:val="none" w:color="auto"/>
              </w:rPr>
              <w:fldChar w:fldCharType="separate"/>
            </w:r>
            <w:r>
              <w:rPr>
                <w:rFonts w:hint="default" w:ascii="Times New Roman" w:hAnsi="Times New Roman" w:eastAsia="宋体" w:cs="Times New Roman"/>
                <w:color w:val="auto"/>
                <w:kern w:val="2"/>
                <w:sz w:val="21"/>
                <w:szCs w:val="21"/>
                <w:u w:val="none" w:color="auto"/>
              </w:rPr>
              <w:t>⑦</w:t>
            </w:r>
            <w:r>
              <w:rPr>
                <w:rFonts w:hint="default" w:ascii="Times New Roman" w:hAnsi="Times New Roman" w:eastAsia="宋体" w:cs="Times New Roman"/>
                <w:snapToGrid w:val="0"/>
                <w:color w:val="auto"/>
                <w:spacing w:val="-6"/>
                <w:kern w:val="21"/>
                <w:sz w:val="21"/>
                <w:szCs w:val="21"/>
                <w:u w:val="none" w:color="auto"/>
              </w:rPr>
              <w:fldChar w:fldCharType="end"/>
            </w:r>
          </w:p>
        </w:tc>
      </w:tr>
      <w:tr w14:paraId="7C3A1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 w:type="pct"/>
            <w:vMerge w:val="restart"/>
            <w:vAlign w:val="center"/>
          </w:tcPr>
          <w:p w14:paraId="22FEDF3C">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u w:val="none" w:color="auto"/>
              </w:rPr>
              <w:t>废气</w:t>
            </w:r>
          </w:p>
        </w:tc>
        <w:tc>
          <w:tcPr>
            <w:tcW w:w="733" w:type="pct"/>
            <w:vAlign w:val="center"/>
          </w:tcPr>
          <w:p w14:paraId="04D8191A">
            <w:pPr>
              <w:pStyle w:val="149"/>
              <w:keepNext w:val="0"/>
              <w:keepLines w:val="0"/>
              <w:pageBreakBefore w:val="0"/>
              <w:widowControl w:val="0"/>
              <w:kinsoku/>
              <w:wordWrap/>
              <w:overflowPunct/>
              <w:topLinePunct w:val="0"/>
              <w:bidi w:val="0"/>
              <w:adjustRightInd w:val="0"/>
              <w:snapToGrid w:val="0"/>
              <w:spacing w:line="200" w:lineRule="exac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颗粒物</w:t>
            </w:r>
          </w:p>
        </w:tc>
        <w:tc>
          <w:tcPr>
            <w:tcW w:w="510" w:type="pct"/>
            <w:vAlign w:val="center"/>
          </w:tcPr>
          <w:p w14:paraId="28CD494E">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104.33</w:t>
            </w:r>
            <w:r>
              <w:rPr>
                <w:rFonts w:hint="default" w:ascii="Times New Roman" w:hAnsi="Times New Roman" w:eastAsia="宋体" w:cs="Times New Roman"/>
                <w:i w:val="0"/>
                <w:iCs w:val="0"/>
                <w:color w:val="auto"/>
                <w:kern w:val="0"/>
                <w:sz w:val="21"/>
                <w:szCs w:val="21"/>
                <w:highlight w:val="none"/>
                <w:u w:val="none" w:color="auto"/>
                <w:lang w:val="en-US" w:eastAsia="zh-CN" w:bidi="ar"/>
              </w:rPr>
              <w:t>kg/a</w:t>
            </w:r>
          </w:p>
        </w:tc>
        <w:tc>
          <w:tcPr>
            <w:tcW w:w="448" w:type="pct"/>
            <w:vAlign w:val="center"/>
          </w:tcPr>
          <w:p w14:paraId="04B430D9">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603" w:type="pct"/>
            <w:vAlign w:val="center"/>
          </w:tcPr>
          <w:p w14:paraId="177CC6A7">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51" w:type="pct"/>
            <w:vAlign w:val="center"/>
          </w:tcPr>
          <w:p w14:paraId="0C989FBB">
            <w:pPr>
              <w:pStyle w:val="149"/>
              <w:keepNext w:val="0"/>
              <w:keepLines w:val="0"/>
              <w:pageBreakBefore w:val="0"/>
              <w:widowControl w:val="0"/>
              <w:kinsoku/>
              <w:wordWrap/>
              <w:overflowPunct/>
              <w:topLinePunct w:val="0"/>
              <w:bidi w:val="0"/>
              <w:spacing w:line="200" w:lineRule="exac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0.19</w:t>
            </w:r>
            <w:r>
              <w:rPr>
                <w:rFonts w:hint="default" w:ascii="Times New Roman" w:hAnsi="Times New Roman" w:eastAsia="宋体" w:cs="Times New Roman"/>
                <w:i w:val="0"/>
                <w:iCs w:val="0"/>
                <w:color w:val="auto"/>
                <w:kern w:val="0"/>
                <w:sz w:val="21"/>
                <w:szCs w:val="21"/>
                <w:highlight w:val="none"/>
                <w:u w:val="none" w:color="auto"/>
                <w:lang w:val="en-US" w:eastAsia="zh-CN" w:bidi="ar"/>
              </w:rPr>
              <w:t>kg/a</w:t>
            </w:r>
          </w:p>
        </w:tc>
        <w:tc>
          <w:tcPr>
            <w:tcW w:w="624" w:type="pct"/>
            <w:vAlign w:val="center"/>
          </w:tcPr>
          <w:p w14:paraId="5A94E976">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43" w:type="pct"/>
            <w:vAlign w:val="center"/>
          </w:tcPr>
          <w:p w14:paraId="774E3382">
            <w:pPr>
              <w:keepNext w:val="0"/>
              <w:keepLines w:val="0"/>
              <w:pageBreakBefore w:val="0"/>
              <w:widowControl/>
              <w:suppressLineNumbers w:val="0"/>
              <w:kinsoku/>
              <w:wordWrap/>
              <w:overflowPunct/>
              <w:topLinePunct w:val="0"/>
              <w:bidi w:val="0"/>
              <w:spacing w:line="200" w:lineRule="exact"/>
              <w:jc w:val="center"/>
              <w:textAlignment w:val="bottom"/>
              <w:rPr>
                <w:rFonts w:hint="default" w:ascii="Times New Roman" w:hAnsi="Times New Roman" w:eastAsia="宋体" w:cs="Times New Roman"/>
                <w:color w:val="auto"/>
                <w:sz w:val="21"/>
                <w:szCs w:val="21"/>
                <w:u w:val="none" w:color="auto"/>
                <w:lang w:val="en-US"/>
              </w:rPr>
            </w:pPr>
            <w:r>
              <w:rPr>
                <w:rFonts w:hint="default" w:ascii="Times New Roman" w:hAnsi="Times New Roman" w:eastAsia="宋体" w:cs="Times New Roman"/>
                <w:i w:val="0"/>
                <w:iCs w:val="0"/>
                <w:color w:val="auto"/>
                <w:kern w:val="0"/>
                <w:sz w:val="21"/>
                <w:szCs w:val="21"/>
                <w:highlight w:val="none"/>
                <w:u w:val="none" w:color="auto"/>
                <w:lang w:val="en-US" w:eastAsia="zh-CN" w:bidi="ar"/>
              </w:rPr>
              <w:t>104.52kg/a</w:t>
            </w:r>
          </w:p>
        </w:tc>
        <w:tc>
          <w:tcPr>
            <w:tcW w:w="566" w:type="pct"/>
            <w:vAlign w:val="center"/>
          </w:tcPr>
          <w:p w14:paraId="32AFCCF4">
            <w:pPr>
              <w:pStyle w:val="149"/>
              <w:keepNext w:val="0"/>
              <w:keepLines w:val="0"/>
              <w:pageBreakBefore w:val="0"/>
              <w:widowControl w:val="0"/>
              <w:kinsoku/>
              <w:wordWrap/>
              <w:overflowPunct/>
              <w:topLinePunct w:val="0"/>
              <w:bidi w:val="0"/>
              <w:spacing w:line="200" w:lineRule="exac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+0.19</w:t>
            </w:r>
            <w:r>
              <w:rPr>
                <w:rFonts w:hint="default" w:ascii="Times New Roman" w:hAnsi="Times New Roman" w:eastAsia="宋体" w:cs="Times New Roman"/>
                <w:i w:val="0"/>
                <w:iCs w:val="0"/>
                <w:color w:val="auto"/>
                <w:kern w:val="0"/>
                <w:sz w:val="21"/>
                <w:szCs w:val="21"/>
                <w:highlight w:val="none"/>
                <w:u w:val="none" w:color="auto"/>
                <w:lang w:val="en-US" w:eastAsia="zh-CN" w:bidi="ar"/>
              </w:rPr>
              <w:t>kg/a</w:t>
            </w:r>
          </w:p>
        </w:tc>
      </w:tr>
      <w:tr w14:paraId="0D58F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 w:type="pct"/>
            <w:vMerge w:val="continue"/>
            <w:vAlign w:val="center"/>
          </w:tcPr>
          <w:p w14:paraId="72D330D3">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733" w:type="pct"/>
            <w:vAlign w:val="center"/>
          </w:tcPr>
          <w:p w14:paraId="03E7F63A">
            <w:pPr>
              <w:pStyle w:val="149"/>
              <w:keepNext w:val="0"/>
              <w:keepLines w:val="0"/>
              <w:pageBreakBefore w:val="0"/>
              <w:widowControl w:val="0"/>
              <w:kinsoku/>
              <w:wordWrap/>
              <w:overflowPunct/>
              <w:topLinePunct w:val="0"/>
              <w:bidi w:val="0"/>
              <w:adjustRightInd w:val="0"/>
              <w:snapToGrid w:val="0"/>
              <w:spacing w:line="200" w:lineRule="exac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非甲烷总烃</w:t>
            </w:r>
          </w:p>
        </w:tc>
        <w:tc>
          <w:tcPr>
            <w:tcW w:w="510" w:type="pct"/>
            <w:vAlign w:val="center"/>
          </w:tcPr>
          <w:p w14:paraId="52520122">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448" w:type="pct"/>
            <w:vAlign w:val="center"/>
          </w:tcPr>
          <w:p w14:paraId="5D670F40">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603" w:type="pct"/>
            <w:vAlign w:val="center"/>
          </w:tcPr>
          <w:p w14:paraId="099B3E87">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51" w:type="pct"/>
            <w:vAlign w:val="center"/>
          </w:tcPr>
          <w:p w14:paraId="56A8129A">
            <w:pPr>
              <w:pStyle w:val="149"/>
              <w:keepNext w:val="0"/>
              <w:keepLines w:val="0"/>
              <w:pageBreakBefore w:val="0"/>
              <w:widowControl w:val="0"/>
              <w:kinsoku/>
              <w:wordWrap/>
              <w:overflowPunct/>
              <w:topLinePunct w:val="0"/>
              <w:bidi w:val="0"/>
              <w:spacing w:line="200" w:lineRule="exac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230kg/a</w:t>
            </w:r>
          </w:p>
        </w:tc>
        <w:tc>
          <w:tcPr>
            <w:tcW w:w="624" w:type="pct"/>
            <w:vAlign w:val="center"/>
          </w:tcPr>
          <w:p w14:paraId="6D35F217">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43" w:type="pct"/>
            <w:vAlign w:val="center"/>
          </w:tcPr>
          <w:p w14:paraId="587AFED4">
            <w:pPr>
              <w:keepNext w:val="0"/>
              <w:keepLines w:val="0"/>
              <w:pageBreakBefore w:val="0"/>
              <w:widowControl/>
              <w:suppressLineNumbers w:val="0"/>
              <w:kinsoku/>
              <w:wordWrap/>
              <w:overflowPunct/>
              <w:topLinePunct w:val="0"/>
              <w:bidi w:val="0"/>
              <w:spacing w:line="200" w:lineRule="exact"/>
              <w:jc w:val="center"/>
              <w:textAlignment w:val="bottom"/>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230kg/a</w:t>
            </w:r>
          </w:p>
        </w:tc>
        <w:tc>
          <w:tcPr>
            <w:tcW w:w="566" w:type="pct"/>
            <w:vAlign w:val="center"/>
          </w:tcPr>
          <w:p w14:paraId="4C17B2CA">
            <w:pPr>
              <w:pStyle w:val="149"/>
              <w:keepNext w:val="0"/>
              <w:keepLines w:val="0"/>
              <w:pageBreakBefore w:val="0"/>
              <w:widowControl w:val="0"/>
              <w:kinsoku/>
              <w:wordWrap/>
              <w:overflowPunct/>
              <w:topLinePunct w:val="0"/>
              <w:bidi w:val="0"/>
              <w:spacing w:line="200" w:lineRule="exac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i w:val="0"/>
                <w:iCs w:val="0"/>
                <w:color w:val="auto"/>
                <w:kern w:val="0"/>
                <w:sz w:val="21"/>
                <w:szCs w:val="21"/>
                <w:highlight w:val="none"/>
                <w:u w:val="none" w:color="auto"/>
                <w:lang w:val="en-US" w:eastAsia="zh-CN" w:bidi="ar"/>
              </w:rPr>
              <w:t>+230kg/a</w:t>
            </w:r>
          </w:p>
        </w:tc>
      </w:tr>
      <w:tr w14:paraId="26687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 w:type="pct"/>
            <w:vMerge w:val="restart"/>
            <w:vAlign w:val="center"/>
          </w:tcPr>
          <w:p w14:paraId="649851A8">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u w:val="none" w:color="auto"/>
              </w:rPr>
              <w:t>废水</w:t>
            </w:r>
          </w:p>
        </w:tc>
        <w:tc>
          <w:tcPr>
            <w:tcW w:w="733" w:type="pct"/>
            <w:vAlign w:val="center"/>
          </w:tcPr>
          <w:p w14:paraId="0E95701B">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u w:val="none" w:color="auto"/>
              </w:rPr>
              <w:t>废水量</w:t>
            </w:r>
          </w:p>
        </w:tc>
        <w:tc>
          <w:tcPr>
            <w:tcW w:w="510" w:type="pct"/>
            <w:vAlign w:val="center"/>
          </w:tcPr>
          <w:p w14:paraId="404639EE">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104219.2</w:t>
            </w:r>
            <w:r>
              <w:rPr>
                <w:rFonts w:hint="default" w:ascii="Times New Roman" w:hAnsi="Times New Roman" w:eastAsia="宋体" w:cs="Times New Roman"/>
                <w:color w:val="auto"/>
                <w:kern w:val="2"/>
                <w:sz w:val="21"/>
                <w:szCs w:val="21"/>
                <w:u w:val="none" w:color="auto"/>
              </w:rPr>
              <w:t>m</w:t>
            </w:r>
            <w:r>
              <w:rPr>
                <w:rFonts w:hint="default" w:ascii="Times New Roman" w:hAnsi="Times New Roman" w:eastAsia="宋体" w:cs="Times New Roman"/>
                <w:color w:val="auto"/>
                <w:kern w:val="2"/>
                <w:sz w:val="21"/>
                <w:szCs w:val="21"/>
                <w:u w:val="none" w:color="auto"/>
                <w:vertAlign w:val="superscript"/>
              </w:rPr>
              <w:t>3</w:t>
            </w:r>
            <w:r>
              <w:rPr>
                <w:rFonts w:hint="default" w:ascii="Times New Roman" w:hAnsi="Times New Roman" w:eastAsia="宋体" w:cs="Times New Roman"/>
                <w:color w:val="auto"/>
                <w:kern w:val="2"/>
                <w:sz w:val="21"/>
                <w:szCs w:val="21"/>
                <w:u w:val="none" w:color="auto"/>
              </w:rPr>
              <w:t>/a</w:t>
            </w:r>
          </w:p>
        </w:tc>
        <w:tc>
          <w:tcPr>
            <w:tcW w:w="448" w:type="pct"/>
            <w:vAlign w:val="center"/>
          </w:tcPr>
          <w:p w14:paraId="3C14B030">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603" w:type="pct"/>
            <w:vAlign w:val="center"/>
          </w:tcPr>
          <w:p w14:paraId="2374939E">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51" w:type="pct"/>
            <w:vAlign w:val="center"/>
          </w:tcPr>
          <w:p w14:paraId="44AFC91B">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color w:val="auto"/>
                <w:kern w:val="2"/>
                <w:sz w:val="21"/>
                <w:szCs w:val="21"/>
                <w:u w:val="none" w:color="auto"/>
              </w:rPr>
            </w:pPr>
            <w:r>
              <w:rPr>
                <w:rFonts w:hint="default" w:ascii="Times New Roman" w:hAnsi="Times New Roman" w:eastAsia="宋体" w:cs="Times New Roman"/>
                <w:color w:val="auto"/>
                <w:kern w:val="2"/>
                <w:sz w:val="21"/>
                <w:szCs w:val="21"/>
                <w:u w:val="none" w:color="auto"/>
                <w:lang w:val="en-US" w:eastAsia="zh-CN"/>
              </w:rPr>
              <w:t>896</w:t>
            </w:r>
            <w:r>
              <w:rPr>
                <w:rFonts w:hint="default" w:ascii="Times New Roman" w:hAnsi="Times New Roman" w:eastAsia="宋体" w:cs="Times New Roman"/>
                <w:color w:val="auto"/>
                <w:kern w:val="2"/>
                <w:sz w:val="21"/>
                <w:szCs w:val="21"/>
                <w:u w:val="none" w:color="auto"/>
              </w:rPr>
              <w:t>m</w:t>
            </w:r>
            <w:r>
              <w:rPr>
                <w:rFonts w:hint="default" w:ascii="Times New Roman" w:hAnsi="Times New Roman" w:eastAsia="宋体" w:cs="Times New Roman"/>
                <w:color w:val="auto"/>
                <w:kern w:val="2"/>
                <w:sz w:val="21"/>
                <w:szCs w:val="21"/>
                <w:u w:val="none" w:color="auto"/>
                <w:vertAlign w:val="superscript"/>
              </w:rPr>
              <w:t>3</w:t>
            </w:r>
            <w:r>
              <w:rPr>
                <w:rFonts w:hint="default" w:ascii="Times New Roman" w:hAnsi="Times New Roman" w:eastAsia="宋体" w:cs="Times New Roman"/>
                <w:color w:val="auto"/>
                <w:kern w:val="2"/>
                <w:sz w:val="21"/>
                <w:szCs w:val="21"/>
                <w:u w:val="none" w:color="auto"/>
              </w:rPr>
              <w:t>/a</w:t>
            </w:r>
          </w:p>
        </w:tc>
        <w:tc>
          <w:tcPr>
            <w:tcW w:w="624" w:type="pct"/>
            <w:vAlign w:val="center"/>
          </w:tcPr>
          <w:p w14:paraId="16FED146">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43" w:type="pct"/>
            <w:vAlign w:val="center"/>
          </w:tcPr>
          <w:p w14:paraId="3130868E">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color w:val="auto"/>
                <w:kern w:val="2"/>
                <w:sz w:val="21"/>
                <w:szCs w:val="21"/>
                <w:u w:val="none" w:color="auto"/>
              </w:rPr>
            </w:pPr>
            <w:r>
              <w:rPr>
                <w:rFonts w:hint="default" w:ascii="Times New Roman" w:hAnsi="Times New Roman" w:eastAsia="宋体" w:cs="Times New Roman"/>
                <w:color w:val="auto"/>
                <w:kern w:val="2"/>
                <w:sz w:val="21"/>
                <w:szCs w:val="21"/>
                <w:u w:val="none" w:color="auto"/>
                <w:lang w:val="en-US" w:eastAsia="zh-CN"/>
              </w:rPr>
              <w:t>105115.2</w:t>
            </w:r>
            <w:r>
              <w:rPr>
                <w:rFonts w:hint="default" w:ascii="Times New Roman" w:hAnsi="Times New Roman" w:eastAsia="宋体" w:cs="Times New Roman"/>
                <w:color w:val="auto"/>
                <w:kern w:val="2"/>
                <w:sz w:val="21"/>
                <w:szCs w:val="21"/>
                <w:u w:val="none" w:color="auto"/>
              </w:rPr>
              <w:t>m</w:t>
            </w:r>
            <w:r>
              <w:rPr>
                <w:rFonts w:hint="default" w:ascii="Times New Roman" w:hAnsi="Times New Roman" w:eastAsia="宋体" w:cs="Times New Roman"/>
                <w:color w:val="auto"/>
                <w:kern w:val="2"/>
                <w:sz w:val="21"/>
                <w:szCs w:val="21"/>
                <w:u w:val="none" w:color="auto"/>
                <w:vertAlign w:val="superscript"/>
              </w:rPr>
              <w:t>3</w:t>
            </w:r>
            <w:r>
              <w:rPr>
                <w:rFonts w:hint="default" w:ascii="Times New Roman" w:hAnsi="Times New Roman" w:eastAsia="宋体" w:cs="Times New Roman"/>
                <w:color w:val="auto"/>
                <w:kern w:val="2"/>
                <w:sz w:val="21"/>
                <w:szCs w:val="21"/>
                <w:u w:val="none" w:color="auto"/>
              </w:rPr>
              <w:t>/a</w:t>
            </w:r>
          </w:p>
        </w:tc>
        <w:tc>
          <w:tcPr>
            <w:tcW w:w="566" w:type="pct"/>
            <w:vAlign w:val="center"/>
          </w:tcPr>
          <w:p w14:paraId="5345D5A8">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color w:val="auto"/>
                <w:kern w:val="2"/>
                <w:sz w:val="21"/>
                <w:szCs w:val="21"/>
                <w:u w:val="none" w:color="auto"/>
              </w:rPr>
            </w:pPr>
            <w:r>
              <w:rPr>
                <w:rFonts w:hint="default" w:ascii="Times New Roman" w:hAnsi="Times New Roman" w:eastAsia="宋体" w:cs="Times New Roman"/>
                <w:color w:val="auto"/>
                <w:kern w:val="2"/>
                <w:sz w:val="21"/>
                <w:szCs w:val="21"/>
                <w:u w:val="none" w:color="auto"/>
                <w:lang w:val="en-US" w:eastAsia="zh-CN"/>
              </w:rPr>
              <w:t>+896</w:t>
            </w:r>
            <w:r>
              <w:rPr>
                <w:rFonts w:hint="default" w:ascii="Times New Roman" w:hAnsi="Times New Roman" w:eastAsia="宋体" w:cs="Times New Roman"/>
                <w:color w:val="auto"/>
                <w:kern w:val="2"/>
                <w:sz w:val="21"/>
                <w:szCs w:val="21"/>
                <w:u w:val="none" w:color="auto"/>
              </w:rPr>
              <w:t>m</w:t>
            </w:r>
            <w:r>
              <w:rPr>
                <w:rFonts w:hint="default" w:ascii="Times New Roman" w:hAnsi="Times New Roman" w:eastAsia="宋体" w:cs="Times New Roman"/>
                <w:color w:val="auto"/>
                <w:kern w:val="2"/>
                <w:sz w:val="21"/>
                <w:szCs w:val="21"/>
                <w:u w:val="none" w:color="auto"/>
                <w:vertAlign w:val="superscript"/>
              </w:rPr>
              <w:t>3</w:t>
            </w:r>
            <w:r>
              <w:rPr>
                <w:rFonts w:hint="default" w:ascii="Times New Roman" w:hAnsi="Times New Roman" w:eastAsia="宋体" w:cs="Times New Roman"/>
                <w:color w:val="auto"/>
                <w:kern w:val="2"/>
                <w:sz w:val="21"/>
                <w:szCs w:val="21"/>
                <w:u w:val="none" w:color="auto"/>
              </w:rPr>
              <w:t>/a</w:t>
            </w:r>
          </w:p>
        </w:tc>
      </w:tr>
      <w:tr w14:paraId="054BF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 w:type="pct"/>
            <w:vMerge w:val="continue"/>
            <w:vAlign w:val="center"/>
          </w:tcPr>
          <w:p w14:paraId="057729D4">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733" w:type="pct"/>
            <w:vAlign w:val="center"/>
          </w:tcPr>
          <w:p w14:paraId="06CB030B">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u w:val="none" w:color="auto"/>
              </w:rPr>
              <w:t>COD</w:t>
            </w:r>
          </w:p>
        </w:tc>
        <w:tc>
          <w:tcPr>
            <w:tcW w:w="510" w:type="pct"/>
            <w:vAlign w:val="center"/>
          </w:tcPr>
          <w:p w14:paraId="2BB3A012">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lang w:val="en-US" w:eastAsia="zh-CN"/>
              </w:rPr>
            </w:pPr>
            <w:r>
              <w:rPr>
                <w:rFonts w:hint="eastAsia" w:ascii="Times New Roman" w:cs="Times New Roman"/>
                <w:snapToGrid w:val="0"/>
                <w:color w:val="auto"/>
                <w:kern w:val="21"/>
                <w:sz w:val="21"/>
                <w:szCs w:val="21"/>
                <w:u w:val="none" w:color="auto"/>
                <w:lang w:val="en-US" w:eastAsia="zh-CN"/>
              </w:rPr>
              <w:t>5.21</w:t>
            </w:r>
            <w:r>
              <w:rPr>
                <w:rFonts w:hint="default" w:ascii="Times New Roman" w:hAnsi="Times New Roman" w:eastAsia="宋体" w:cs="Times New Roman"/>
                <w:color w:val="auto"/>
                <w:kern w:val="2"/>
                <w:sz w:val="21"/>
                <w:szCs w:val="21"/>
                <w:u w:val="none" w:color="auto"/>
              </w:rPr>
              <w:t>t/a</w:t>
            </w:r>
          </w:p>
        </w:tc>
        <w:tc>
          <w:tcPr>
            <w:tcW w:w="448" w:type="pct"/>
            <w:vAlign w:val="center"/>
          </w:tcPr>
          <w:p w14:paraId="4D2D5AA8">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603" w:type="pct"/>
            <w:vAlign w:val="center"/>
          </w:tcPr>
          <w:p w14:paraId="78A86118">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51" w:type="pct"/>
            <w:vAlign w:val="center"/>
          </w:tcPr>
          <w:p w14:paraId="7BB51EB0">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color w:val="auto"/>
                <w:kern w:val="2"/>
                <w:sz w:val="21"/>
                <w:szCs w:val="21"/>
                <w:u w:val="none" w:color="auto"/>
              </w:rPr>
            </w:pPr>
            <w:r>
              <w:rPr>
                <w:rFonts w:hint="eastAsia" w:ascii="Times New Roman" w:cs="Times New Roman"/>
                <w:color w:val="auto"/>
                <w:sz w:val="21"/>
                <w:szCs w:val="21"/>
                <w:u w:val="none" w:color="auto"/>
                <w:lang w:val="en-US" w:eastAsia="zh-CN"/>
              </w:rPr>
              <w:t>0.05</w:t>
            </w:r>
            <w:r>
              <w:rPr>
                <w:rFonts w:hint="default" w:ascii="Times New Roman" w:hAnsi="Times New Roman" w:eastAsia="宋体" w:cs="Times New Roman"/>
                <w:color w:val="auto"/>
                <w:kern w:val="2"/>
                <w:sz w:val="21"/>
                <w:szCs w:val="21"/>
                <w:u w:val="none" w:color="auto"/>
              </w:rPr>
              <w:t>t/a</w:t>
            </w:r>
          </w:p>
        </w:tc>
        <w:tc>
          <w:tcPr>
            <w:tcW w:w="624" w:type="pct"/>
            <w:vAlign w:val="center"/>
          </w:tcPr>
          <w:p w14:paraId="564F52FA">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43" w:type="pct"/>
            <w:vAlign w:val="center"/>
          </w:tcPr>
          <w:p w14:paraId="05CC39C4">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color w:val="auto"/>
                <w:kern w:val="2"/>
                <w:sz w:val="21"/>
                <w:szCs w:val="21"/>
                <w:u w:val="none" w:color="auto"/>
              </w:rPr>
            </w:pPr>
            <w:r>
              <w:rPr>
                <w:rFonts w:hint="default" w:ascii="Times New Roman" w:hAnsi="Times New Roman" w:eastAsia="宋体" w:cs="Times New Roman"/>
                <w:color w:val="auto"/>
                <w:sz w:val="21"/>
                <w:szCs w:val="21"/>
                <w:u w:val="none" w:color="auto"/>
                <w:lang w:val="en-US" w:eastAsia="zh-CN"/>
              </w:rPr>
              <w:t>5.26</w:t>
            </w:r>
            <w:r>
              <w:rPr>
                <w:rFonts w:hint="default" w:ascii="Times New Roman" w:hAnsi="Times New Roman" w:eastAsia="宋体" w:cs="Times New Roman"/>
                <w:color w:val="auto"/>
                <w:kern w:val="2"/>
                <w:sz w:val="21"/>
                <w:szCs w:val="21"/>
                <w:u w:val="none" w:color="auto"/>
              </w:rPr>
              <w:t>t/a</w:t>
            </w:r>
          </w:p>
        </w:tc>
        <w:tc>
          <w:tcPr>
            <w:tcW w:w="1587" w:type="dxa"/>
            <w:vAlign w:val="center"/>
          </w:tcPr>
          <w:p w14:paraId="6F42F2BB">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color w:val="auto"/>
                <w:kern w:val="2"/>
                <w:sz w:val="21"/>
                <w:szCs w:val="21"/>
                <w:u w:val="none" w:color="auto"/>
              </w:rPr>
            </w:pPr>
            <w:r>
              <w:rPr>
                <w:rFonts w:hint="eastAsia" w:ascii="Times New Roman" w:cs="Times New Roman"/>
                <w:color w:val="auto"/>
                <w:sz w:val="21"/>
                <w:szCs w:val="21"/>
                <w:u w:val="none" w:color="auto"/>
                <w:lang w:val="en-US" w:eastAsia="zh-CN"/>
              </w:rPr>
              <w:t>+0.05</w:t>
            </w:r>
            <w:r>
              <w:rPr>
                <w:rFonts w:hint="default" w:ascii="Times New Roman" w:hAnsi="Times New Roman" w:eastAsia="宋体" w:cs="Times New Roman"/>
                <w:color w:val="auto"/>
                <w:kern w:val="2"/>
                <w:sz w:val="21"/>
                <w:szCs w:val="21"/>
                <w:u w:val="none" w:color="auto"/>
              </w:rPr>
              <w:t>t/a</w:t>
            </w:r>
          </w:p>
        </w:tc>
      </w:tr>
      <w:tr w14:paraId="5B392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 w:type="pct"/>
            <w:vMerge w:val="continue"/>
            <w:vAlign w:val="center"/>
          </w:tcPr>
          <w:p w14:paraId="5919263C">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733" w:type="pct"/>
            <w:vAlign w:val="center"/>
          </w:tcPr>
          <w:p w14:paraId="600BFD79">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u w:val="none" w:color="auto"/>
              </w:rPr>
              <w:t>NH</w:t>
            </w:r>
            <w:r>
              <w:rPr>
                <w:rFonts w:hint="default" w:ascii="Times New Roman" w:hAnsi="Times New Roman" w:eastAsia="宋体" w:cs="Times New Roman"/>
                <w:snapToGrid w:val="0"/>
                <w:color w:val="auto"/>
                <w:kern w:val="21"/>
                <w:sz w:val="21"/>
                <w:szCs w:val="21"/>
                <w:u w:val="none" w:color="auto"/>
                <w:vertAlign w:val="subscript"/>
              </w:rPr>
              <w:t>3</w:t>
            </w:r>
            <w:r>
              <w:rPr>
                <w:rFonts w:hint="default" w:ascii="Times New Roman" w:hAnsi="Times New Roman" w:eastAsia="宋体" w:cs="Times New Roman"/>
                <w:snapToGrid w:val="0"/>
                <w:color w:val="auto"/>
                <w:kern w:val="21"/>
                <w:sz w:val="21"/>
                <w:szCs w:val="21"/>
                <w:u w:val="none" w:color="auto"/>
              </w:rPr>
              <w:t>-N</w:t>
            </w:r>
          </w:p>
        </w:tc>
        <w:tc>
          <w:tcPr>
            <w:tcW w:w="510" w:type="pct"/>
            <w:vAlign w:val="center"/>
          </w:tcPr>
          <w:p w14:paraId="2F76D0D5">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lang w:val="en-US" w:eastAsia="zh-CN"/>
              </w:rPr>
            </w:pPr>
            <w:r>
              <w:rPr>
                <w:rFonts w:hint="eastAsia" w:ascii="Times New Roman" w:cs="Times New Roman"/>
                <w:snapToGrid w:val="0"/>
                <w:color w:val="auto"/>
                <w:kern w:val="21"/>
                <w:sz w:val="21"/>
                <w:szCs w:val="21"/>
                <w:u w:val="none" w:color="auto"/>
                <w:lang w:val="en-US" w:eastAsia="zh-CN"/>
              </w:rPr>
              <w:t>0.52</w:t>
            </w:r>
            <w:r>
              <w:rPr>
                <w:rFonts w:hint="default" w:ascii="Times New Roman" w:hAnsi="Times New Roman" w:eastAsia="宋体" w:cs="Times New Roman"/>
                <w:color w:val="auto"/>
                <w:kern w:val="2"/>
                <w:sz w:val="21"/>
                <w:szCs w:val="21"/>
                <w:u w:val="none" w:color="auto"/>
              </w:rPr>
              <w:t>t/a</w:t>
            </w:r>
          </w:p>
        </w:tc>
        <w:tc>
          <w:tcPr>
            <w:tcW w:w="448" w:type="pct"/>
            <w:vAlign w:val="center"/>
          </w:tcPr>
          <w:p w14:paraId="5EB3B7BA">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603" w:type="pct"/>
            <w:vAlign w:val="center"/>
          </w:tcPr>
          <w:p w14:paraId="3F218B0D">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51" w:type="pct"/>
            <w:vAlign w:val="center"/>
          </w:tcPr>
          <w:p w14:paraId="607E1CA6">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color w:val="auto"/>
                <w:kern w:val="2"/>
                <w:sz w:val="21"/>
                <w:szCs w:val="21"/>
                <w:u w:val="none" w:color="auto"/>
              </w:rPr>
            </w:pPr>
            <w:r>
              <w:rPr>
                <w:rFonts w:hint="eastAsia" w:ascii="Times New Roman" w:cs="Times New Roman"/>
                <w:color w:val="auto"/>
                <w:kern w:val="2"/>
                <w:sz w:val="21"/>
                <w:szCs w:val="21"/>
                <w:u w:val="none" w:color="auto"/>
                <w:lang w:val="en-US" w:eastAsia="zh-CN"/>
              </w:rPr>
              <w:t>0.01</w:t>
            </w:r>
            <w:r>
              <w:rPr>
                <w:rFonts w:hint="default" w:ascii="Times New Roman" w:hAnsi="Times New Roman" w:eastAsia="宋体" w:cs="Times New Roman"/>
                <w:color w:val="auto"/>
                <w:kern w:val="2"/>
                <w:sz w:val="21"/>
                <w:szCs w:val="21"/>
                <w:u w:val="none" w:color="auto"/>
              </w:rPr>
              <w:t>t/a</w:t>
            </w:r>
          </w:p>
        </w:tc>
        <w:tc>
          <w:tcPr>
            <w:tcW w:w="624" w:type="pct"/>
            <w:vAlign w:val="center"/>
          </w:tcPr>
          <w:p w14:paraId="1B5B4325">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43" w:type="pct"/>
            <w:vAlign w:val="center"/>
          </w:tcPr>
          <w:p w14:paraId="07A6E925">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color w:val="auto"/>
                <w:kern w:val="2"/>
                <w:sz w:val="21"/>
                <w:szCs w:val="21"/>
                <w:u w:val="none" w:color="auto"/>
              </w:rPr>
            </w:pPr>
            <w:r>
              <w:rPr>
                <w:rFonts w:hint="default" w:ascii="Times New Roman" w:hAnsi="Times New Roman" w:eastAsia="宋体" w:cs="Times New Roman"/>
                <w:color w:val="auto"/>
                <w:kern w:val="2"/>
                <w:sz w:val="21"/>
                <w:szCs w:val="21"/>
                <w:u w:val="none" w:color="auto"/>
                <w:lang w:val="en-US" w:eastAsia="zh-CN"/>
              </w:rPr>
              <w:t>0.</w:t>
            </w:r>
            <w:r>
              <w:rPr>
                <w:rFonts w:hint="eastAsia" w:ascii="Times New Roman" w:cs="Times New Roman"/>
                <w:color w:val="auto"/>
                <w:kern w:val="2"/>
                <w:sz w:val="21"/>
                <w:szCs w:val="21"/>
                <w:u w:val="none" w:color="auto"/>
                <w:lang w:val="en-US" w:eastAsia="zh-CN"/>
              </w:rPr>
              <w:t>53</w:t>
            </w:r>
            <w:r>
              <w:rPr>
                <w:rFonts w:hint="default" w:ascii="Times New Roman" w:hAnsi="Times New Roman" w:eastAsia="宋体" w:cs="Times New Roman"/>
                <w:color w:val="auto"/>
                <w:kern w:val="2"/>
                <w:sz w:val="21"/>
                <w:szCs w:val="21"/>
                <w:u w:val="none" w:color="auto"/>
              </w:rPr>
              <w:t>t/a</w:t>
            </w:r>
          </w:p>
        </w:tc>
        <w:tc>
          <w:tcPr>
            <w:tcW w:w="1587" w:type="dxa"/>
            <w:vAlign w:val="center"/>
          </w:tcPr>
          <w:p w14:paraId="044D5AE8">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color w:val="auto"/>
                <w:kern w:val="2"/>
                <w:sz w:val="21"/>
                <w:szCs w:val="21"/>
                <w:u w:val="none" w:color="auto"/>
              </w:rPr>
            </w:pPr>
            <w:r>
              <w:rPr>
                <w:rFonts w:hint="eastAsia" w:ascii="Times New Roman" w:cs="Times New Roman"/>
                <w:color w:val="auto"/>
                <w:kern w:val="2"/>
                <w:sz w:val="21"/>
                <w:szCs w:val="21"/>
                <w:u w:val="none" w:color="auto"/>
                <w:lang w:val="en-US" w:eastAsia="zh-CN"/>
              </w:rPr>
              <w:t>+0.01</w:t>
            </w:r>
            <w:r>
              <w:rPr>
                <w:rFonts w:hint="default" w:ascii="Times New Roman" w:hAnsi="Times New Roman" w:eastAsia="宋体" w:cs="Times New Roman"/>
                <w:color w:val="auto"/>
                <w:kern w:val="2"/>
                <w:sz w:val="21"/>
                <w:szCs w:val="21"/>
                <w:u w:val="none" w:color="auto"/>
              </w:rPr>
              <w:t>t/a</w:t>
            </w:r>
          </w:p>
        </w:tc>
      </w:tr>
      <w:tr w14:paraId="7B404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 w:type="pct"/>
            <w:vMerge w:val="restart"/>
            <w:vAlign w:val="center"/>
          </w:tcPr>
          <w:p w14:paraId="321DFD4A">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u w:val="none" w:color="auto"/>
              </w:rPr>
              <w:t>一般工业</w:t>
            </w:r>
          </w:p>
          <w:p w14:paraId="2F1622DE">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u w:val="none" w:color="auto"/>
              </w:rPr>
              <w:t>固体废物</w:t>
            </w:r>
          </w:p>
        </w:tc>
        <w:tc>
          <w:tcPr>
            <w:tcW w:w="733" w:type="pct"/>
            <w:vAlign w:val="center"/>
          </w:tcPr>
          <w:p w14:paraId="4C88ED14">
            <w:pPr>
              <w:keepNext w:val="0"/>
              <w:keepLines w:val="0"/>
              <w:pageBreakBefore w:val="0"/>
              <w:kinsoku/>
              <w:wordWrap/>
              <w:overflowPunct/>
              <w:topLinePunct w:val="0"/>
              <w:bidi w:val="0"/>
              <w:spacing w:line="20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lang w:val="en-US" w:eastAsia="zh-CN"/>
              </w:rPr>
              <w:t>教职工及学生日常</w:t>
            </w:r>
            <w:r>
              <w:rPr>
                <w:rFonts w:hint="default" w:ascii="Times New Roman" w:hAnsi="Times New Roman" w:eastAsia="宋体" w:cs="Times New Roman"/>
                <w:bCs/>
                <w:color w:val="auto"/>
                <w:kern w:val="0"/>
                <w:sz w:val="21"/>
                <w:szCs w:val="21"/>
                <w:u w:val="none" w:color="auto"/>
              </w:rPr>
              <w:t>生活垃圾</w:t>
            </w:r>
          </w:p>
        </w:tc>
        <w:tc>
          <w:tcPr>
            <w:tcW w:w="510" w:type="pct"/>
            <w:vAlign w:val="center"/>
          </w:tcPr>
          <w:p w14:paraId="078C3420">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849.3</w:t>
            </w:r>
            <w:r>
              <w:rPr>
                <w:rFonts w:hint="default" w:ascii="Times New Roman" w:hAnsi="Times New Roman" w:eastAsia="宋体" w:cs="Times New Roman"/>
                <w:bCs/>
                <w:color w:val="auto"/>
                <w:kern w:val="0"/>
                <w:sz w:val="21"/>
                <w:szCs w:val="21"/>
                <w:u w:val="none" w:color="auto"/>
              </w:rPr>
              <w:t>t/a</w:t>
            </w:r>
          </w:p>
        </w:tc>
        <w:tc>
          <w:tcPr>
            <w:tcW w:w="448" w:type="pct"/>
            <w:vAlign w:val="center"/>
          </w:tcPr>
          <w:p w14:paraId="4A5EC7E4">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603" w:type="pct"/>
            <w:vAlign w:val="center"/>
          </w:tcPr>
          <w:p w14:paraId="301DDE47">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51" w:type="pct"/>
            <w:vAlign w:val="center"/>
          </w:tcPr>
          <w:p w14:paraId="3062BDC4">
            <w:pPr>
              <w:keepNext w:val="0"/>
              <w:keepLines w:val="0"/>
              <w:pageBreakBefore w:val="0"/>
              <w:kinsoku/>
              <w:wordWrap/>
              <w:overflowPunct/>
              <w:topLinePunct w:val="0"/>
              <w:bidi w:val="0"/>
              <w:spacing w:line="20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lang w:val="en-US" w:eastAsia="zh-CN"/>
              </w:rPr>
              <w:t>1.6</w:t>
            </w:r>
            <w:r>
              <w:rPr>
                <w:rFonts w:hint="default" w:ascii="Times New Roman" w:hAnsi="Times New Roman" w:eastAsia="宋体" w:cs="Times New Roman"/>
                <w:bCs/>
                <w:color w:val="auto"/>
                <w:kern w:val="0"/>
                <w:sz w:val="21"/>
                <w:szCs w:val="21"/>
                <w:u w:val="none" w:color="auto"/>
              </w:rPr>
              <w:t>t/a</w:t>
            </w:r>
          </w:p>
        </w:tc>
        <w:tc>
          <w:tcPr>
            <w:tcW w:w="624" w:type="pct"/>
            <w:vAlign w:val="center"/>
          </w:tcPr>
          <w:p w14:paraId="1D469801">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43" w:type="pct"/>
            <w:vAlign w:val="center"/>
          </w:tcPr>
          <w:p w14:paraId="02F1803F">
            <w:pPr>
              <w:keepNext w:val="0"/>
              <w:keepLines w:val="0"/>
              <w:pageBreakBefore w:val="0"/>
              <w:widowControl w:val="0"/>
              <w:kinsoku/>
              <w:wordWrap/>
              <w:overflowPunct/>
              <w:topLinePunct w:val="0"/>
              <w:bidi w:val="0"/>
              <w:spacing w:line="20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lang w:val="en-US" w:eastAsia="zh-CN"/>
              </w:rPr>
              <w:t>850.9</w:t>
            </w:r>
            <w:r>
              <w:rPr>
                <w:rFonts w:hint="default" w:ascii="Times New Roman" w:hAnsi="Times New Roman" w:eastAsia="宋体" w:cs="Times New Roman"/>
                <w:bCs/>
                <w:color w:val="auto"/>
                <w:kern w:val="0"/>
                <w:sz w:val="21"/>
                <w:szCs w:val="21"/>
                <w:u w:val="none" w:color="auto"/>
              </w:rPr>
              <w:t>t/a</w:t>
            </w:r>
          </w:p>
        </w:tc>
        <w:tc>
          <w:tcPr>
            <w:tcW w:w="566" w:type="pct"/>
            <w:vAlign w:val="center"/>
          </w:tcPr>
          <w:p w14:paraId="7F3E1304">
            <w:pPr>
              <w:keepNext w:val="0"/>
              <w:keepLines w:val="0"/>
              <w:pageBreakBefore w:val="0"/>
              <w:kinsoku/>
              <w:wordWrap/>
              <w:overflowPunct/>
              <w:topLinePunct w:val="0"/>
              <w:bidi w:val="0"/>
              <w:spacing w:line="20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lang w:val="en-US" w:eastAsia="zh-CN"/>
              </w:rPr>
              <w:t>+1.6</w:t>
            </w:r>
            <w:r>
              <w:rPr>
                <w:rFonts w:hint="default" w:ascii="Times New Roman" w:hAnsi="Times New Roman" w:eastAsia="宋体" w:cs="Times New Roman"/>
                <w:bCs/>
                <w:color w:val="auto"/>
                <w:kern w:val="0"/>
                <w:sz w:val="21"/>
                <w:szCs w:val="21"/>
                <w:u w:val="none" w:color="auto"/>
              </w:rPr>
              <w:t>t/a</w:t>
            </w:r>
          </w:p>
        </w:tc>
      </w:tr>
      <w:tr w14:paraId="2D919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 w:type="pct"/>
            <w:vMerge w:val="continue"/>
            <w:vAlign w:val="center"/>
          </w:tcPr>
          <w:p w14:paraId="09F1A2EC">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733" w:type="pct"/>
            <w:vAlign w:val="center"/>
          </w:tcPr>
          <w:p w14:paraId="12AAF5A0">
            <w:pPr>
              <w:keepNext w:val="0"/>
              <w:keepLines w:val="0"/>
              <w:pageBreakBefore w:val="0"/>
              <w:kinsoku/>
              <w:wordWrap/>
              <w:overflowPunct/>
              <w:topLinePunct w:val="0"/>
              <w:bidi w:val="0"/>
              <w:spacing w:line="20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rPr>
              <w:t>化粪池污泥</w:t>
            </w:r>
          </w:p>
        </w:tc>
        <w:tc>
          <w:tcPr>
            <w:tcW w:w="510" w:type="pct"/>
            <w:vAlign w:val="center"/>
          </w:tcPr>
          <w:p w14:paraId="073659B3">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8</w:t>
            </w:r>
            <w:r>
              <w:rPr>
                <w:rFonts w:hint="default" w:ascii="Times New Roman" w:hAnsi="Times New Roman" w:eastAsia="宋体" w:cs="Times New Roman"/>
                <w:bCs/>
                <w:color w:val="auto"/>
                <w:kern w:val="0"/>
                <w:sz w:val="21"/>
                <w:szCs w:val="21"/>
                <w:u w:val="none" w:color="auto"/>
              </w:rPr>
              <w:t>t/a</w:t>
            </w:r>
          </w:p>
        </w:tc>
        <w:tc>
          <w:tcPr>
            <w:tcW w:w="448" w:type="pct"/>
            <w:vAlign w:val="center"/>
          </w:tcPr>
          <w:p w14:paraId="60117253">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603" w:type="pct"/>
            <w:vAlign w:val="center"/>
          </w:tcPr>
          <w:p w14:paraId="71330C3A">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51" w:type="pct"/>
            <w:vAlign w:val="center"/>
          </w:tcPr>
          <w:p w14:paraId="31823101">
            <w:pPr>
              <w:keepNext w:val="0"/>
              <w:keepLines w:val="0"/>
              <w:pageBreakBefore w:val="0"/>
              <w:kinsoku/>
              <w:wordWrap/>
              <w:overflowPunct/>
              <w:topLinePunct w:val="0"/>
              <w:bidi w:val="0"/>
              <w:spacing w:line="20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val="en-US" w:eastAsia="zh-CN"/>
              </w:rPr>
              <w:t>0.8</w:t>
            </w:r>
            <w:r>
              <w:rPr>
                <w:rFonts w:hint="default" w:ascii="Times New Roman" w:hAnsi="Times New Roman" w:eastAsia="宋体" w:cs="Times New Roman"/>
                <w:color w:val="auto"/>
                <w:sz w:val="21"/>
                <w:szCs w:val="21"/>
                <w:highlight w:val="none"/>
                <w:u w:val="none" w:color="auto"/>
              </w:rPr>
              <w:t>t/a</w:t>
            </w:r>
          </w:p>
        </w:tc>
        <w:tc>
          <w:tcPr>
            <w:tcW w:w="624" w:type="pct"/>
            <w:vAlign w:val="center"/>
          </w:tcPr>
          <w:p w14:paraId="3FF42F4B">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43" w:type="pct"/>
            <w:vAlign w:val="center"/>
          </w:tcPr>
          <w:p w14:paraId="07F8A511">
            <w:pPr>
              <w:keepNext w:val="0"/>
              <w:keepLines w:val="0"/>
              <w:pageBreakBefore w:val="0"/>
              <w:widowControl w:val="0"/>
              <w:kinsoku/>
              <w:wordWrap/>
              <w:overflowPunct/>
              <w:topLinePunct w:val="0"/>
              <w:bidi w:val="0"/>
              <w:spacing w:line="20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val="en-US" w:eastAsia="zh-CN"/>
              </w:rPr>
              <w:t>8.8</w:t>
            </w:r>
            <w:r>
              <w:rPr>
                <w:rFonts w:hint="default" w:ascii="Times New Roman" w:hAnsi="Times New Roman" w:eastAsia="宋体" w:cs="Times New Roman"/>
                <w:color w:val="auto"/>
                <w:sz w:val="21"/>
                <w:szCs w:val="21"/>
                <w:highlight w:val="none"/>
                <w:u w:val="none" w:color="auto"/>
              </w:rPr>
              <w:t>t/a</w:t>
            </w:r>
          </w:p>
        </w:tc>
        <w:tc>
          <w:tcPr>
            <w:tcW w:w="566" w:type="pct"/>
            <w:vAlign w:val="center"/>
          </w:tcPr>
          <w:p w14:paraId="641BA376">
            <w:pPr>
              <w:keepNext w:val="0"/>
              <w:keepLines w:val="0"/>
              <w:pageBreakBefore w:val="0"/>
              <w:kinsoku/>
              <w:wordWrap/>
              <w:overflowPunct/>
              <w:topLinePunct w:val="0"/>
              <w:bidi w:val="0"/>
              <w:spacing w:line="20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lang w:val="en-US" w:eastAsia="zh-CN"/>
              </w:rPr>
              <w:t>+0.8</w:t>
            </w:r>
            <w:r>
              <w:rPr>
                <w:rFonts w:hint="default" w:ascii="Times New Roman" w:hAnsi="Times New Roman" w:eastAsia="宋体" w:cs="Times New Roman"/>
                <w:color w:val="auto"/>
                <w:sz w:val="21"/>
                <w:szCs w:val="21"/>
                <w:highlight w:val="none"/>
                <w:u w:val="none" w:color="auto"/>
              </w:rPr>
              <w:t>t/a</w:t>
            </w:r>
          </w:p>
        </w:tc>
      </w:tr>
      <w:tr w14:paraId="0DC49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 w:type="pct"/>
            <w:vMerge w:val="continue"/>
            <w:vAlign w:val="center"/>
          </w:tcPr>
          <w:p w14:paraId="0FD48B3A">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733" w:type="pct"/>
            <w:vAlign w:val="center"/>
          </w:tcPr>
          <w:p w14:paraId="25FFBD04">
            <w:pPr>
              <w:keepNext w:val="0"/>
              <w:keepLines w:val="0"/>
              <w:pageBreakBefore w:val="0"/>
              <w:kinsoku/>
              <w:wordWrap/>
              <w:overflowPunct/>
              <w:topLinePunct w:val="0"/>
              <w:bidi w:val="0"/>
              <w:spacing w:line="200" w:lineRule="exact"/>
              <w:jc w:val="center"/>
              <w:rPr>
                <w:rFonts w:hint="default" w:ascii="Times New Roman" w:hAnsi="Times New Roman" w:eastAsia="宋体" w:cs="Times New Roman"/>
                <w:color w:val="auto"/>
                <w:sz w:val="21"/>
                <w:szCs w:val="21"/>
                <w:u w:val="none" w:color="auto"/>
              </w:rPr>
            </w:pPr>
            <w:r>
              <w:rPr>
                <w:rStyle w:val="42"/>
                <w:rFonts w:hint="default" w:ascii="Times New Roman" w:hAnsi="Times New Roman" w:eastAsia="宋体" w:cs="Times New Roman"/>
                <w:color w:val="auto"/>
                <w:kern w:val="0"/>
                <w:sz w:val="21"/>
                <w:szCs w:val="21"/>
                <w:u w:val="none" w:color="auto"/>
              </w:rPr>
              <w:t>餐厨垃圾</w:t>
            </w:r>
          </w:p>
        </w:tc>
        <w:tc>
          <w:tcPr>
            <w:tcW w:w="510" w:type="pct"/>
            <w:vAlign w:val="center"/>
          </w:tcPr>
          <w:p w14:paraId="6E52DCE3">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r>
              <w:rPr>
                <w:rFonts w:hint="eastAsia" w:ascii="Times New Roman" w:cs="Times New Roman"/>
                <w:snapToGrid w:val="0"/>
                <w:color w:val="auto"/>
                <w:kern w:val="21"/>
                <w:sz w:val="21"/>
                <w:szCs w:val="21"/>
                <w:u w:val="none" w:color="auto"/>
                <w:lang w:val="en-US" w:eastAsia="zh-CN"/>
              </w:rPr>
              <w:t>599.58</w:t>
            </w:r>
            <w:r>
              <w:rPr>
                <w:rFonts w:hint="default" w:ascii="Times New Roman" w:hAnsi="Times New Roman" w:eastAsia="宋体" w:cs="Times New Roman"/>
                <w:bCs/>
                <w:color w:val="auto"/>
                <w:kern w:val="0"/>
                <w:sz w:val="21"/>
                <w:szCs w:val="21"/>
                <w:u w:val="none" w:color="auto"/>
              </w:rPr>
              <w:t>t/a</w:t>
            </w:r>
          </w:p>
        </w:tc>
        <w:tc>
          <w:tcPr>
            <w:tcW w:w="448" w:type="pct"/>
            <w:vAlign w:val="center"/>
          </w:tcPr>
          <w:p w14:paraId="76E3B44C">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603" w:type="pct"/>
            <w:vAlign w:val="center"/>
          </w:tcPr>
          <w:p w14:paraId="693187AF">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51" w:type="pct"/>
            <w:vAlign w:val="center"/>
          </w:tcPr>
          <w:p w14:paraId="290D4A4D">
            <w:pPr>
              <w:keepNext w:val="0"/>
              <w:keepLines w:val="0"/>
              <w:pageBreakBefore w:val="0"/>
              <w:kinsoku/>
              <w:wordWrap/>
              <w:overflowPunct/>
              <w:topLinePunct w:val="0"/>
              <w:bidi w:val="0"/>
              <w:spacing w:line="20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lang w:val="en-US" w:eastAsia="zh-CN"/>
              </w:rPr>
              <w:t>1.</w:t>
            </w:r>
            <w:r>
              <w:rPr>
                <w:rFonts w:hint="eastAsia" w:cs="Times New Roman"/>
                <w:bCs/>
                <w:color w:val="auto"/>
                <w:kern w:val="0"/>
                <w:sz w:val="21"/>
                <w:szCs w:val="21"/>
                <w:u w:val="none" w:color="auto"/>
                <w:lang w:val="en-US" w:eastAsia="zh-CN"/>
              </w:rPr>
              <w:t>2</w:t>
            </w:r>
            <w:r>
              <w:rPr>
                <w:rFonts w:hint="default" w:ascii="Times New Roman" w:hAnsi="Times New Roman" w:eastAsia="宋体" w:cs="Times New Roman"/>
                <w:bCs/>
                <w:color w:val="auto"/>
                <w:kern w:val="0"/>
                <w:sz w:val="21"/>
                <w:szCs w:val="21"/>
                <w:u w:val="none" w:color="auto"/>
              </w:rPr>
              <w:t>t/a</w:t>
            </w:r>
          </w:p>
        </w:tc>
        <w:tc>
          <w:tcPr>
            <w:tcW w:w="624" w:type="pct"/>
            <w:vAlign w:val="center"/>
          </w:tcPr>
          <w:p w14:paraId="1528DD8E">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43" w:type="pct"/>
            <w:vAlign w:val="center"/>
          </w:tcPr>
          <w:p w14:paraId="7DAE19A0">
            <w:pPr>
              <w:keepNext w:val="0"/>
              <w:keepLines w:val="0"/>
              <w:pageBreakBefore w:val="0"/>
              <w:widowControl w:val="0"/>
              <w:kinsoku/>
              <w:wordWrap/>
              <w:overflowPunct/>
              <w:topLinePunct w:val="0"/>
              <w:bidi w:val="0"/>
              <w:spacing w:line="200" w:lineRule="exact"/>
              <w:jc w:val="center"/>
              <w:rPr>
                <w:rFonts w:hint="default" w:ascii="Times New Roman" w:hAnsi="Times New Roman" w:eastAsia="宋体" w:cs="Times New Roman"/>
                <w:color w:val="auto"/>
                <w:sz w:val="21"/>
                <w:szCs w:val="21"/>
                <w:u w:val="none" w:color="auto"/>
              </w:rPr>
            </w:pPr>
            <w:r>
              <w:rPr>
                <w:rFonts w:hint="eastAsia" w:cs="Times New Roman"/>
                <w:bCs/>
                <w:color w:val="auto"/>
                <w:kern w:val="0"/>
                <w:sz w:val="21"/>
                <w:szCs w:val="21"/>
                <w:u w:val="none" w:color="auto"/>
                <w:lang w:val="en-US" w:eastAsia="zh-CN"/>
              </w:rPr>
              <w:t>600.78</w:t>
            </w:r>
            <w:r>
              <w:rPr>
                <w:rFonts w:hint="default" w:ascii="Times New Roman" w:hAnsi="Times New Roman" w:eastAsia="宋体" w:cs="Times New Roman"/>
                <w:bCs/>
                <w:color w:val="auto"/>
                <w:kern w:val="0"/>
                <w:sz w:val="21"/>
                <w:szCs w:val="21"/>
                <w:u w:val="none" w:color="auto"/>
              </w:rPr>
              <w:t>t/a</w:t>
            </w:r>
          </w:p>
        </w:tc>
        <w:tc>
          <w:tcPr>
            <w:tcW w:w="566" w:type="pct"/>
            <w:vAlign w:val="center"/>
          </w:tcPr>
          <w:p w14:paraId="61B98040">
            <w:pPr>
              <w:keepNext w:val="0"/>
              <w:keepLines w:val="0"/>
              <w:pageBreakBefore w:val="0"/>
              <w:kinsoku/>
              <w:wordWrap/>
              <w:overflowPunct/>
              <w:topLinePunct w:val="0"/>
              <w:bidi w:val="0"/>
              <w:spacing w:line="20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lang w:val="en-US" w:eastAsia="zh-CN"/>
              </w:rPr>
              <w:t>+1.</w:t>
            </w:r>
            <w:r>
              <w:rPr>
                <w:rFonts w:hint="eastAsia" w:cs="Times New Roman"/>
                <w:bCs/>
                <w:color w:val="auto"/>
                <w:kern w:val="0"/>
                <w:sz w:val="21"/>
                <w:szCs w:val="21"/>
                <w:u w:val="none" w:color="auto"/>
                <w:lang w:val="en-US" w:eastAsia="zh-CN"/>
              </w:rPr>
              <w:t>2</w:t>
            </w:r>
            <w:r>
              <w:rPr>
                <w:rFonts w:hint="default" w:ascii="Times New Roman" w:hAnsi="Times New Roman" w:eastAsia="宋体" w:cs="Times New Roman"/>
                <w:bCs/>
                <w:color w:val="auto"/>
                <w:kern w:val="0"/>
                <w:sz w:val="21"/>
                <w:szCs w:val="21"/>
                <w:u w:val="none" w:color="auto"/>
              </w:rPr>
              <w:t>t/a</w:t>
            </w:r>
          </w:p>
        </w:tc>
      </w:tr>
      <w:tr w14:paraId="13F41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 w:type="pct"/>
            <w:vMerge w:val="continue"/>
            <w:vAlign w:val="center"/>
          </w:tcPr>
          <w:p w14:paraId="28615FAE">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733" w:type="pct"/>
            <w:vAlign w:val="center"/>
          </w:tcPr>
          <w:p w14:paraId="1C92B13A">
            <w:pPr>
              <w:keepNext w:val="0"/>
              <w:keepLines w:val="0"/>
              <w:pageBreakBefore w:val="0"/>
              <w:kinsoku/>
              <w:wordWrap/>
              <w:overflowPunct/>
              <w:topLinePunct w:val="0"/>
              <w:bidi w:val="0"/>
              <w:spacing w:line="200" w:lineRule="exact"/>
              <w:jc w:val="center"/>
              <w:rPr>
                <w:rFonts w:hint="default" w:ascii="Times New Roman" w:hAnsi="Times New Roman" w:eastAsia="宋体" w:cs="Times New Roman"/>
                <w:color w:val="auto"/>
                <w:sz w:val="21"/>
                <w:szCs w:val="21"/>
                <w:u w:val="none" w:color="auto"/>
              </w:rPr>
            </w:pPr>
            <w:r>
              <w:rPr>
                <w:rStyle w:val="42"/>
                <w:rFonts w:hint="default" w:ascii="Times New Roman" w:hAnsi="Times New Roman" w:eastAsia="宋体" w:cs="Times New Roman"/>
                <w:color w:val="auto"/>
                <w:kern w:val="0"/>
                <w:sz w:val="21"/>
                <w:szCs w:val="21"/>
                <w:u w:val="none" w:color="auto"/>
              </w:rPr>
              <w:t>隔油池废油脂</w:t>
            </w:r>
          </w:p>
        </w:tc>
        <w:tc>
          <w:tcPr>
            <w:tcW w:w="510" w:type="pct"/>
            <w:vAlign w:val="center"/>
          </w:tcPr>
          <w:p w14:paraId="1C2C7AA5">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4</w:t>
            </w:r>
            <w:r>
              <w:rPr>
                <w:rFonts w:hint="default" w:ascii="Times New Roman" w:hAnsi="Times New Roman" w:eastAsia="宋体" w:cs="Times New Roman"/>
                <w:bCs/>
                <w:color w:val="auto"/>
                <w:kern w:val="0"/>
                <w:sz w:val="21"/>
                <w:szCs w:val="21"/>
                <w:u w:val="none" w:color="auto"/>
              </w:rPr>
              <w:t>t/a</w:t>
            </w:r>
          </w:p>
        </w:tc>
        <w:tc>
          <w:tcPr>
            <w:tcW w:w="448" w:type="pct"/>
            <w:vAlign w:val="center"/>
          </w:tcPr>
          <w:p w14:paraId="4798367F">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603" w:type="pct"/>
            <w:vAlign w:val="center"/>
          </w:tcPr>
          <w:p w14:paraId="0F6AEF11">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51" w:type="pct"/>
            <w:vAlign w:val="center"/>
          </w:tcPr>
          <w:p w14:paraId="0A367097">
            <w:pPr>
              <w:keepNext w:val="0"/>
              <w:keepLines w:val="0"/>
              <w:pageBreakBefore w:val="0"/>
              <w:kinsoku/>
              <w:wordWrap/>
              <w:overflowPunct/>
              <w:topLinePunct w:val="0"/>
              <w:bidi w:val="0"/>
              <w:spacing w:line="20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lang w:val="en-US" w:eastAsia="zh-CN"/>
              </w:rPr>
              <w:t>1</w:t>
            </w:r>
            <w:r>
              <w:rPr>
                <w:rFonts w:hint="default" w:ascii="Times New Roman" w:hAnsi="Times New Roman" w:eastAsia="宋体" w:cs="Times New Roman"/>
                <w:bCs/>
                <w:color w:val="auto"/>
                <w:kern w:val="0"/>
                <w:sz w:val="21"/>
                <w:szCs w:val="21"/>
                <w:u w:val="none" w:color="auto"/>
              </w:rPr>
              <w:t>t/a</w:t>
            </w:r>
          </w:p>
        </w:tc>
        <w:tc>
          <w:tcPr>
            <w:tcW w:w="624" w:type="pct"/>
            <w:vAlign w:val="center"/>
          </w:tcPr>
          <w:p w14:paraId="6847EF9A">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43" w:type="pct"/>
            <w:vAlign w:val="center"/>
          </w:tcPr>
          <w:p w14:paraId="55953F43">
            <w:pPr>
              <w:keepNext w:val="0"/>
              <w:keepLines w:val="0"/>
              <w:pageBreakBefore w:val="0"/>
              <w:widowControl w:val="0"/>
              <w:kinsoku/>
              <w:wordWrap/>
              <w:overflowPunct/>
              <w:topLinePunct w:val="0"/>
              <w:bidi w:val="0"/>
              <w:spacing w:line="20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lang w:val="en-US" w:eastAsia="zh-CN"/>
              </w:rPr>
              <w:t>5</w:t>
            </w:r>
            <w:r>
              <w:rPr>
                <w:rFonts w:hint="default" w:ascii="Times New Roman" w:hAnsi="Times New Roman" w:eastAsia="宋体" w:cs="Times New Roman"/>
                <w:bCs/>
                <w:color w:val="auto"/>
                <w:kern w:val="0"/>
                <w:sz w:val="21"/>
                <w:szCs w:val="21"/>
                <w:u w:val="none" w:color="auto"/>
              </w:rPr>
              <w:t>t/a</w:t>
            </w:r>
          </w:p>
        </w:tc>
        <w:tc>
          <w:tcPr>
            <w:tcW w:w="566" w:type="pct"/>
            <w:vAlign w:val="center"/>
          </w:tcPr>
          <w:p w14:paraId="6262249E">
            <w:pPr>
              <w:keepNext w:val="0"/>
              <w:keepLines w:val="0"/>
              <w:pageBreakBefore w:val="0"/>
              <w:kinsoku/>
              <w:wordWrap/>
              <w:overflowPunct/>
              <w:topLinePunct w:val="0"/>
              <w:bidi w:val="0"/>
              <w:spacing w:line="20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kern w:val="0"/>
                <w:sz w:val="21"/>
                <w:szCs w:val="21"/>
                <w:u w:val="none" w:color="auto"/>
                <w:lang w:val="en-US" w:eastAsia="zh-CN"/>
              </w:rPr>
              <w:t>+1</w:t>
            </w:r>
            <w:r>
              <w:rPr>
                <w:rFonts w:hint="default" w:ascii="Times New Roman" w:hAnsi="Times New Roman" w:eastAsia="宋体" w:cs="Times New Roman"/>
                <w:bCs/>
                <w:color w:val="auto"/>
                <w:kern w:val="0"/>
                <w:sz w:val="21"/>
                <w:szCs w:val="21"/>
                <w:u w:val="none" w:color="auto"/>
              </w:rPr>
              <w:t>t/a</w:t>
            </w:r>
          </w:p>
        </w:tc>
      </w:tr>
      <w:tr w14:paraId="27606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 w:type="pct"/>
            <w:vMerge w:val="restart"/>
            <w:vAlign w:val="center"/>
          </w:tcPr>
          <w:p w14:paraId="1E91DE41">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r>
              <w:rPr>
                <w:rFonts w:hint="default" w:ascii="Times New Roman" w:hAnsi="Times New Roman" w:eastAsia="宋体" w:cs="Times New Roman"/>
                <w:snapToGrid w:val="0"/>
                <w:color w:val="auto"/>
                <w:kern w:val="21"/>
                <w:sz w:val="21"/>
                <w:szCs w:val="21"/>
                <w:u w:val="none" w:color="auto"/>
              </w:rPr>
              <w:t>危险废物</w:t>
            </w:r>
          </w:p>
        </w:tc>
        <w:tc>
          <w:tcPr>
            <w:tcW w:w="733" w:type="pct"/>
            <w:vAlign w:val="center"/>
          </w:tcPr>
          <w:p w14:paraId="7BDE6324">
            <w:pPr>
              <w:keepNext w:val="0"/>
              <w:keepLines w:val="0"/>
              <w:pageBreakBefore w:val="0"/>
              <w:kinsoku/>
              <w:wordWrap/>
              <w:overflowPunct/>
              <w:topLinePunct w:val="0"/>
              <w:bidi w:val="0"/>
              <w:spacing w:line="200" w:lineRule="exact"/>
              <w:jc w:val="center"/>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color w:val="auto"/>
                <w:kern w:val="0"/>
                <w:sz w:val="21"/>
                <w:szCs w:val="21"/>
                <w:u w:val="none" w:color="auto"/>
              </w:rPr>
              <w:t>废活性炭</w:t>
            </w:r>
          </w:p>
        </w:tc>
        <w:tc>
          <w:tcPr>
            <w:tcW w:w="510" w:type="pct"/>
            <w:vAlign w:val="center"/>
          </w:tcPr>
          <w:p w14:paraId="0F084F06">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448" w:type="pct"/>
            <w:vAlign w:val="center"/>
          </w:tcPr>
          <w:p w14:paraId="1A9AC1D3">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603" w:type="pct"/>
            <w:vAlign w:val="center"/>
          </w:tcPr>
          <w:p w14:paraId="275C01D5">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51" w:type="pct"/>
            <w:vAlign w:val="center"/>
          </w:tcPr>
          <w:p w14:paraId="683864C1">
            <w:pPr>
              <w:pStyle w:val="88"/>
              <w:keepNext w:val="0"/>
              <w:keepLines w:val="0"/>
              <w:pageBreakBefore w:val="0"/>
              <w:kinsoku/>
              <w:wordWrap/>
              <w:overflowPunct/>
              <w:topLinePunct w:val="0"/>
              <w:bidi w:val="0"/>
              <w:snapToGrid w:val="0"/>
              <w:spacing w:line="200" w:lineRule="exact"/>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color w:val="auto"/>
                <w:sz w:val="21"/>
                <w:szCs w:val="21"/>
                <w:u w:val="none" w:color="auto"/>
              </w:rPr>
              <w:t>0.2</w:t>
            </w:r>
            <w:r>
              <w:rPr>
                <w:rFonts w:hint="default" w:ascii="Times New Roman" w:hAnsi="Times New Roman" w:eastAsia="宋体" w:cs="Times New Roman"/>
                <w:bCs/>
                <w:color w:val="auto"/>
                <w:kern w:val="0"/>
                <w:sz w:val="21"/>
                <w:szCs w:val="21"/>
                <w:u w:val="none" w:color="auto"/>
              </w:rPr>
              <w:t>t/a</w:t>
            </w:r>
          </w:p>
        </w:tc>
        <w:tc>
          <w:tcPr>
            <w:tcW w:w="624" w:type="pct"/>
            <w:vAlign w:val="center"/>
          </w:tcPr>
          <w:p w14:paraId="5F41C58D">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43" w:type="pct"/>
            <w:vAlign w:val="center"/>
          </w:tcPr>
          <w:p w14:paraId="5D52ABAC">
            <w:pPr>
              <w:pStyle w:val="88"/>
              <w:keepNext w:val="0"/>
              <w:keepLines w:val="0"/>
              <w:pageBreakBefore w:val="0"/>
              <w:kinsoku/>
              <w:wordWrap/>
              <w:overflowPunct/>
              <w:topLinePunct w:val="0"/>
              <w:bidi w:val="0"/>
              <w:snapToGrid w:val="0"/>
              <w:spacing w:line="200" w:lineRule="exact"/>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color w:val="auto"/>
                <w:sz w:val="21"/>
                <w:szCs w:val="21"/>
                <w:u w:val="none" w:color="auto"/>
              </w:rPr>
              <w:t>0.2</w:t>
            </w:r>
            <w:r>
              <w:rPr>
                <w:rFonts w:hint="default" w:ascii="Times New Roman" w:hAnsi="Times New Roman" w:eastAsia="宋体" w:cs="Times New Roman"/>
                <w:bCs/>
                <w:color w:val="auto"/>
                <w:kern w:val="0"/>
                <w:sz w:val="21"/>
                <w:szCs w:val="21"/>
                <w:u w:val="none" w:color="auto"/>
              </w:rPr>
              <w:t>t/a</w:t>
            </w:r>
          </w:p>
        </w:tc>
        <w:tc>
          <w:tcPr>
            <w:tcW w:w="566" w:type="pct"/>
            <w:vAlign w:val="center"/>
          </w:tcPr>
          <w:p w14:paraId="067A63E0">
            <w:pPr>
              <w:pStyle w:val="88"/>
              <w:keepNext w:val="0"/>
              <w:keepLines w:val="0"/>
              <w:pageBreakBefore w:val="0"/>
              <w:kinsoku/>
              <w:wordWrap/>
              <w:overflowPunct/>
              <w:topLinePunct w:val="0"/>
              <w:bidi w:val="0"/>
              <w:snapToGrid w:val="0"/>
              <w:spacing w:line="200" w:lineRule="exact"/>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color w:val="auto"/>
                <w:sz w:val="21"/>
                <w:szCs w:val="21"/>
                <w:u w:val="none" w:color="auto"/>
                <w:lang w:val="en-US" w:eastAsia="zh-CN"/>
              </w:rPr>
              <w:t>+</w:t>
            </w:r>
            <w:r>
              <w:rPr>
                <w:rFonts w:hint="default" w:ascii="Times New Roman" w:hAnsi="Times New Roman" w:eastAsia="宋体" w:cs="Times New Roman"/>
                <w:color w:val="auto"/>
                <w:sz w:val="21"/>
                <w:szCs w:val="21"/>
                <w:u w:val="none" w:color="auto"/>
              </w:rPr>
              <w:t>0.2</w:t>
            </w:r>
            <w:r>
              <w:rPr>
                <w:rFonts w:hint="default" w:ascii="Times New Roman" w:hAnsi="Times New Roman" w:eastAsia="宋体" w:cs="Times New Roman"/>
                <w:bCs/>
                <w:color w:val="auto"/>
                <w:kern w:val="0"/>
                <w:sz w:val="21"/>
                <w:szCs w:val="21"/>
                <w:u w:val="none" w:color="auto"/>
              </w:rPr>
              <w:t>t/a</w:t>
            </w:r>
          </w:p>
        </w:tc>
      </w:tr>
      <w:tr w14:paraId="2635C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 w:type="pct"/>
            <w:vMerge w:val="continue"/>
            <w:vAlign w:val="center"/>
          </w:tcPr>
          <w:p w14:paraId="0A764A1A">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733" w:type="pct"/>
            <w:vAlign w:val="center"/>
          </w:tcPr>
          <w:p w14:paraId="1C6B9755">
            <w:pPr>
              <w:keepNext w:val="0"/>
              <w:keepLines w:val="0"/>
              <w:pageBreakBefore w:val="0"/>
              <w:kinsoku/>
              <w:wordWrap/>
              <w:overflowPunct/>
              <w:topLinePunct w:val="0"/>
              <w:bidi w:val="0"/>
              <w:spacing w:line="200" w:lineRule="exact"/>
              <w:jc w:val="center"/>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color w:val="auto"/>
                <w:sz w:val="21"/>
                <w:szCs w:val="21"/>
                <w:u w:val="none" w:color="auto"/>
              </w:rPr>
              <w:t>废</w:t>
            </w:r>
            <w:r>
              <w:rPr>
                <w:rFonts w:hint="default" w:ascii="Times New Roman" w:hAnsi="Times New Roman" w:eastAsia="宋体" w:cs="Times New Roman"/>
                <w:color w:val="auto"/>
                <w:sz w:val="21"/>
                <w:szCs w:val="21"/>
                <w:u w:val="none" w:color="auto"/>
                <w:lang w:val="en-US" w:eastAsia="zh-CN"/>
              </w:rPr>
              <w:t>柴油</w:t>
            </w:r>
            <w:r>
              <w:rPr>
                <w:rFonts w:hint="default" w:ascii="Times New Roman" w:hAnsi="Times New Roman" w:eastAsia="宋体" w:cs="Times New Roman"/>
                <w:color w:val="auto"/>
                <w:sz w:val="21"/>
                <w:szCs w:val="21"/>
                <w:u w:val="none" w:color="auto"/>
              </w:rPr>
              <w:t>桶</w:t>
            </w:r>
          </w:p>
        </w:tc>
        <w:tc>
          <w:tcPr>
            <w:tcW w:w="510" w:type="pct"/>
            <w:vAlign w:val="center"/>
          </w:tcPr>
          <w:p w14:paraId="69F3C4F0">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448" w:type="pct"/>
            <w:vAlign w:val="center"/>
          </w:tcPr>
          <w:p w14:paraId="02FB3A07">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603" w:type="pct"/>
            <w:vAlign w:val="center"/>
          </w:tcPr>
          <w:p w14:paraId="77B3218D">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51" w:type="pct"/>
            <w:vAlign w:val="center"/>
          </w:tcPr>
          <w:p w14:paraId="0D5E98F9">
            <w:pPr>
              <w:pStyle w:val="88"/>
              <w:keepNext w:val="0"/>
              <w:keepLines w:val="0"/>
              <w:pageBreakBefore w:val="0"/>
              <w:kinsoku/>
              <w:wordWrap/>
              <w:overflowPunct/>
              <w:topLinePunct w:val="0"/>
              <w:bidi w:val="0"/>
              <w:snapToGrid w:val="0"/>
              <w:spacing w:line="200" w:lineRule="exact"/>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color w:val="auto"/>
                <w:sz w:val="21"/>
                <w:szCs w:val="21"/>
                <w:u w:val="none" w:color="auto"/>
                <w:lang w:val="en-US" w:eastAsia="zh-CN"/>
              </w:rPr>
              <w:t>0.02</w:t>
            </w:r>
            <w:r>
              <w:rPr>
                <w:rFonts w:hint="default" w:ascii="Times New Roman" w:hAnsi="Times New Roman" w:eastAsia="宋体" w:cs="Times New Roman"/>
                <w:bCs/>
                <w:color w:val="auto"/>
                <w:kern w:val="0"/>
                <w:sz w:val="21"/>
                <w:szCs w:val="21"/>
                <w:u w:val="none" w:color="auto"/>
              </w:rPr>
              <w:t>t/a</w:t>
            </w:r>
          </w:p>
        </w:tc>
        <w:tc>
          <w:tcPr>
            <w:tcW w:w="624" w:type="pct"/>
            <w:vAlign w:val="center"/>
          </w:tcPr>
          <w:p w14:paraId="37AA0019">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43" w:type="pct"/>
            <w:vAlign w:val="center"/>
          </w:tcPr>
          <w:p w14:paraId="561956AE">
            <w:pPr>
              <w:pStyle w:val="88"/>
              <w:keepNext w:val="0"/>
              <w:keepLines w:val="0"/>
              <w:pageBreakBefore w:val="0"/>
              <w:kinsoku/>
              <w:wordWrap/>
              <w:overflowPunct/>
              <w:topLinePunct w:val="0"/>
              <w:bidi w:val="0"/>
              <w:snapToGrid w:val="0"/>
              <w:spacing w:line="200" w:lineRule="exact"/>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color w:val="auto"/>
                <w:sz w:val="21"/>
                <w:szCs w:val="21"/>
                <w:u w:val="none" w:color="auto"/>
                <w:lang w:val="en-US" w:eastAsia="zh-CN"/>
              </w:rPr>
              <w:t>0.02</w:t>
            </w:r>
            <w:r>
              <w:rPr>
                <w:rFonts w:hint="default" w:ascii="Times New Roman" w:hAnsi="Times New Roman" w:eastAsia="宋体" w:cs="Times New Roman"/>
                <w:bCs/>
                <w:color w:val="auto"/>
                <w:kern w:val="0"/>
                <w:sz w:val="21"/>
                <w:szCs w:val="21"/>
                <w:u w:val="none" w:color="auto"/>
              </w:rPr>
              <w:t>t/a</w:t>
            </w:r>
          </w:p>
        </w:tc>
        <w:tc>
          <w:tcPr>
            <w:tcW w:w="566" w:type="pct"/>
            <w:vAlign w:val="center"/>
          </w:tcPr>
          <w:p w14:paraId="0EABED8E">
            <w:pPr>
              <w:pStyle w:val="88"/>
              <w:keepNext w:val="0"/>
              <w:keepLines w:val="0"/>
              <w:pageBreakBefore w:val="0"/>
              <w:kinsoku/>
              <w:wordWrap/>
              <w:overflowPunct/>
              <w:topLinePunct w:val="0"/>
              <w:bidi w:val="0"/>
              <w:snapToGrid w:val="0"/>
              <w:spacing w:line="200" w:lineRule="exact"/>
              <w:rPr>
                <w:rFonts w:hint="default" w:ascii="Times New Roman" w:hAnsi="Times New Roman" w:eastAsia="宋体" w:cs="Times New Roman"/>
                <w:bCs/>
                <w:color w:val="auto"/>
                <w:kern w:val="0"/>
                <w:sz w:val="21"/>
                <w:szCs w:val="21"/>
                <w:u w:val="none" w:color="auto"/>
              </w:rPr>
            </w:pPr>
            <w:r>
              <w:rPr>
                <w:rFonts w:hint="default" w:ascii="Times New Roman" w:hAnsi="Times New Roman" w:eastAsia="宋体" w:cs="Times New Roman"/>
                <w:color w:val="auto"/>
                <w:sz w:val="21"/>
                <w:szCs w:val="21"/>
                <w:u w:val="none" w:color="auto"/>
                <w:lang w:val="en-US" w:eastAsia="zh-CN"/>
              </w:rPr>
              <w:t>+0.02</w:t>
            </w:r>
            <w:r>
              <w:rPr>
                <w:rFonts w:hint="default" w:ascii="Times New Roman" w:hAnsi="Times New Roman" w:eastAsia="宋体" w:cs="Times New Roman"/>
                <w:bCs/>
                <w:color w:val="auto"/>
                <w:kern w:val="0"/>
                <w:sz w:val="21"/>
                <w:szCs w:val="21"/>
                <w:u w:val="none" w:color="auto"/>
              </w:rPr>
              <w:t>t/a</w:t>
            </w:r>
          </w:p>
        </w:tc>
      </w:tr>
      <w:tr w14:paraId="5AE33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9" w:type="pct"/>
            <w:vMerge w:val="continue"/>
            <w:vAlign w:val="center"/>
          </w:tcPr>
          <w:p w14:paraId="7E92EE43">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733" w:type="pct"/>
            <w:vAlign w:val="center"/>
          </w:tcPr>
          <w:p w14:paraId="5327CD00">
            <w:pPr>
              <w:keepNext w:val="0"/>
              <w:keepLines w:val="0"/>
              <w:pageBreakBefore w:val="0"/>
              <w:kinsoku/>
              <w:wordWrap/>
              <w:overflowPunct/>
              <w:topLinePunct w:val="0"/>
              <w:bidi w:val="0"/>
              <w:spacing w:line="200" w:lineRule="exact"/>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实验室危险废物</w:t>
            </w:r>
          </w:p>
        </w:tc>
        <w:tc>
          <w:tcPr>
            <w:tcW w:w="510" w:type="pct"/>
            <w:vAlign w:val="center"/>
          </w:tcPr>
          <w:p w14:paraId="647C796D">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lang w:val="en-US" w:eastAsia="zh-CN"/>
              </w:rPr>
            </w:pPr>
            <w:r>
              <w:rPr>
                <w:rFonts w:hint="default" w:ascii="Times New Roman" w:hAnsi="Times New Roman" w:eastAsia="宋体" w:cs="Times New Roman"/>
                <w:snapToGrid w:val="0"/>
                <w:color w:val="auto"/>
                <w:kern w:val="21"/>
                <w:sz w:val="21"/>
                <w:szCs w:val="21"/>
                <w:u w:val="none" w:color="auto"/>
                <w:lang w:val="en-US" w:eastAsia="zh-CN"/>
              </w:rPr>
              <w:t>0</w:t>
            </w:r>
          </w:p>
        </w:tc>
        <w:tc>
          <w:tcPr>
            <w:tcW w:w="448" w:type="pct"/>
            <w:vAlign w:val="center"/>
          </w:tcPr>
          <w:p w14:paraId="3907BBD1">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603" w:type="pct"/>
            <w:vAlign w:val="center"/>
          </w:tcPr>
          <w:p w14:paraId="19461C54">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51" w:type="pct"/>
            <w:vAlign w:val="center"/>
          </w:tcPr>
          <w:p w14:paraId="0626D9F2">
            <w:pPr>
              <w:pStyle w:val="88"/>
              <w:keepNext w:val="0"/>
              <w:keepLines w:val="0"/>
              <w:pageBreakBefore w:val="0"/>
              <w:kinsoku/>
              <w:wordWrap/>
              <w:overflowPunct/>
              <w:topLinePunct w:val="0"/>
              <w:bidi w:val="0"/>
              <w:snapToGrid w:val="0"/>
              <w:spacing w:line="200" w:lineRule="exac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1.46</w:t>
            </w:r>
            <w:r>
              <w:rPr>
                <w:rFonts w:hint="default" w:ascii="Times New Roman" w:hAnsi="Times New Roman" w:eastAsia="宋体" w:cs="Times New Roman"/>
                <w:bCs/>
                <w:color w:val="auto"/>
                <w:kern w:val="0"/>
                <w:sz w:val="21"/>
                <w:szCs w:val="21"/>
                <w:u w:val="none" w:color="auto"/>
              </w:rPr>
              <w:t>t/a</w:t>
            </w:r>
          </w:p>
        </w:tc>
        <w:tc>
          <w:tcPr>
            <w:tcW w:w="624" w:type="pct"/>
            <w:vAlign w:val="center"/>
          </w:tcPr>
          <w:p w14:paraId="7291D47C">
            <w:pPr>
              <w:pStyle w:val="78"/>
              <w:keepNext w:val="0"/>
              <w:keepLines w:val="0"/>
              <w:pageBreakBefore w:val="0"/>
              <w:widowControl w:val="0"/>
              <w:kinsoku/>
              <w:wordWrap/>
              <w:overflowPunct/>
              <w:topLinePunct w:val="0"/>
              <w:bidi w:val="0"/>
              <w:spacing w:beforeLines="0" w:afterLines="0" w:line="200" w:lineRule="exact"/>
              <w:rPr>
                <w:rFonts w:hint="default" w:ascii="Times New Roman" w:hAnsi="Times New Roman" w:eastAsia="宋体" w:cs="Times New Roman"/>
                <w:snapToGrid w:val="0"/>
                <w:color w:val="auto"/>
                <w:kern w:val="21"/>
                <w:sz w:val="21"/>
                <w:szCs w:val="21"/>
                <w:u w:val="none" w:color="auto"/>
              </w:rPr>
            </w:pPr>
          </w:p>
        </w:tc>
        <w:tc>
          <w:tcPr>
            <w:tcW w:w="543" w:type="pct"/>
            <w:vAlign w:val="center"/>
          </w:tcPr>
          <w:p w14:paraId="451250FD">
            <w:pPr>
              <w:pStyle w:val="88"/>
              <w:keepNext w:val="0"/>
              <w:keepLines w:val="0"/>
              <w:pageBreakBefore w:val="0"/>
              <w:kinsoku/>
              <w:wordWrap/>
              <w:overflowPunct/>
              <w:topLinePunct w:val="0"/>
              <w:bidi w:val="0"/>
              <w:snapToGrid w:val="0"/>
              <w:spacing w:line="200" w:lineRule="exac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1.46</w:t>
            </w:r>
            <w:r>
              <w:rPr>
                <w:rFonts w:hint="default" w:ascii="Times New Roman" w:hAnsi="Times New Roman" w:eastAsia="宋体" w:cs="Times New Roman"/>
                <w:bCs/>
                <w:color w:val="auto"/>
                <w:kern w:val="0"/>
                <w:sz w:val="21"/>
                <w:szCs w:val="21"/>
                <w:u w:val="none" w:color="auto"/>
              </w:rPr>
              <w:t>t/a</w:t>
            </w:r>
          </w:p>
        </w:tc>
        <w:tc>
          <w:tcPr>
            <w:tcW w:w="566" w:type="pct"/>
            <w:vAlign w:val="center"/>
          </w:tcPr>
          <w:p w14:paraId="6FB11696">
            <w:pPr>
              <w:pStyle w:val="88"/>
              <w:keepNext w:val="0"/>
              <w:keepLines w:val="0"/>
              <w:pageBreakBefore w:val="0"/>
              <w:kinsoku/>
              <w:wordWrap/>
              <w:overflowPunct/>
              <w:topLinePunct w:val="0"/>
              <w:bidi w:val="0"/>
              <w:snapToGrid w:val="0"/>
              <w:spacing w:line="200" w:lineRule="exac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+1.46</w:t>
            </w:r>
            <w:r>
              <w:rPr>
                <w:rFonts w:hint="default" w:ascii="Times New Roman" w:hAnsi="Times New Roman" w:eastAsia="宋体" w:cs="Times New Roman"/>
                <w:bCs/>
                <w:color w:val="auto"/>
                <w:kern w:val="0"/>
                <w:sz w:val="21"/>
                <w:szCs w:val="21"/>
                <w:u w:val="none" w:color="auto"/>
              </w:rPr>
              <w:t>t/a</w:t>
            </w:r>
          </w:p>
        </w:tc>
      </w:tr>
    </w:tbl>
    <w:p w14:paraId="76BA9610">
      <w:pPr>
        <w:pStyle w:val="78"/>
        <w:spacing w:before="249" w:beforeLines="80" w:after="31"/>
        <w:jc w:val="left"/>
        <w:rPr>
          <w:rFonts w:hint="default" w:ascii="Times New Roman" w:hAnsi="Times New Roman" w:cs="Times New Roman"/>
          <w:snapToGrid w:val="0"/>
          <w:color w:val="auto"/>
          <w:spacing w:val="-6"/>
          <w:kern w:val="21"/>
          <w:szCs w:val="21"/>
          <w:highlight w:val="none"/>
          <w:u w:val="none" w:color="auto"/>
        </w:rPr>
        <w:sectPr>
          <w:footerReference r:id="rId7" w:type="default"/>
          <w:pgSz w:w="16838" w:h="11906" w:orient="landscape"/>
          <w:pgMar w:top="1440" w:right="1800" w:bottom="1440" w:left="1800" w:header="851" w:footer="992" w:gutter="0"/>
          <w:cols w:space="720" w:num="1"/>
          <w:docGrid w:type="lines" w:linePitch="312" w:charSpace="0"/>
        </w:sectPr>
      </w:pPr>
      <w:r>
        <w:rPr>
          <w:rFonts w:hint="default" w:ascii="Times New Roman" w:hAnsi="Times New Roman" w:cs="Times New Roman"/>
          <w:snapToGrid w:val="0"/>
          <w:color w:val="auto"/>
          <w:kern w:val="21"/>
          <w:szCs w:val="21"/>
          <w:highlight w:val="none"/>
          <w:u w:val="none" w:color="auto"/>
        </w:rPr>
        <w:t>注：</w:t>
      </w:r>
      <w:r>
        <w:rPr>
          <w:rFonts w:hint="default" w:ascii="Times New Roman" w:hAnsi="Times New Roman" w:cs="Times New Roman"/>
          <w:snapToGrid w:val="0"/>
          <w:color w:val="auto"/>
          <w:spacing w:val="-16"/>
          <w:kern w:val="21"/>
          <w:szCs w:val="21"/>
          <w:highlight w:val="none"/>
          <w:u w:val="none" w:color="auto"/>
        </w:rPr>
        <w:fldChar w:fldCharType="begin"/>
      </w:r>
      <w:r>
        <w:rPr>
          <w:rFonts w:hint="default" w:ascii="Times New Roman" w:hAnsi="Times New Roman" w:cs="Times New Roman"/>
          <w:snapToGrid w:val="0"/>
          <w:color w:val="auto"/>
          <w:spacing w:val="-16"/>
          <w:kern w:val="21"/>
          <w:szCs w:val="21"/>
          <w:highlight w:val="none"/>
          <w:u w:val="none" w:color="auto"/>
        </w:rPr>
        <w:instrText xml:space="preserve"> = 6 \* GB3 \* MERGEFORMAT </w:instrText>
      </w:r>
      <w:r>
        <w:rPr>
          <w:rFonts w:hint="default" w:ascii="Times New Roman" w:hAnsi="Times New Roman" w:cs="Times New Roman"/>
          <w:snapToGrid w:val="0"/>
          <w:color w:val="auto"/>
          <w:spacing w:val="-16"/>
          <w:kern w:val="21"/>
          <w:szCs w:val="21"/>
          <w:highlight w:val="none"/>
          <w:u w:val="none" w:color="auto"/>
        </w:rPr>
        <w:fldChar w:fldCharType="separate"/>
      </w:r>
      <w:r>
        <w:rPr>
          <w:rFonts w:hint="default" w:ascii="Times New Roman" w:hAnsi="Times New Roman" w:cs="Times New Roman"/>
          <w:color w:val="auto"/>
          <w:szCs w:val="21"/>
          <w:highlight w:val="none"/>
          <w:u w:val="none" w:color="auto"/>
        </w:rPr>
        <w:t>⑥</w:t>
      </w:r>
      <w:r>
        <w:rPr>
          <w:rFonts w:hint="default" w:ascii="Times New Roman" w:hAnsi="Times New Roman" w:cs="Times New Roman"/>
          <w:snapToGrid w:val="0"/>
          <w:color w:val="auto"/>
          <w:spacing w:val="-16"/>
          <w:kern w:val="21"/>
          <w:szCs w:val="21"/>
          <w:highlight w:val="none"/>
          <w:u w:val="none" w:color="auto"/>
        </w:rPr>
        <w:fldChar w:fldCharType="end"/>
      </w:r>
      <w:r>
        <w:rPr>
          <w:rFonts w:hint="default" w:ascii="Times New Roman" w:hAnsi="Times New Roman" w:cs="Times New Roman"/>
          <w:snapToGrid w:val="0"/>
          <w:color w:val="auto"/>
          <w:spacing w:val="-16"/>
          <w:kern w:val="21"/>
          <w:szCs w:val="21"/>
          <w:highlight w:val="none"/>
          <w:u w:val="none" w:color="auto"/>
        </w:rPr>
        <w:t>=</w:t>
      </w:r>
      <w:r>
        <w:rPr>
          <w:rFonts w:hint="default" w:ascii="Times New Roman" w:hAnsi="Times New Roman" w:cs="Times New Roman"/>
          <w:snapToGrid w:val="0"/>
          <w:color w:val="auto"/>
          <w:spacing w:val="-6"/>
          <w:kern w:val="21"/>
          <w:szCs w:val="21"/>
          <w:highlight w:val="none"/>
          <w:u w:val="none" w:color="auto"/>
        </w:rPr>
        <w:fldChar w:fldCharType="begin"/>
      </w:r>
      <w:r>
        <w:rPr>
          <w:rFonts w:hint="default" w:ascii="Times New Roman" w:hAnsi="Times New Roman" w:cs="Times New Roman"/>
          <w:snapToGrid w:val="0"/>
          <w:color w:val="auto"/>
          <w:spacing w:val="-6"/>
          <w:kern w:val="21"/>
          <w:szCs w:val="21"/>
          <w:highlight w:val="none"/>
          <w:u w:val="none" w:color="auto"/>
        </w:rPr>
        <w:instrText xml:space="preserve"> = 1 \* GB3 \* MERGEFORMAT </w:instrText>
      </w:r>
      <w:r>
        <w:rPr>
          <w:rFonts w:hint="default" w:ascii="Times New Roman" w:hAnsi="Times New Roman" w:cs="Times New Roman"/>
          <w:snapToGrid w:val="0"/>
          <w:color w:val="auto"/>
          <w:spacing w:val="-6"/>
          <w:kern w:val="21"/>
          <w:szCs w:val="21"/>
          <w:highlight w:val="none"/>
          <w:u w:val="none" w:color="auto"/>
        </w:rPr>
        <w:fldChar w:fldCharType="separate"/>
      </w:r>
      <w:r>
        <w:rPr>
          <w:rFonts w:hint="default" w:ascii="Times New Roman" w:hAnsi="Times New Roman" w:cs="Times New Roman"/>
          <w:color w:val="auto"/>
          <w:szCs w:val="21"/>
          <w:highlight w:val="none"/>
          <w:u w:val="none" w:color="auto"/>
        </w:rPr>
        <w:t>①</w:t>
      </w:r>
      <w:r>
        <w:rPr>
          <w:rFonts w:hint="default" w:ascii="Times New Roman" w:hAnsi="Times New Roman" w:cs="Times New Roman"/>
          <w:snapToGrid w:val="0"/>
          <w:color w:val="auto"/>
          <w:spacing w:val="-6"/>
          <w:kern w:val="21"/>
          <w:szCs w:val="21"/>
          <w:highlight w:val="none"/>
          <w:u w:val="none" w:color="auto"/>
        </w:rPr>
        <w:fldChar w:fldCharType="end"/>
      </w:r>
      <w:r>
        <w:rPr>
          <w:rFonts w:hint="default" w:ascii="Times New Roman" w:hAnsi="Times New Roman" w:cs="Times New Roman"/>
          <w:snapToGrid w:val="0"/>
          <w:color w:val="auto"/>
          <w:spacing w:val="-6"/>
          <w:kern w:val="21"/>
          <w:szCs w:val="21"/>
          <w:highlight w:val="none"/>
          <w:u w:val="none" w:color="auto"/>
        </w:rPr>
        <w:t>+</w:t>
      </w:r>
      <w:r>
        <w:rPr>
          <w:rFonts w:hint="default" w:ascii="Times New Roman" w:hAnsi="Times New Roman" w:cs="Times New Roman"/>
          <w:snapToGrid w:val="0"/>
          <w:color w:val="auto"/>
          <w:spacing w:val="-6"/>
          <w:kern w:val="21"/>
          <w:szCs w:val="21"/>
          <w:highlight w:val="none"/>
          <w:u w:val="none" w:color="auto"/>
        </w:rPr>
        <w:fldChar w:fldCharType="begin"/>
      </w:r>
      <w:r>
        <w:rPr>
          <w:rFonts w:hint="default" w:ascii="Times New Roman" w:hAnsi="Times New Roman" w:cs="Times New Roman"/>
          <w:snapToGrid w:val="0"/>
          <w:color w:val="auto"/>
          <w:spacing w:val="-6"/>
          <w:kern w:val="21"/>
          <w:szCs w:val="21"/>
          <w:highlight w:val="none"/>
          <w:u w:val="none" w:color="auto"/>
        </w:rPr>
        <w:instrText xml:space="preserve"> = 3 \* GB3 \* MERGEFORMAT </w:instrText>
      </w:r>
      <w:r>
        <w:rPr>
          <w:rFonts w:hint="default" w:ascii="Times New Roman" w:hAnsi="Times New Roman" w:cs="Times New Roman"/>
          <w:snapToGrid w:val="0"/>
          <w:color w:val="auto"/>
          <w:spacing w:val="-6"/>
          <w:kern w:val="21"/>
          <w:szCs w:val="21"/>
          <w:highlight w:val="none"/>
          <w:u w:val="none" w:color="auto"/>
        </w:rPr>
        <w:fldChar w:fldCharType="separate"/>
      </w:r>
      <w:r>
        <w:rPr>
          <w:rFonts w:hint="default" w:ascii="Times New Roman" w:hAnsi="Times New Roman" w:cs="Times New Roman"/>
          <w:color w:val="auto"/>
          <w:szCs w:val="21"/>
          <w:highlight w:val="none"/>
          <w:u w:val="none" w:color="auto"/>
        </w:rPr>
        <w:t>③</w:t>
      </w:r>
      <w:r>
        <w:rPr>
          <w:rFonts w:hint="default" w:ascii="Times New Roman" w:hAnsi="Times New Roman" w:cs="Times New Roman"/>
          <w:snapToGrid w:val="0"/>
          <w:color w:val="auto"/>
          <w:spacing w:val="-6"/>
          <w:kern w:val="21"/>
          <w:szCs w:val="21"/>
          <w:highlight w:val="none"/>
          <w:u w:val="none" w:color="auto"/>
        </w:rPr>
        <w:fldChar w:fldCharType="end"/>
      </w:r>
      <w:r>
        <w:rPr>
          <w:rFonts w:hint="default" w:ascii="Times New Roman" w:hAnsi="Times New Roman" w:cs="Times New Roman"/>
          <w:snapToGrid w:val="0"/>
          <w:color w:val="auto"/>
          <w:spacing w:val="-6"/>
          <w:kern w:val="21"/>
          <w:szCs w:val="21"/>
          <w:highlight w:val="none"/>
          <w:u w:val="none" w:color="auto"/>
        </w:rPr>
        <w:t>+</w:t>
      </w:r>
      <w:r>
        <w:rPr>
          <w:rFonts w:hint="default" w:ascii="Times New Roman" w:hAnsi="Times New Roman" w:cs="Times New Roman"/>
          <w:snapToGrid w:val="0"/>
          <w:color w:val="auto"/>
          <w:spacing w:val="-6"/>
          <w:kern w:val="21"/>
          <w:szCs w:val="21"/>
          <w:highlight w:val="none"/>
          <w:u w:val="none" w:color="auto"/>
        </w:rPr>
        <w:fldChar w:fldCharType="begin"/>
      </w:r>
      <w:r>
        <w:rPr>
          <w:rFonts w:hint="default" w:ascii="Times New Roman" w:hAnsi="Times New Roman" w:cs="Times New Roman"/>
          <w:snapToGrid w:val="0"/>
          <w:color w:val="auto"/>
          <w:spacing w:val="-6"/>
          <w:kern w:val="21"/>
          <w:szCs w:val="21"/>
          <w:highlight w:val="none"/>
          <w:u w:val="none" w:color="auto"/>
        </w:rPr>
        <w:instrText xml:space="preserve"> = 4 \* GB3 \* MERGEFORMAT </w:instrText>
      </w:r>
      <w:r>
        <w:rPr>
          <w:rFonts w:hint="default" w:ascii="Times New Roman" w:hAnsi="Times New Roman" w:cs="Times New Roman"/>
          <w:snapToGrid w:val="0"/>
          <w:color w:val="auto"/>
          <w:spacing w:val="-6"/>
          <w:kern w:val="21"/>
          <w:szCs w:val="21"/>
          <w:highlight w:val="none"/>
          <w:u w:val="none" w:color="auto"/>
        </w:rPr>
        <w:fldChar w:fldCharType="separate"/>
      </w:r>
      <w:r>
        <w:rPr>
          <w:rFonts w:hint="default" w:ascii="Times New Roman" w:hAnsi="Times New Roman" w:cs="Times New Roman"/>
          <w:color w:val="auto"/>
          <w:szCs w:val="21"/>
          <w:highlight w:val="none"/>
          <w:u w:val="none" w:color="auto"/>
        </w:rPr>
        <w:t>④</w:t>
      </w:r>
      <w:r>
        <w:rPr>
          <w:rFonts w:hint="default" w:ascii="Times New Roman" w:hAnsi="Times New Roman" w:cs="Times New Roman"/>
          <w:snapToGrid w:val="0"/>
          <w:color w:val="auto"/>
          <w:spacing w:val="-6"/>
          <w:kern w:val="21"/>
          <w:szCs w:val="21"/>
          <w:highlight w:val="none"/>
          <w:u w:val="none" w:color="auto"/>
        </w:rPr>
        <w:fldChar w:fldCharType="end"/>
      </w:r>
      <w:r>
        <w:rPr>
          <w:rFonts w:hint="default" w:ascii="Times New Roman" w:hAnsi="Times New Roman" w:cs="Times New Roman"/>
          <w:snapToGrid w:val="0"/>
          <w:color w:val="auto"/>
          <w:spacing w:val="-6"/>
          <w:kern w:val="21"/>
          <w:szCs w:val="21"/>
          <w:highlight w:val="none"/>
          <w:u w:val="none" w:color="auto"/>
        </w:rPr>
        <w:t>-</w:t>
      </w:r>
      <w:r>
        <w:rPr>
          <w:rFonts w:hint="default" w:ascii="Times New Roman" w:hAnsi="Times New Roman" w:cs="Times New Roman"/>
          <w:snapToGrid w:val="0"/>
          <w:color w:val="auto"/>
          <w:spacing w:val="-16"/>
          <w:kern w:val="21"/>
          <w:szCs w:val="21"/>
          <w:highlight w:val="none"/>
          <w:u w:val="none" w:color="auto"/>
        </w:rPr>
        <w:fldChar w:fldCharType="begin"/>
      </w:r>
      <w:r>
        <w:rPr>
          <w:rFonts w:hint="default" w:ascii="Times New Roman" w:hAnsi="Times New Roman" w:cs="Times New Roman"/>
          <w:snapToGrid w:val="0"/>
          <w:color w:val="auto"/>
          <w:spacing w:val="-16"/>
          <w:kern w:val="21"/>
          <w:szCs w:val="21"/>
          <w:highlight w:val="none"/>
          <w:u w:val="none" w:color="auto"/>
        </w:rPr>
        <w:instrText xml:space="preserve"> = 5 \* GB3 \* MERGEFORMAT </w:instrText>
      </w:r>
      <w:r>
        <w:rPr>
          <w:rFonts w:hint="default" w:ascii="Times New Roman" w:hAnsi="Times New Roman" w:cs="Times New Roman"/>
          <w:snapToGrid w:val="0"/>
          <w:color w:val="auto"/>
          <w:spacing w:val="-16"/>
          <w:kern w:val="21"/>
          <w:szCs w:val="21"/>
          <w:highlight w:val="none"/>
          <w:u w:val="none" w:color="auto"/>
        </w:rPr>
        <w:fldChar w:fldCharType="separate"/>
      </w:r>
      <w:r>
        <w:rPr>
          <w:rFonts w:hint="default" w:ascii="Times New Roman" w:hAnsi="Times New Roman" w:cs="Times New Roman"/>
          <w:color w:val="auto"/>
          <w:szCs w:val="21"/>
          <w:highlight w:val="none"/>
          <w:u w:val="none" w:color="auto"/>
        </w:rPr>
        <w:t>⑤</w:t>
      </w:r>
      <w:r>
        <w:rPr>
          <w:rFonts w:hint="default" w:ascii="Times New Roman" w:hAnsi="Times New Roman" w:cs="Times New Roman"/>
          <w:snapToGrid w:val="0"/>
          <w:color w:val="auto"/>
          <w:spacing w:val="-16"/>
          <w:kern w:val="21"/>
          <w:szCs w:val="21"/>
          <w:highlight w:val="none"/>
          <w:u w:val="none" w:color="auto"/>
        </w:rPr>
        <w:fldChar w:fldCharType="end"/>
      </w:r>
      <w:r>
        <w:rPr>
          <w:rFonts w:hint="default" w:ascii="Times New Roman" w:hAnsi="Times New Roman" w:cs="Times New Roman"/>
          <w:snapToGrid w:val="0"/>
          <w:color w:val="auto"/>
          <w:spacing w:val="-16"/>
          <w:kern w:val="21"/>
          <w:szCs w:val="21"/>
          <w:highlight w:val="none"/>
          <w:u w:val="none" w:color="auto"/>
        </w:rPr>
        <w:t>；</w:t>
      </w:r>
      <w:r>
        <w:rPr>
          <w:rFonts w:hint="default" w:ascii="Times New Roman" w:hAnsi="Times New Roman" w:cs="Times New Roman"/>
          <w:snapToGrid w:val="0"/>
          <w:color w:val="auto"/>
          <w:spacing w:val="-6"/>
          <w:kern w:val="21"/>
          <w:szCs w:val="21"/>
          <w:highlight w:val="none"/>
          <w:u w:val="none" w:color="auto"/>
        </w:rPr>
        <w:fldChar w:fldCharType="begin"/>
      </w:r>
      <w:r>
        <w:rPr>
          <w:rFonts w:hint="default" w:ascii="Times New Roman" w:hAnsi="Times New Roman" w:cs="Times New Roman"/>
          <w:snapToGrid w:val="0"/>
          <w:color w:val="auto"/>
          <w:spacing w:val="-6"/>
          <w:kern w:val="21"/>
          <w:szCs w:val="21"/>
          <w:highlight w:val="none"/>
          <w:u w:val="none" w:color="auto"/>
        </w:rPr>
        <w:instrText xml:space="preserve"> = 7 \* GB3 \* MERGEFORMAT </w:instrText>
      </w:r>
      <w:r>
        <w:rPr>
          <w:rFonts w:hint="default" w:ascii="Times New Roman" w:hAnsi="Times New Roman" w:cs="Times New Roman"/>
          <w:snapToGrid w:val="0"/>
          <w:color w:val="auto"/>
          <w:spacing w:val="-6"/>
          <w:kern w:val="21"/>
          <w:szCs w:val="21"/>
          <w:highlight w:val="none"/>
          <w:u w:val="none" w:color="auto"/>
        </w:rPr>
        <w:fldChar w:fldCharType="separate"/>
      </w:r>
      <w:r>
        <w:rPr>
          <w:rFonts w:hint="default" w:ascii="Times New Roman" w:hAnsi="Times New Roman" w:cs="Times New Roman"/>
          <w:color w:val="auto"/>
          <w:szCs w:val="21"/>
          <w:highlight w:val="none"/>
          <w:u w:val="none" w:color="auto"/>
        </w:rPr>
        <w:t>⑦</w:t>
      </w:r>
      <w:r>
        <w:rPr>
          <w:rFonts w:hint="default" w:ascii="Times New Roman" w:hAnsi="Times New Roman" w:cs="Times New Roman"/>
          <w:snapToGrid w:val="0"/>
          <w:color w:val="auto"/>
          <w:spacing w:val="-6"/>
          <w:kern w:val="21"/>
          <w:szCs w:val="21"/>
          <w:highlight w:val="none"/>
          <w:u w:val="none" w:color="auto"/>
        </w:rPr>
        <w:fldChar w:fldCharType="end"/>
      </w:r>
      <w:r>
        <w:rPr>
          <w:rFonts w:hint="default" w:ascii="Times New Roman" w:hAnsi="Times New Roman" w:cs="Times New Roman"/>
          <w:snapToGrid w:val="0"/>
          <w:color w:val="auto"/>
          <w:spacing w:val="-6"/>
          <w:kern w:val="21"/>
          <w:szCs w:val="21"/>
          <w:highlight w:val="none"/>
          <w:u w:val="none" w:color="auto"/>
        </w:rPr>
        <w:t>=</w:t>
      </w:r>
      <w:r>
        <w:rPr>
          <w:rFonts w:hint="default" w:ascii="Times New Roman" w:hAnsi="Times New Roman" w:cs="Times New Roman"/>
          <w:snapToGrid w:val="0"/>
          <w:color w:val="auto"/>
          <w:spacing w:val="-16"/>
          <w:kern w:val="21"/>
          <w:szCs w:val="21"/>
          <w:highlight w:val="none"/>
          <w:u w:val="none" w:color="auto"/>
        </w:rPr>
        <w:fldChar w:fldCharType="begin"/>
      </w:r>
      <w:r>
        <w:rPr>
          <w:rFonts w:hint="default" w:ascii="Times New Roman" w:hAnsi="Times New Roman" w:cs="Times New Roman"/>
          <w:snapToGrid w:val="0"/>
          <w:color w:val="auto"/>
          <w:spacing w:val="-16"/>
          <w:kern w:val="21"/>
          <w:szCs w:val="21"/>
          <w:highlight w:val="none"/>
          <w:u w:val="none" w:color="auto"/>
        </w:rPr>
        <w:instrText xml:space="preserve"> = 6 \* GB3 \* MERGEFORMAT </w:instrText>
      </w:r>
      <w:r>
        <w:rPr>
          <w:rFonts w:hint="default" w:ascii="Times New Roman" w:hAnsi="Times New Roman" w:cs="Times New Roman"/>
          <w:snapToGrid w:val="0"/>
          <w:color w:val="auto"/>
          <w:spacing w:val="-16"/>
          <w:kern w:val="21"/>
          <w:szCs w:val="21"/>
          <w:highlight w:val="none"/>
          <w:u w:val="none" w:color="auto"/>
        </w:rPr>
        <w:fldChar w:fldCharType="separate"/>
      </w:r>
      <w:r>
        <w:rPr>
          <w:rFonts w:hint="default" w:ascii="Times New Roman" w:hAnsi="Times New Roman" w:cs="Times New Roman"/>
          <w:color w:val="auto"/>
          <w:szCs w:val="21"/>
          <w:highlight w:val="none"/>
          <w:u w:val="none" w:color="auto"/>
        </w:rPr>
        <w:t>⑥</w:t>
      </w:r>
      <w:r>
        <w:rPr>
          <w:rFonts w:hint="default" w:ascii="Times New Roman" w:hAnsi="Times New Roman" w:cs="Times New Roman"/>
          <w:snapToGrid w:val="0"/>
          <w:color w:val="auto"/>
          <w:spacing w:val="-16"/>
          <w:kern w:val="21"/>
          <w:szCs w:val="21"/>
          <w:highlight w:val="none"/>
          <w:u w:val="none" w:color="auto"/>
        </w:rPr>
        <w:fldChar w:fldCharType="end"/>
      </w:r>
      <w:r>
        <w:rPr>
          <w:rFonts w:hint="default" w:ascii="Times New Roman" w:hAnsi="Times New Roman" w:cs="Times New Roman"/>
          <w:snapToGrid w:val="0"/>
          <w:color w:val="auto"/>
          <w:spacing w:val="-16"/>
          <w:kern w:val="21"/>
          <w:szCs w:val="21"/>
          <w:highlight w:val="none"/>
          <w:u w:val="none" w:color="auto"/>
        </w:rPr>
        <w:t>-</w:t>
      </w:r>
      <w:r>
        <w:rPr>
          <w:rFonts w:hint="default" w:ascii="Times New Roman" w:hAnsi="Times New Roman" w:cs="Times New Roman"/>
          <w:snapToGrid w:val="0"/>
          <w:color w:val="auto"/>
          <w:spacing w:val="-6"/>
          <w:kern w:val="21"/>
          <w:szCs w:val="21"/>
          <w:highlight w:val="none"/>
          <w:u w:val="none" w:color="auto"/>
        </w:rPr>
        <w:fldChar w:fldCharType="begin"/>
      </w:r>
      <w:r>
        <w:rPr>
          <w:rFonts w:hint="default" w:ascii="Times New Roman" w:hAnsi="Times New Roman" w:cs="Times New Roman"/>
          <w:snapToGrid w:val="0"/>
          <w:color w:val="auto"/>
          <w:spacing w:val="-6"/>
          <w:kern w:val="21"/>
          <w:szCs w:val="21"/>
          <w:highlight w:val="none"/>
          <w:u w:val="none" w:color="auto"/>
        </w:rPr>
        <w:instrText xml:space="preserve"> = 1 \* GB3 \* MERGEFORMAT </w:instrText>
      </w:r>
      <w:r>
        <w:rPr>
          <w:rFonts w:hint="default" w:ascii="Times New Roman" w:hAnsi="Times New Roman" w:cs="Times New Roman"/>
          <w:snapToGrid w:val="0"/>
          <w:color w:val="auto"/>
          <w:spacing w:val="-6"/>
          <w:kern w:val="21"/>
          <w:szCs w:val="21"/>
          <w:highlight w:val="none"/>
          <w:u w:val="none" w:color="auto"/>
        </w:rPr>
        <w:fldChar w:fldCharType="separate"/>
      </w:r>
      <w:r>
        <w:rPr>
          <w:rFonts w:hint="default" w:ascii="Times New Roman" w:hAnsi="Times New Roman" w:cs="Times New Roman"/>
          <w:color w:val="auto"/>
          <w:szCs w:val="21"/>
          <w:highlight w:val="none"/>
          <w:u w:val="none" w:color="auto"/>
        </w:rPr>
        <w:t>①</w:t>
      </w:r>
      <w:r>
        <w:rPr>
          <w:rFonts w:hint="default" w:ascii="Times New Roman" w:hAnsi="Times New Roman" w:cs="Times New Roman"/>
          <w:snapToGrid w:val="0"/>
          <w:color w:val="auto"/>
          <w:spacing w:val="-6"/>
          <w:kern w:val="21"/>
          <w:szCs w:val="21"/>
          <w:highlight w:val="none"/>
          <w:u w:val="none" w:color="auto"/>
        </w:rPr>
        <w:fldChar w:fldCharType="end"/>
      </w: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0276E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22" w:type="dxa"/>
          </w:tcPr>
          <w:p w14:paraId="752B7E65">
            <w:pPr>
              <w:rPr>
                <w:vertAlign w:val="baseline"/>
              </w:rPr>
            </w:pPr>
            <w:r>
              <w:rPr>
                <w:sz w:val="24"/>
              </w:rPr>
              <mc:AlternateContent>
                <mc:Choice Requires="wps">
                  <w:drawing>
                    <wp:anchor distT="0" distB="0" distL="114300" distR="114300" simplePos="0" relativeHeight="251677696" behindDoc="0" locked="0" layoutInCell="1" allowOverlap="1">
                      <wp:simplePos x="0" y="0"/>
                      <wp:positionH relativeFrom="column">
                        <wp:posOffset>1882775</wp:posOffset>
                      </wp:positionH>
                      <wp:positionV relativeFrom="paragraph">
                        <wp:posOffset>-4564380</wp:posOffset>
                      </wp:positionV>
                      <wp:extent cx="914400" cy="611505"/>
                      <wp:effectExtent l="12700" t="12700" r="844550" b="652145"/>
                      <wp:wrapNone/>
                      <wp:docPr id="32" name="矩形标注 32"/>
                      <wp:cNvGraphicFramePr/>
                      <a:graphic xmlns:a="http://schemas.openxmlformats.org/drawingml/2006/main">
                        <a:graphicData uri="http://schemas.microsoft.com/office/word/2010/wordprocessingShape">
                          <wps:wsp>
                            <wps:cNvSpPr/>
                            <wps:spPr>
                              <a:xfrm>
                                <a:off x="0" y="0"/>
                                <a:ext cx="914400" cy="611505"/>
                              </a:xfrm>
                              <a:prstGeom prst="wedgeRectCallout">
                                <a:avLst>
                                  <a:gd name="adj1" fmla="val 140069"/>
                                  <a:gd name="adj2" fmla="val 151557"/>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txbx>
                              <w:txbxContent>
                                <w:p w14:paraId="5A5987A9">
                                  <w:pPr>
                                    <w:jc w:val="center"/>
                                    <w:rPr>
                                      <w:rFonts w:hint="default" w:eastAsiaTheme="minorEastAsia"/>
                                      <w:lang w:val="en-US" w:eastAsia="zh-CN"/>
                                    </w:rPr>
                                  </w:pPr>
                                  <w:r>
                                    <w:rPr>
                                      <w:rFonts w:hint="eastAsia"/>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48.25pt;margin-top:-359.4pt;height:48.15pt;width:72pt;z-index:251677696;v-text-anchor:middle;mso-width-relative:page;mso-height-relative:page;" fillcolor="#FF0000" filled="t" stroked="t" coordsize="21600,21600" o:gfxdata="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FAUEUNsAAAANAQAADwAAAAAAAAABACAAAAAi&#10;AAAAZHJzL2Rvd25yZXYueG1sUEsBAhQAFAAAAAgAh07iQIGYQZKyAgAAcAUAAA4AAAAAAAAAAQAg&#10;AAAAKgEAAGRycy9lMm9Eb2MueG1sUEsFBgAAAAAGAAYAWQEAAE4GAAAAAA==&#10;" adj="41055,43536">
                      <v:fill on="t" focussize="0,0"/>
                      <v:stroke weight="2pt" color="#376092 [2404]" joinstyle="round"/>
                      <v:imagedata o:title=""/>
                      <o:lock v:ext="edit" aspectratio="f"/>
                      <v:textbox>
                        <w:txbxContent>
                          <w:p w14:paraId="5A5987A9">
                            <w:pPr>
                              <w:jc w:val="center"/>
                              <w:rPr>
                                <w:rFonts w:hint="default" w:eastAsiaTheme="minorEastAsia"/>
                                <w:lang w:val="en-US" w:eastAsia="zh-CN"/>
                              </w:rPr>
                            </w:pPr>
                            <w:r>
                              <w:rPr>
                                <w:rFonts w:hint="eastAsia"/>
                                <w:lang w:val="en-US" w:eastAsia="zh-CN"/>
                              </w:rPr>
                              <w:t>项目位置</w:t>
                            </w:r>
                          </w:p>
                        </w:txbxContent>
                      </v:textbox>
                    </v:shape>
                  </w:pict>
                </mc:Fallback>
              </mc:AlternateContent>
            </w:r>
            <w:r>
              <w:rPr>
                <w:sz w:val="24"/>
              </w:rPr>
              <mc:AlternateContent>
                <mc:Choice Requires="wps">
                  <w:drawing>
                    <wp:anchor distT="0" distB="0" distL="114300" distR="114300" simplePos="0" relativeHeight="251676672" behindDoc="0" locked="0" layoutInCell="1" allowOverlap="1">
                      <wp:simplePos x="0" y="0"/>
                      <wp:positionH relativeFrom="column">
                        <wp:posOffset>4471670</wp:posOffset>
                      </wp:positionH>
                      <wp:positionV relativeFrom="paragraph">
                        <wp:posOffset>-7881620</wp:posOffset>
                      </wp:positionV>
                      <wp:extent cx="331470" cy="775335"/>
                      <wp:effectExtent l="12700" t="12700" r="17780" b="31115"/>
                      <wp:wrapNone/>
                      <wp:docPr id="30" name="上箭头 30"/>
                      <wp:cNvGraphicFramePr/>
                      <a:graphic xmlns:a="http://schemas.openxmlformats.org/drawingml/2006/main">
                        <a:graphicData uri="http://schemas.microsoft.com/office/word/2010/wordprocessingShape">
                          <wps:wsp>
                            <wps:cNvSpPr/>
                            <wps:spPr>
                              <a:xfrm>
                                <a:off x="0" y="0"/>
                                <a:ext cx="331470" cy="775335"/>
                              </a:xfrm>
                              <a:prstGeom prst="upArrow">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352.1pt;margin-top:-620.6pt;height:61.05pt;width:26.1pt;z-index:251676672;v-text-anchor:middle;mso-width-relative:page;mso-height-relative:page;" fillcolor="#FF0000" filled="t" stroked="t" coordsize="21600,21600" o:gfxdata="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Q0PIx3AAAAA8BAAAPAAAAAAAAAAEA&#10;IAAAACIAAABkcnMvZG93bnJldi54bWxQSwECFAAUAAAACACHTuJAgzb4VH0CAAAGBQAADgAAAAAA&#10;AAABACAAAAArAQAAZHJzL2Uyb0RvYy54bWxQSwUGAAAAAAYABgBZAQAAGgYAAAAA&#10;" adj="4617,5400">
                      <v:fill on="t" focussize="0,0"/>
                      <v:stroke weight="2pt" color="#376092 [2404]" joinstyle="round"/>
                      <v:imagedata o:title=""/>
                      <o:lock v:ext="edit" aspectratio="f"/>
                    </v:shape>
                  </w:pict>
                </mc:Fallback>
              </mc:AlternateContent>
            </w:r>
            <w:r>
              <w:rPr>
                <w:sz w:val="24"/>
              </w:rPr>
              <mc:AlternateContent>
                <mc:Choice Requires="wps">
                  <w:drawing>
                    <wp:anchor distT="0" distB="0" distL="114300" distR="114300" simplePos="0" relativeHeight="251668480" behindDoc="0" locked="0" layoutInCell="1" allowOverlap="1">
                      <wp:simplePos x="0" y="0"/>
                      <wp:positionH relativeFrom="column">
                        <wp:posOffset>4691380</wp:posOffset>
                      </wp:positionH>
                      <wp:positionV relativeFrom="paragraph">
                        <wp:posOffset>-7697470</wp:posOffset>
                      </wp:positionV>
                      <wp:extent cx="595630" cy="493395"/>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595630" cy="4933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AE9F97">
                                  <w:pPr>
                                    <w:rPr>
                                      <w:rFonts w:hint="eastAsia" w:eastAsiaTheme="minorEastAsia"/>
                                      <w:color w:val="FF0000"/>
                                      <w:sz w:val="48"/>
                                      <w:szCs w:val="48"/>
                                      <w:lang w:val="en-US" w:eastAsia="zh-CN"/>
                                    </w:rPr>
                                  </w:pPr>
                                  <w:r>
                                    <w:rPr>
                                      <w:rFonts w:hint="eastAsia"/>
                                      <w:color w:val="FF0000"/>
                                      <w:sz w:val="48"/>
                                      <w:szCs w:val="48"/>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9.4pt;margin-top:-606.1pt;height:38.85pt;width:46.9pt;z-index:251668480;mso-width-relative:page;mso-height-relative:page;" filled="f" stroked="f" coordsize="21600,21600" o:gfxdata="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oV18x3wAAAA8BAAAPAAAAAAAAAAEAIAAAACIA&#10;AABkcnMvZG93bnJldi54bWxQSwECFAAUAAAACACHTuJAwIFc/jsCAABnBAAADgAAAAAAAAABACAA&#10;AAAuAQAAZHJzL2Uyb0RvYy54bWxQSwUGAAAAAAYABgBZAQAA2wUAAAAA&#10;">
                      <v:fill on="f" focussize="0,0"/>
                      <v:stroke on="f" weight="0.5pt"/>
                      <v:imagedata o:title=""/>
                      <o:lock v:ext="edit" aspectratio="f"/>
                      <v:textbox>
                        <w:txbxContent>
                          <w:p w14:paraId="11AE9F97">
                            <w:pPr>
                              <w:rPr>
                                <w:rFonts w:hint="eastAsia" w:eastAsiaTheme="minorEastAsia"/>
                                <w:color w:val="FF0000"/>
                                <w:sz w:val="48"/>
                                <w:szCs w:val="48"/>
                                <w:lang w:val="en-US" w:eastAsia="zh-CN"/>
                              </w:rPr>
                            </w:pPr>
                            <w:r>
                              <w:rPr>
                                <w:rFonts w:hint="eastAsia"/>
                                <w:color w:val="FF0000"/>
                                <w:sz w:val="48"/>
                                <w:szCs w:val="48"/>
                                <w:lang w:val="en-US" w:eastAsia="zh-CN"/>
                              </w:rPr>
                              <w:t>N</w:t>
                            </w:r>
                          </w:p>
                        </w:txbxContent>
                      </v:textbox>
                    </v:shape>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column">
                        <wp:posOffset>7847330</wp:posOffset>
                      </wp:positionH>
                      <wp:positionV relativeFrom="paragraph">
                        <wp:posOffset>837565</wp:posOffset>
                      </wp:positionV>
                      <wp:extent cx="595630" cy="493395"/>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595630" cy="4933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66B0C8">
                                  <w:pPr>
                                    <w:rPr>
                                      <w:rFonts w:hint="eastAsia" w:eastAsiaTheme="minorEastAsia"/>
                                      <w:color w:val="FF0000"/>
                                      <w:sz w:val="48"/>
                                      <w:szCs w:val="48"/>
                                      <w:lang w:val="en-US" w:eastAsia="zh-CN"/>
                                    </w:rPr>
                                  </w:pPr>
                                  <w:r>
                                    <w:rPr>
                                      <w:rFonts w:hint="eastAsia"/>
                                      <w:color w:val="FF0000"/>
                                      <w:sz w:val="48"/>
                                      <w:szCs w:val="48"/>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7.9pt;margin-top:65.95pt;height:38.85pt;width:46.9pt;z-index:251669504;mso-width-relative:page;mso-height-relative:page;" filled="f" stroked="f" coordsize="21600,21600" o:gfxdata="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&#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RaqmXbAAAADQEAAA8AAAAAAAAAAQAgAAAAIgAAAGRy&#10;cy9kb3ducmV2LnhtbFBLAQIUABQAAAAIAIdO4kCF94cJOwIAAGcEAAAOAAAAAAAAAAEAIAAAACoB&#10;AABkcnMvZTJvRG9jLnhtbFBLBQYAAAAABgAGAFkBAADXBQAAAAA=&#10;">
                      <v:fill on="f" focussize="0,0"/>
                      <v:stroke on="f" weight="0.5pt"/>
                      <v:imagedata o:title=""/>
                      <o:lock v:ext="edit" aspectratio="f"/>
                      <v:textbox>
                        <w:txbxContent>
                          <w:p w14:paraId="6366B0C8">
                            <w:pPr>
                              <w:rPr>
                                <w:rFonts w:hint="eastAsia" w:eastAsiaTheme="minorEastAsia"/>
                                <w:color w:val="FF0000"/>
                                <w:sz w:val="48"/>
                                <w:szCs w:val="48"/>
                                <w:lang w:val="en-US" w:eastAsia="zh-CN"/>
                              </w:rPr>
                            </w:pPr>
                            <w:r>
                              <w:rPr>
                                <w:rFonts w:hint="eastAsia"/>
                                <w:color w:val="FF0000"/>
                                <w:sz w:val="48"/>
                                <w:szCs w:val="48"/>
                                <w:lang w:val="en-US" w:eastAsia="zh-CN"/>
                              </w:rPr>
                              <w:t>N</w:t>
                            </w:r>
                          </w:p>
                        </w:txbxContent>
                      </v:textbox>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7847330</wp:posOffset>
                      </wp:positionH>
                      <wp:positionV relativeFrom="paragraph">
                        <wp:posOffset>-7462520</wp:posOffset>
                      </wp:positionV>
                      <wp:extent cx="595630" cy="493395"/>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595630" cy="4933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347BC8">
                                  <w:pPr>
                                    <w:rPr>
                                      <w:rFonts w:hint="eastAsia" w:eastAsiaTheme="minorEastAsia"/>
                                      <w:color w:val="FF0000"/>
                                      <w:sz w:val="48"/>
                                      <w:szCs w:val="48"/>
                                      <w:lang w:val="en-US" w:eastAsia="zh-CN"/>
                                    </w:rPr>
                                  </w:pPr>
                                  <w:r>
                                    <w:rPr>
                                      <w:rFonts w:hint="eastAsia"/>
                                      <w:color w:val="FF0000"/>
                                      <w:sz w:val="48"/>
                                      <w:szCs w:val="48"/>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7.9pt;margin-top:-587.6pt;height:38.85pt;width:46.9pt;z-index:251671552;mso-width-relative:page;mso-height-relative:page;" filled="f" stroked="f" coordsize="21600,21600" o:gfxdata="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4udVnN8AAAARAQAADwAAAAAAAAABACAAAAAi&#10;AAAAZHJzL2Rvd25yZXYueG1sUEsBAhQAFAAAAAgAh07iQN+IROE8AgAAZwQAAA4AAAAAAAAAAQAg&#10;AAAALgEAAGRycy9lMm9Eb2MueG1sUEsFBgAAAAAGAAYAWQEAANwFAAAAAA==&#10;">
                      <v:fill on="f" focussize="0,0"/>
                      <v:stroke on="f" weight="0.5pt"/>
                      <v:imagedata o:title=""/>
                      <o:lock v:ext="edit" aspectratio="f"/>
                      <v:textbox>
                        <w:txbxContent>
                          <w:p w14:paraId="70347BC8">
                            <w:pPr>
                              <w:rPr>
                                <w:rFonts w:hint="eastAsia" w:eastAsiaTheme="minorEastAsia"/>
                                <w:color w:val="FF0000"/>
                                <w:sz w:val="48"/>
                                <w:szCs w:val="48"/>
                                <w:lang w:val="en-US" w:eastAsia="zh-CN"/>
                              </w:rPr>
                            </w:pPr>
                            <w:r>
                              <w:rPr>
                                <w:rFonts w:hint="eastAsia"/>
                                <w:color w:val="FF0000"/>
                                <w:sz w:val="48"/>
                                <w:szCs w:val="48"/>
                                <w:lang w:val="en-US" w:eastAsia="zh-CN"/>
                              </w:rPr>
                              <w:t>N</w:t>
                            </w:r>
                          </w:p>
                        </w:txbxContent>
                      </v:textbox>
                    </v:shape>
                  </w:pict>
                </mc:Fallback>
              </mc:AlternateContent>
            </w:r>
            <w:r>
              <w:rPr>
                <w:rFonts w:ascii="宋体" w:hAnsi="宋体" w:cs="宋体"/>
                <w:sz w:val="24"/>
              </w:rPr>
              <w:drawing>
                <wp:anchor distT="0" distB="0" distL="114300" distR="114300" simplePos="0" relativeHeight="251670528" behindDoc="1" locked="0" layoutInCell="1" allowOverlap="1">
                  <wp:simplePos x="0" y="0"/>
                  <wp:positionH relativeFrom="column">
                    <wp:posOffset>0</wp:posOffset>
                  </wp:positionH>
                  <wp:positionV relativeFrom="paragraph">
                    <wp:posOffset>7620</wp:posOffset>
                  </wp:positionV>
                  <wp:extent cx="5680710" cy="8299450"/>
                  <wp:effectExtent l="0" t="0" r="15240" b="6350"/>
                  <wp:wrapTight wrapText="bothSides">
                    <wp:wrapPolygon>
                      <wp:start x="0" y="0"/>
                      <wp:lineTo x="0" y="21567"/>
                      <wp:lineTo x="21513" y="21567"/>
                      <wp:lineTo x="21513" y="0"/>
                      <wp:lineTo x="0" y="0"/>
                    </wp:wrapPolygon>
                  </wp:wrapTight>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24"/>
                          <a:stretch>
                            <a:fillRect/>
                          </a:stretch>
                        </pic:blipFill>
                        <pic:spPr>
                          <a:xfrm>
                            <a:off x="0" y="0"/>
                            <a:ext cx="5680710" cy="8299450"/>
                          </a:xfrm>
                          <a:prstGeom prst="rect">
                            <a:avLst/>
                          </a:prstGeom>
                          <a:noFill/>
                          <a:ln>
                            <a:noFill/>
                          </a:ln>
                        </pic:spPr>
                      </pic:pic>
                    </a:graphicData>
                  </a:graphic>
                </wp:anchor>
              </w:drawing>
            </w:r>
          </w:p>
        </w:tc>
      </w:tr>
      <w:tr w14:paraId="5902C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71986DEB">
            <w:pPr>
              <w:jc w:val="center"/>
              <w:rPr>
                <w:vertAlign w:val="baseline"/>
              </w:rPr>
            </w:pPr>
            <w:r>
              <w:rPr>
                <w:rFonts w:ascii="Times New Roman" w:hAnsi="Times New Roman"/>
                <w:b/>
                <w:sz w:val="24"/>
              </w:rPr>
              <w:t xml:space="preserve">附图1      </w:t>
            </w:r>
            <w:r>
              <w:rPr>
                <w:rFonts w:hint="eastAsia" w:ascii="Times New Roman" w:hAnsi="Times New Roman"/>
                <w:b/>
                <w:sz w:val="24"/>
              </w:rPr>
              <w:t xml:space="preserve">  </w:t>
            </w:r>
            <w:r>
              <w:rPr>
                <w:rFonts w:ascii="Times New Roman" w:hAnsi="Times New Roman"/>
                <w:b/>
                <w:sz w:val="24"/>
              </w:rPr>
              <w:t>项目地理位置图</w:t>
            </w:r>
          </w:p>
        </w:tc>
      </w:tr>
    </w:tbl>
    <w:p w14:paraId="41CD4E54">
      <w:pPr>
        <w:sectPr>
          <w:footerReference r:id="rId8" w:type="default"/>
          <w:pgSz w:w="11906" w:h="16838"/>
          <w:pgMar w:top="1440" w:right="1800" w:bottom="1440" w:left="1800" w:header="851" w:footer="992" w:gutter="0"/>
          <w:cols w:space="425" w:num="1"/>
          <w:docGrid w:type="lines" w:linePitch="312" w:charSpace="0"/>
        </w:sectPr>
      </w:pP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4"/>
      </w:tblGrid>
      <w:tr w14:paraId="5FD24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14:paraId="487AC9A2">
            <w:pPr>
              <w:jc w:val="cente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4565015" cy="4772025"/>
                  <wp:effectExtent l="0" t="0" r="6985" b="9525"/>
                  <wp:docPr id="4" name="图片 4" descr="e6edd095d535af115c3a82a4f08ae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e6edd095d535af115c3a82a4f08aec3"/>
                          <pic:cNvPicPr>
                            <a:picLocks noChangeAspect="1"/>
                          </pic:cNvPicPr>
                        </pic:nvPicPr>
                        <pic:blipFill>
                          <a:blip r:embed="rId25"/>
                          <a:stretch>
                            <a:fillRect/>
                          </a:stretch>
                        </pic:blipFill>
                        <pic:spPr>
                          <a:xfrm>
                            <a:off x="0" y="0"/>
                            <a:ext cx="4565015" cy="4772025"/>
                          </a:xfrm>
                          <a:prstGeom prst="rect">
                            <a:avLst/>
                          </a:prstGeom>
                        </pic:spPr>
                      </pic:pic>
                    </a:graphicData>
                  </a:graphic>
                </wp:inline>
              </w:drawing>
            </w:r>
            <w:r>
              <w:rPr>
                <w:sz w:val="24"/>
              </w:rPr>
              <mc:AlternateContent>
                <mc:Choice Requires="wps">
                  <w:drawing>
                    <wp:anchor distT="0" distB="0" distL="114300" distR="114300" simplePos="0" relativeHeight="251678720" behindDoc="0" locked="0" layoutInCell="1" allowOverlap="1">
                      <wp:simplePos x="0" y="0"/>
                      <wp:positionH relativeFrom="column">
                        <wp:posOffset>7787640</wp:posOffset>
                      </wp:positionH>
                      <wp:positionV relativeFrom="paragraph">
                        <wp:posOffset>389255</wp:posOffset>
                      </wp:positionV>
                      <wp:extent cx="331470" cy="775335"/>
                      <wp:effectExtent l="12700" t="12700" r="17780" b="31115"/>
                      <wp:wrapNone/>
                      <wp:docPr id="6" name="上箭头 6"/>
                      <wp:cNvGraphicFramePr/>
                      <a:graphic xmlns:a="http://schemas.openxmlformats.org/drawingml/2006/main">
                        <a:graphicData uri="http://schemas.microsoft.com/office/word/2010/wordprocessingShape">
                          <wps:wsp>
                            <wps:cNvSpPr/>
                            <wps:spPr>
                              <a:xfrm>
                                <a:off x="0" y="0"/>
                                <a:ext cx="331470" cy="775335"/>
                              </a:xfrm>
                              <a:prstGeom prst="upArrow">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613.2pt;margin-top:30.65pt;height:61.05pt;width:26.1pt;z-index:251678720;v-text-anchor:middle;mso-width-relative:page;mso-height-relative:page;" fillcolor="#FF0000" filled="t" stroked="t" coordsize="21600,21600" o:gfxdata="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C95LbLZAAAADAEAAA8AAAAAAAAAAQAgAAAA&#10;IgAAAGRycy9kb3ducmV2LnhtbFBLAQIUABQAAAAIAIdO4kDlfHDGfAIAAAQFAAAOAAAAAAAAAAEA&#10;IAAAACgBAABkcnMvZTJvRG9jLnhtbFBLBQYAAAAABgAGAFkBAAAWBgAAAAA=&#10;" adj="4617,5400">
                      <v:fill on="t" focussize="0,0"/>
                      <v:stroke weight="2pt" color="#376092 [2404]" joinstyle="round"/>
                      <v:imagedata o:title=""/>
                      <o:lock v:ext="edit" aspectratio="f"/>
                    </v:shape>
                  </w:pict>
                </mc:Fallback>
              </mc:AlternateContent>
            </w:r>
            <w:r>
              <w:rPr>
                <w:sz w:val="24"/>
              </w:rPr>
              <mc:AlternateContent>
                <mc:Choice Requires="wps">
                  <w:drawing>
                    <wp:anchor distT="0" distB="0" distL="114300" distR="114300" simplePos="0" relativeHeight="251672576" behindDoc="0" locked="0" layoutInCell="1" allowOverlap="1">
                      <wp:simplePos x="0" y="0"/>
                      <wp:positionH relativeFrom="column">
                        <wp:posOffset>8075930</wp:posOffset>
                      </wp:positionH>
                      <wp:positionV relativeFrom="paragraph">
                        <wp:posOffset>608965</wp:posOffset>
                      </wp:positionV>
                      <wp:extent cx="595630" cy="493395"/>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595630" cy="4933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B3AD8E">
                                  <w:pPr>
                                    <w:rPr>
                                      <w:rFonts w:hint="eastAsia" w:eastAsiaTheme="minorEastAsia"/>
                                      <w:color w:val="FF0000"/>
                                      <w:sz w:val="48"/>
                                      <w:szCs w:val="48"/>
                                      <w:lang w:val="en-US" w:eastAsia="zh-CN"/>
                                    </w:rPr>
                                  </w:pPr>
                                  <w:r>
                                    <w:rPr>
                                      <w:rFonts w:hint="eastAsia"/>
                                      <w:color w:val="FF0000"/>
                                      <w:sz w:val="48"/>
                                      <w:szCs w:val="48"/>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5.9pt;margin-top:47.95pt;height:38.85pt;width:46.9pt;z-index:251672576;mso-width-relative:page;mso-height-relative:page;" filled="f" stroked="f" coordsize="21600,21600" o:gfxdata="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nhhpe3AAAAAwBAAAPAAAAAAAAAAEAIAAAACIAAABk&#10;cnMvZG93bnJldi54bWxQSwECFAAUAAAACACHTuJAcA9wAzsCAABnBAAADgAAAAAAAAABACAAAAAr&#10;AQAAZHJzL2Uyb0RvYy54bWxQSwUGAAAAAAYABgBZAQAA2AUAAAAA&#10;">
                      <v:fill on="f" focussize="0,0"/>
                      <v:stroke on="f" weight="0.5pt"/>
                      <v:imagedata o:title=""/>
                      <o:lock v:ext="edit" aspectratio="f"/>
                      <v:textbox>
                        <w:txbxContent>
                          <w:p w14:paraId="67B3AD8E">
                            <w:pPr>
                              <w:rPr>
                                <w:rFonts w:hint="eastAsia" w:eastAsiaTheme="minorEastAsia"/>
                                <w:color w:val="FF0000"/>
                                <w:sz w:val="48"/>
                                <w:szCs w:val="48"/>
                                <w:lang w:val="en-US" w:eastAsia="zh-CN"/>
                              </w:rPr>
                            </w:pPr>
                            <w:r>
                              <w:rPr>
                                <w:rFonts w:hint="eastAsia"/>
                                <w:color w:val="FF0000"/>
                                <w:sz w:val="48"/>
                                <w:szCs w:val="48"/>
                                <w:lang w:val="en-US" w:eastAsia="zh-CN"/>
                              </w:rPr>
                              <w:t>N</w:t>
                            </w:r>
                          </w:p>
                        </w:txbxContent>
                      </v:textbox>
                    </v:shape>
                  </w:pict>
                </mc:Fallback>
              </mc:AlternateContent>
            </w:r>
          </w:p>
        </w:tc>
      </w:tr>
      <w:tr w14:paraId="2083D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14:paraId="66A50ED7">
            <w:pPr>
              <w:jc w:val="center"/>
              <w:rPr>
                <w:vertAlign w:val="baseline"/>
              </w:rPr>
            </w:pPr>
            <w:r>
              <w:rPr>
                <w:rFonts w:ascii="Times New Roman" w:hAnsi="Times New Roman"/>
                <w:b/>
                <w:color w:val="auto"/>
                <w:sz w:val="24"/>
                <w:highlight w:val="none"/>
                <w:u w:val="none" w:color="auto"/>
              </w:rPr>
              <w:t>附图2</w:t>
            </w:r>
            <w:r>
              <w:rPr>
                <w:rFonts w:hint="eastAsia" w:ascii="Times New Roman" w:hAnsi="Times New Roman"/>
                <w:b/>
                <w:color w:val="auto"/>
                <w:sz w:val="24"/>
                <w:highlight w:val="none"/>
                <w:u w:val="none" w:color="auto"/>
              </w:rPr>
              <w:t>-1</w:t>
            </w:r>
            <w:r>
              <w:rPr>
                <w:rFonts w:ascii="Times New Roman" w:hAnsi="Times New Roman"/>
                <w:b/>
                <w:color w:val="auto"/>
                <w:sz w:val="24"/>
                <w:highlight w:val="none"/>
                <w:u w:val="none" w:color="auto"/>
              </w:rPr>
              <w:t xml:space="preserve">     </w:t>
            </w:r>
            <w:r>
              <w:rPr>
                <w:rFonts w:hint="eastAsia" w:ascii="Times New Roman" w:hAnsi="Times New Roman"/>
                <w:b/>
                <w:color w:val="auto"/>
                <w:sz w:val="24"/>
                <w:highlight w:val="none"/>
                <w:u w:val="none" w:color="auto"/>
                <w:lang w:val="en-US" w:eastAsia="zh-CN"/>
              </w:rPr>
              <w:t>项目校区总体</w:t>
            </w:r>
            <w:r>
              <w:rPr>
                <w:rFonts w:ascii="Times New Roman" w:hAnsi="Times New Roman"/>
                <w:b/>
                <w:color w:val="auto"/>
                <w:sz w:val="24"/>
                <w:highlight w:val="none"/>
                <w:u w:val="none" w:color="auto"/>
              </w:rPr>
              <w:t>平面布置图</w:t>
            </w:r>
          </w:p>
        </w:tc>
      </w:tr>
      <w:tr w14:paraId="5A8F7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14:paraId="0B2AC9BF">
            <w:pPr>
              <w:jc w:val="center"/>
              <w:rPr>
                <w:rFonts w:ascii="Times New Roman" w:hAnsi="Times New Roman"/>
                <w:b/>
                <w:color w:val="auto"/>
                <w:sz w:val="24"/>
                <w:highlight w:val="none"/>
                <w:u w:val="none" w:color="auto"/>
              </w:rPr>
            </w:pPr>
            <w:r>
              <w:drawing>
                <wp:inline distT="0" distB="0" distL="114300" distR="114300">
                  <wp:extent cx="5297170" cy="4940935"/>
                  <wp:effectExtent l="0" t="0" r="17780" b="1206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26"/>
                          <a:stretch>
                            <a:fillRect/>
                          </a:stretch>
                        </pic:blipFill>
                        <pic:spPr>
                          <a:xfrm>
                            <a:off x="0" y="0"/>
                            <a:ext cx="5297170" cy="4940935"/>
                          </a:xfrm>
                          <a:prstGeom prst="rect">
                            <a:avLst/>
                          </a:prstGeom>
                          <a:noFill/>
                          <a:ln>
                            <a:noFill/>
                          </a:ln>
                        </pic:spPr>
                      </pic:pic>
                    </a:graphicData>
                  </a:graphic>
                </wp:inline>
              </w:drawing>
            </w:r>
            <w:r>
              <w:rPr>
                <w:sz w:val="24"/>
              </w:rPr>
              <mc:AlternateContent>
                <mc:Choice Requires="wps">
                  <w:drawing>
                    <wp:anchor distT="0" distB="0" distL="114300" distR="114300" simplePos="0" relativeHeight="251675648" behindDoc="0" locked="0" layoutInCell="1" allowOverlap="1">
                      <wp:simplePos x="0" y="0"/>
                      <wp:positionH relativeFrom="column">
                        <wp:posOffset>7787640</wp:posOffset>
                      </wp:positionH>
                      <wp:positionV relativeFrom="paragraph">
                        <wp:posOffset>389255</wp:posOffset>
                      </wp:positionV>
                      <wp:extent cx="331470" cy="775335"/>
                      <wp:effectExtent l="12700" t="12700" r="17780" b="31115"/>
                      <wp:wrapNone/>
                      <wp:docPr id="29" name="上箭头 29"/>
                      <wp:cNvGraphicFramePr/>
                      <a:graphic xmlns:a="http://schemas.openxmlformats.org/drawingml/2006/main">
                        <a:graphicData uri="http://schemas.microsoft.com/office/word/2010/wordprocessingShape">
                          <wps:wsp>
                            <wps:cNvSpPr/>
                            <wps:spPr>
                              <a:xfrm>
                                <a:off x="0" y="0"/>
                                <a:ext cx="331470" cy="775335"/>
                              </a:xfrm>
                              <a:prstGeom prst="upArrow">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613.2pt;margin-top:30.65pt;height:61.05pt;width:26.1pt;z-index:251675648;v-text-anchor:middle;mso-width-relative:page;mso-height-relative:page;" fillcolor="#FF0000" filled="t" stroked="t" coordsize="21600,21600" o:gfxdata="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veS2y2QAAAAwBAAAPAAAAAAAAAAEAIAAA&#10;ACIAAABkcnMvZG93bnJldi54bWxQSwECFAAUAAAACACHTuJAGWLSrn0CAAAGBQAADgAAAAAAAAAB&#10;ACAAAAAoAQAAZHJzL2Uyb0RvYy54bWxQSwUGAAAAAAYABgBZAQAAFwYAAAAA&#10;" adj="4617,5400">
                      <v:fill on="t" focussize="0,0"/>
                      <v:stroke weight="2pt" color="#376092 [2404]" joinstyle="round"/>
                      <v:imagedata o:title=""/>
                      <o:lock v:ext="edit" aspectratio="f"/>
                    </v:shape>
                  </w:pict>
                </mc:Fallback>
              </mc:AlternateContent>
            </w:r>
            <w:r>
              <w:rPr>
                <w:sz w:val="24"/>
              </w:rPr>
              <mc:AlternateContent>
                <mc:Choice Requires="wps">
                  <w:drawing>
                    <wp:anchor distT="0" distB="0" distL="114300" distR="114300" simplePos="0" relativeHeight="251667456" behindDoc="0" locked="0" layoutInCell="1" allowOverlap="1">
                      <wp:simplePos x="0" y="0"/>
                      <wp:positionH relativeFrom="column">
                        <wp:posOffset>8075930</wp:posOffset>
                      </wp:positionH>
                      <wp:positionV relativeFrom="paragraph">
                        <wp:posOffset>608965</wp:posOffset>
                      </wp:positionV>
                      <wp:extent cx="595630" cy="493395"/>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595630" cy="4933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30AAF0">
                                  <w:pPr>
                                    <w:rPr>
                                      <w:rFonts w:hint="eastAsia" w:eastAsiaTheme="minorEastAsia"/>
                                      <w:color w:val="FF0000"/>
                                      <w:sz w:val="48"/>
                                      <w:szCs w:val="48"/>
                                      <w:lang w:val="en-US" w:eastAsia="zh-CN"/>
                                    </w:rPr>
                                  </w:pPr>
                                  <w:r>
                                    <w:rPr>
                                      <w:rFonts w:hint="eastAsia"/>
                                      <w:color w:val="FF0000"/>
                                      <w:sz w:val="48"/>
                                      <w:szCs w:val="48"/>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5.9pt;margin-top:47.95pt;height:38.85pt;width:46.9pt;z-index:251667456;mso-width-relative:page;mso-height-relative:page;" filled="f" stroked="f" coordsize="21600,21600" o:gfxdata="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nhhpe3AAAAAwBAAAPAAAAAAAAAAEAIAAAACIAAABk&#10;cnMvZG93bnJldi54bWxQSwECFAAUAAAACACHTuJAmv6fFjsCAABnBAAADgAAAAAAAAABACAAAAAr&#10;AQAAZHJzL2Uyb0RvYy54bWxQSwUGAAAAAAYABgBZAQAA2AUAAAAA&#10;">
                      <v:fill on="f" focussize="0,0"/>
                      <v:stroke on="f" weight="0.5pt"/>
                      <v:imagedata o:title=""/>
                      <o:lock v:ext="edit" aspectratio="f"/>
                      <v:textbox>
                        <w:txbxContent>
                          <w:p w14:paraId="2130AAF0">
                            <w:pPr>
                              <w:rPr>
                                <w:rFonts w:hint="eastAsia" w:eastAsiaTheme="minorEastAsia"/>
                                <w:color w:val="FF0000"/>
                                <w:sz w:val="48"/>
                                <w:szCs w:val="48"/>
                                <w:lang w:val="en-US" w:eastAsia="zh-CN"/>
                              </w:rPr>
                            </w:pPr>
                            <w:r>
                              <w:rPr>
                                <w:rFonts w:hint="eastAsia"/>
                                <w:color w:val="FF0000"/>
                                <w:sz w:val="48"/>
                                <w:szCs w:val="48"/>
                                <w:lang w:val="en-US" w:eastAsia="zh-CN"/>
                              </w:rPr>
                              <w:t>N</w:t>
                            </w:r>
                          </w:p>
                        </w:txbxContent>
                      </v:textbox>
                    </v:shape>
                  </w:pict>
                </mc:Fallback>
              </mc:AlternateContent>
            </w:r>
          </w:p>
        </w:tc>
      </w:tr>
      <w:tr w14:paraId="1AC38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14:paraId="3F3B0D4C">
            <w:pPr>
              <w:jc w:val="center"/>
              <w:rPr>
                <w:rFonts w:ascii="Times New Roman" w:hAnsi="Times New Roman"/>
                <w:b/>
                <w:color w:val="auto"/>
                <w:sz w:val="24"/>
                <w:highlight w:val="none"/>
                <w:u w:val="none" w:color="auto"/>
              </w:rPr>
            </w:pPr>
            <w:r>
              <w:rPr>
                <w:rFonts w:ascii="Times New Roman" w:hAnsi="Times New Roman"/>
                <w:b/>
                <w:color w:val="auto"/>
                <w:sz w:val="24"/>
                <w:highlight w:val="none"/>
                <w:u w:val="none" w:color="auto"/>
              </w:rPr>
              <w:t>附图2</w:t>
            </w:r>
            <w:r>
              <w:rPr>
                <w:rFonts w:hint="eastAsia" w:ascii="Times New Roman" w:hAnsi="Times New Roman"/>
                <w:b/>
                <w:color w:val="auto"/>
                <w:sz w:val="24"/>
                <w:highlight w:val="none"/>
                <w:u w:val="none" w:color="auto"/>
              </w:rPr>
              <w:t>-1</w:t>
            </w:r>
            <w:r>
              <w:rPr>
                <w:rFonts w:ascii="Times New Roman" w:hAnsi="Times New Roman"/>
                <w:b/>
                <w:color w:val="auto"/>
                <w:sz w:val="24"/>
                <w:highlight w:val="none"/>
                <w:u w:val="none" w:color="auto"/>
              </w:rPr>
              <w:t xml:space="preserve">     </w:t>
            </w:r>
            <w:r>
              <w:rPr>
                <w:rFonts w:hint="eastAsia" w:ascii="Times New Roman" w:hAnsi="Times New Roman"/>
                <w:b/>
                <w:color w:val="auto"/>
                <w:sz w:val="24"/>
                <w:highlight w:val="none"/>
                <w:u w:val="none" w:color="auto"/>
                <w:lang w:val="en-US" w:eastAsia="zh-CN"/>
              </w:rPr>
              <w:t>本项目新增校区总体</w:t>
            </w:r>
            <w:r>
              <w:rPr>
                <w:rFonts w:ascii="Times New Roman" w:hAnsi="Times New Roman"/>
                <w:b/>
                <w:color w:val="auto"/>
                <w:sz w:val="24"/>
                <w:highlight w:val="none"/>
                <w:u w:val="none" w:color="auto"/>
              </w:rPr>
              <w:t>平面布置图</w:t>
            </w:r>
          </w:p>
        </w:tc>
      </w:tr>
      <w:tr w14:paraId="463E6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14:paraId="533CA5ED">
            <w:pPr>
              <w:jc w:val="center"/>
              <w:rPr>
                <w:rFonts w:hint="eastAsia" w:ascii="Times New Roman" w:hAnsi="Times New Roman" w:eastAsiaTheme="minorEastAsia"/>
                <w:b/>
                <w:color w:val="auto"/>
                <w:sz w:val="24"/>
                <w:highlight w:val="none"/>
                <w:u w:val="none" w:color="auto"/>
                <w:lang w:eastAsia="zh-CN"/>
              </w:rPr>
            </w:pPr>
            <w:r>
              <w:rPr>
                <w:sz w:val="24"/>
              </w:rPr>
              <mc:AlternateContent>
                <mc:Choice Requires="wps">
                  <w:drawing>
                    <wp:anchor distT="0" distB="0" distL="114300" distR="114300" simplePos="0" relativeHeight="251666432" behindDoc="0" locked="0" layoutInCell="1" allowOverlap="1">
                      <wp:simplePos x="0" y="0"/>
                      <wp:positionH relativeFrom="column">
                        <wp:posOffset>8075930</wp:posOffset>
                      </wp:positionH>
                      <wp:positionV relativeFrom="paragraph">
                        <wp:posOffset>608965</wp:posOffset>
                      </wp:positionV>
                      <wp:extent cx="595630" cy="493395"/>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595630" cy="4933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01373F">
                                  <w:pPr>
                                    <w:rPr>
                                      <w:rFonts w:hint="eastAsia" w:eastAsiaTheme="minorEastAsia"/>
                                      <w:color w:val="FF0000"/>
                                      <w:sz w:val="48"/>
                                      <w:szCs w:val="48"/>
                                      <w:lang w:val="en-US" w:eastAsia="zh-CN"/>
                                    </w:rPr>
                                  </w:pPr>
                                  <w:r>
                                    <w:rPr>
                                      <w:rFonts w:hint="eastAsia"/>
                                      <w:color w:val="FF0000"/>
                                      <w:sz w:val="48"/>
                                      <w:szCs w:val="48"/>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5.9pt;margin-top:47.95pt;height:38.85pt;width:46.9pt;z-index:251666432;mso-width-relative:page;mso-height-relative:page;" filled="f" stroked="f" coordsize="21600,21600" o:gfxdata="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&#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eGGl7cAAAADAEAAA8AAAAAAAAAAQAgAAAAIgAAAGRy&#10;cy9kb3ducmV2LnhtbFBLAQIUABQAAAAIAIdO4kA1eav0OgIAAGcEAAAOAAAAAAAAAAEAIAAAACsB&#10;AABkcnMvZTJvRG9jLnhtbFBLBQYAAAAABgAGAFkBAADXBQAAAAA=&#10;">
                      <v:fill on="f" focussize="0,0"/>
                      <v:stroke on="f" weight="0.5pt"/>
                      <v:imagedata o:title=""/>
                      <o:lock v:ext="edit" aspectratio="f"/>
                      <v:textbox>
                        <w:txbxContent>
                          <w:p w14:paraId="2101373F">
                            <w:pPr>
                              <w:rPr>
                                <w:rFonts w:hint="eastAsia" w:eastAsiaTheme="minorEastAsia"/>
                                <w:color w:val="FF0000"/>
                                <w:sz w:val="48"/>
                                <w:szCs w:val="48"/>
                                <w:lang w:val="en-US" w:eastAsia="zh-CN"/>
                              </w:rPr>
                            </w:pPr>
                            <w:r>
                              <w:rPr>
                                <w:rFonts w:hint="eastAsia"/>
                                <w:color w:val="FF0000"/>
                                <w:sz w:val="48"/>
                                <w:szCs w:val="48"/>
                                <w:lang w:val="en-US" w:eastAsia="zh-CN"/>
                              </w:rPr>
                              <w:t>N</w:t>
                            </w:r>
                          </w:p>
                        </w:txbxContent>
                      </v:textbox>
                    </v:shape>
                  </w:pict>
                </mc:Fallback>
              </mc:AlternateContent>
            </w:r>
            <w:r>
              <w:rPr>
                <w:sz w:val="24"/>
              </w:rPr>
              <mc:AlternateContent>
                <mc:Choice Requires="wps">
                  <w:drawing>
                    <wp:anchor distT="0" distB="0" distL="114300" distR="114300" simplePos="0" relativeHeight="251674624" behindDoc="0" locked="0" layoutInCell="1" allowOverlap="1">
                      <wp:simplePos x="0" y="0"/>
                      <wp:positionH relativeFrom="column">
                        <wp:posOffset>7787640</wp:posOffset>
                      </wp:positionH>
                      <wp:positionV relativeFrom="paragraph">
                        <wp:posOffset>389255</wp:posOffset>
                      </wp:positionV>
                      <wp:extent cx="331470" cy="775335"/>
                      <wp:effectExtent l="12700" t="12700" r="17780" b="31115"/>
                      <wp:wrapNone/>
                      <wp:docPr id="28" name="上箭头 28"/>
                      <wp:cNvGraphicFramePr/>
                      <a:graphic xmlns:a="http://schemas.openxmlformats.org/drawingml/2006/main">
                        <a:graphicData uri="http://schemas.microsoft.com/office/word/2010/wordprocessingShape">
                          <wps:wsp>
                            <wps:cNvSpPr/>
                            <wps:spPr>
                              <a:xfrm>
                                <a:off x="0" y="0"/>
                                <a:ext cx="331470" cy="775335"/>
                              </a:xfrm>
                              <a:prstGeom prst="upArrow">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613.2pt;margin-top:30.65pt;height:61.05pt;width:26.1pt;z-index:251674624;v-text-anchor:middle;mso-width-relative:page;mso-height-relative:page;" fillcolor="#FF0000" filled="t" stroked="t" coordsize="21600,21600" o:gfxdata="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veS2y2QAAAAwBAAAPAAAAAAAAAAEAIAAA&#10;ACIAAABkcnMvZG93bnJldi54bWxQSwECFAAUAAAACACHTuJAs/DSR30CAAAGBQAADgAAAAAAAAAB&#10;ACAAAAAoAQAAZHJzL2Uyb0RvYy54bWxQSwUGAAAAAAYABgBZAQAAFwYAAAAA&#10;" adj="4617,5400">
                      <v:fill on="t" focussize="0,0"/>
                      <v:stroke weight="2pt" color="#376092 [2404]" joinstyle="round"/>
                      <v:imagedata o:title=""/>
                      <o:lock v:ext="edit" aspectratio="f"/>
                    </v:shape>
                  </w:pict>
                </mc:Fallback>
              </mc:AlternateContent>
            </w:r>
            <w:r>
              <w:rPr>
                <w:rFonts w:hint="eastAsia" w:ascii="Times New Roman" w:hAnsi="Times New Roman" w:eastAsiaTheme="minorEastAsia"/>
                <w:b/>
                <w:color w:val="auto"/>
                <w:sz w:val="24"/>
                <w:highlight w:val="none"/>
                <w:u w:val="none" w:color="auto"/>
                <w:lang w:eastAsia="zh-CN"/>
              </w:rPr>
              <w:drawing>
                <wp:inline distT="0" distB="0" distL="114300" distR="114300">
                  <wp:extent cx="6979920" cy="4808855"/>
                  <wp:effectExtent l="0" t="0" r="11430" b="10795"/>
                  <wp:docPr id="9" name="图片 9" descr="4ca1957fab3a4206360afd90b28a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4ca1957fab3a4206360afd90b28a049"/>
                          <pic:cNvPicPr>
                            <a:picLocks noChangeAspect="1"/>
                          </pic:cNvPicPr>
                        </pic:nvPicPr>
                        <pic:blipFill>
                          <a:blip r:embed="rId27"/>
                          <a:stretch>
                            <a:fillRect/>
                          </a:stretch>
                        </pic:blipFill>
                        <pic:spPr>
                          <a:xfrm>
                            <a:off x="0" y="0"/>
                            <a:ext cx="6979920" cy="4808855"/>
                          </a:xfrm>
                          <a:prstGeom prst="rect">
                            <a:avLst/>
                          </a:prstGeom>
                        </pic:spPr>
                      </pic:pic>
                    </a:graphicData>
                  </a:graphic>
                </wp:inline>
              </w:drawing>
            </w:r>
          </w:p>
        </w:tc>
      </w:tr>
      <w:tr w14:paraId="7F037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14:paraId="13A36F8D">
            <w:pPr>
              <w:jc w:val="center"/>
              <w:rPr>
                <w:rFonts w:ascii="Times New Roman" w:hAnsi="Times New Roman"/>
                <w:b/>
                <w:color w:val="auto"/>
                <w:sz w:val="24"/>
                <w:highlight w:val="none"/>
                <w:u w:val="none" w:color="auto"/>
              </w:rPr>
            </w:pPr>
            <w:r>
              <w:rPr>
                <w:rFonts w:ascii="Times New Roman" w:hAnsi="Times New Roman"/>
                <w:b/>
                <w:color w:val="auto"/>
                <w:sz w:val="24"/>
                <w:highlight w:val="none"/>
                <w:u w:val="none" w:color="auto"/>
              </w:rPr>
              <w:t>附图2</w:t>
            </w:r>
            <w:r>
              <w:rPr>
                <w:rFonts w:hint="eastAsia" w:ascii="Times New Roman" w:hAnsi="Times New Roman"/>
                <w:b/>
                <w:color w:val="auto"/>
                <w:sz w:val="24"/>
                <w:highlight w:val="none"/>
                <w:u w:val="none" w:color="auto"/>
              </w:rPr>
              <w:t>-</w:t>
            </w:r>
            <w:r>
              <w:rPr>
                <w:rFonts w:hint="eastAsia" w:ascii="Times New Roman" w:hAnsi="Times New Roman"/>
                <w:b/>
                <w:color w:val="auto"/>
                <w:sz w:val="24"/>
                <w:highlight w:val="none"/>
                <w:u w:val="none" w:color="auto"/>
                <w:lang w:val="en-US" w:eastAsia="zh-CN"/>
              </w:rPr>
              <w:t>2</w:t>
            </w:r>
            <w:r>
              <w:rPr>
                <w:rFonts w:ascii="Times New Roman" w:hAnsi="Times New Roman"/>
                <w:b/>
                <w:color w:val="auto"/>
                <w:sz w:val="24"/>
                <w:highlight w:val="none"/>
                <w:u w:val="none" w:color="auto"/>
              </w:rPr>
              <w:t xml:space="preserve">     </w:t>
            </w:r>
            <w:r>
              <w:rPr>
                <w:rFonts w:hint="eastAsia" w:ascii="Times New Roman" w:hAnsi="Times New Roman"/>
                <w:b/>
                <w:color w:val="auto"/>
                <w:sz w:val="24"/>
                <w:highlight w:val="none"/>
                <w:u w:val="none" w:color="auto"/>
                <w:lang w:val="en-US" w:eastAsia="zh-CN"/>
              </w:rPr>
              <w:t>项目综合楼地下一层</w:t>
            </w:r>
            <w:r>
              <w:rPr>
                <w:rFonts w:ascii="Times New Roman" w:hAnsi="Times New Roman"/>
                <w:b/>
                <w:color w:val="auto"/>
                <w:sz w:val="24"/>
                <w:highlight w:val="none"/>
                <w:u w:val="none" w:color="auto"/>
              </w:rPr>
              <w:t>平面布置图</w:t>
            </w:r>
          </w:p>
        </w:tc>
      </w:tr>
      <w:tr w14:paraId="4FE20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14:paraId="68818DE5">
            <w:pPr>
              <w:jc w:val="center"/>
              <w:rPr>
                <w:rFonts w:hint="eastAsia" w:ascii="Times New Roman" w:hAnsi="Times New Roman" w:eastAsiaTheme="minorEastAsia"/>
                <w:b/>
                <w:color w:val="auto"/>
                <w:sz w:val="24"/>
                <w:highlight w:val="none"/>
                <w:u w:val="none" w:color="auto"/>
                <w:lang w:eastAsia="zh-CN"/>
              </w:rPr>
            </w:pPr>
            <w:r>
              <w:rPr>
                <w:rFonts w:hint="eastAsia" w:ascii="Times New Roman" w:hAnsi="Times New Roman" w:eastAsiaTheme="minorEastAsia"/>
                <w:b/>
                <w:color w:val="auto"/>
                <w:sz w:val="24"/>
                <w:highlight w:val="none"/>
                <w:u w:val="none" w:color="auto"/>
                <w:lang w:eastAsia="zh-CN"/>
              </w:rPr>
              <w:drawing>
                <wp:inline distT="0" distB="0" distL="114300" distR="114300">
                  <wp:extent cx="5803265" cy="4617085"/>
                  <wp:effectExtent l="0" t="0" r="6985" b="12065"/>
                  <wp:docPr id="10" name="图片 10" descr="0853ed17a364f17adb14d4222660b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0853ed17a364f17adb14d4222660bd3"/>
                          <pic:cNvPicPr>
                            <a:picLocks noChangeAspect="1"/>
                          </pic:cNvPicPr>
                        </pic:nvPicPr>
                        <pic:blipFill>
                          <a:blip r:embed="rId28"/>
                          <a:stretch>
                            <a:fillRect/>
                          </a:stretch>
                        </pic:blipFill>
                        <pic:spPr>
                          <a:xfrm>
                            <a:off x="0" y="0"/>
                            <a:ext cx="5803265" cy="4617085"/>
                          </a:xfrm>
                          <a:prstGeom prst="rect">
                            <a:avLst/>
                          </a:prstGeom>
                        </pic:spPr>
                      </pic:pic>
                    </a:graphicData>
                  </a:graphic>
                </wp:inline>
              </w:drawing>
            </w:r>
            <w:r>
              <w:rPr>
                <w:sz w:val="24"/>
              </w:rPr>
              <mc:AlternateContent>
                <mc:Choice Requires="wps">
                  <w:drawing>
                    <wp:anchor distT="0" distB="0" distL="114300" distR="114300" simplePos="0" relativeHeight="251673600" behindDoc="0" locked="0" layoutInCell="1" allowOverlap="1">
                      <wp:simplePos x="0" y="0"/>
                      <wp:positionH relativeFrom="column">
                        <wp:posOffset>7787640</wp:posOffset>
                      </wp:positionH>
                      <wp:positionV relativeFrom="paragraph">
                        <wp:posOffset>389255</wp:posOffset>
                      </wp:positionV>
                      <wp:extent cx="331470" cy="775335"/>
                      <wp:effectExtent l="12700" t="12700" r="17780" b="31115"/>
                      <wp:wrapNone/>
                      <wp:docPr id="27" name="上箭头 27"/>
                      <wp:cNvGraphicFramePr/>
                      <a:graphic xmlns:a="http://schemas.openxmlformats.org/drawingml/2006/main">
                        <a:graphicData uri="http://schemas.microsoft.com/office/word/2010/wordprocessingShape">
                          <wps:wsp>
                            <wps:cNvSpPr/>
                            <wps:spPr>
                              <a:xfrm>
                                <a:off x="0" y="0"/>
                                <a:ext cx="331470" cy="775335"/>
                              </a:xfrm>
                              <a:prstGeom prst="upArrow">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613.2pt;margin-top:30.65pt;height:61.05pt;width:26.1pt;z-index:251673600;v-text-anchor:middle;mso-width-relative:page;mso-height-relative:page;" fillcolor="#FF0000" filled="t" stroked="t" coordsize="21600,21600" o:gfxdata="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veS2y2QAAAAwBAAAPAAAAAAAAAAEAIAAA&#10;ACIAAABkcnMvZG93bnJldi54bWxQSwECFAAUAAAACACHTuJAcouCkH0CAAAGBQAADgAAAAAAAAAB&#10;ACAAAAAoAQAAZHJzL2Uyb0RvYy54bWxQSwUGAAAAAAYABgBZAQAAFwYAAAAA&#10;" adj="4617,5400">
                      <v:fill on="t" focussize="0,0"/>
                      <v:stroke weight="2pt" color="#376092 [2404]" joinstyle="round"/>
                      <v:imagedata o:title=""/>
                      <o:lock v:ext="edit" aspectratio="f"/>
                    </v:shape>
                  </w:pict>
                </mc:Fallback>
              </mc:AlternateContent>
            </w:r>
            <w:r>
              <w:rPr>
                <w:sz w:val="24"/>
              </w:rPr>
              <mc:AlternateContent>
                <mc:Choice Requires="wps">
                  <w:drawing>
                    <wp:anchor distT="0" distB="0" distL="114300" distR="114300" simplePos="0" relativeHeight="251665408" behindDoc="0" locked="0" layoutInCell="1" allowOverlap="1">
                      <wp:simplePos x="0" y="0"/>
                      <wp:positionH relativeFrom="column">
                        <wp:posOffset>8075930</wp:posOffset>
                      </wp:positionH>
                      <wp:positionV relativeFrom="paragraph">
                        <wp:posOffset>608965</wp:posOffset>
                      </wp:positionV>
                      <wp:extent cx="595630" cy="493395"/>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595630" cy="4933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EC8249">
                                  <w:pPr>
                                    <w:rPr>
                                      <w:rFonts w:hint="eastAsia" w:eastAsiaTheme="minorEastAsia"/>
                                      <w:color w:val="FF0000"/>
                                      <w:sz w:val="48"/>
                                      <w:szCs w:val="48"/>
                                      <w:lang w:val="en-US" w:eastAsia="zh-CN"/>
                                    </w:rPr>
                                  </w:pPr>
                                  <w:r>
                                    <w:rPr>
                                      <w:rFonts w:hint="eastAsia"/>
                                      <w:color w:val="FF0000"/>
                                      <w:sz w:val="48"/>
                                      <w:szCs w:val="48"/>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5.9pt;margin-top:47.95pt;height:38.85pt;width:46.9pt;z-index:251665408;mso-width-relative:page;mso-height-relative:page;" filled="f" stroked="f" coordsize="21600,21600" o:gfxdata="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nhhpe3AAAAAwBAAAPAAAAAAAAAAEAIAAAACIAAABk&#10;cnMvZG93bnJldi54bWxQSwECFAAUAAAACACHTuJAbwZoHDsCAABnBAAADgAAAAAAAAABACAAAAAr&#10;AQAAZHJzL2Uyb0RvYy54bWxQSwUGAAAAAAYABgBZAQAA2AUAAAAA&#10;">
                      <v:fill on="f" focussize="0,0"/>
                      <v:stroke on="f" weight="0.5pt"/>
                      <v:imagedata o:title=""/>
                      <o:lock v:ext="edit" aspectratio="f"/>
                      <v:textbox>
                        <w:txbxContent>
                          <w:p w14:paraId="63EC8249">
                            <w:pPr>
                              <w:rPr>
                                <w:rFonts w:hint="eastAsia" w:eastAsiaTheme="minorEastAsia"/>
                                <w:color w:val="FF0000"/>
                                <w:sz w:val="48"/>
                                <w:szCs w:val="48"/>
                                <w:lang w:val="en-US" w:eastAsia="zh-CN"/>
                              </w:rPr>
                            </w:pPr>
                            <w:r>
                              <w:rPr>
                                <w:rFonts w:hint="eastAsia"/>
                                <w:color w:val="FF0000"/>
                                <w:sz w:val="48"/>
                                <w:szCs w:val="48"/>
                                <w:lang w:val="en-US" w:eastAsia="zh-CN"/>
                              </w:rPr>
                              <w:t>N</w:t>
                            </w:r>
                          </w:p>
                        </w:txbxContent>
                      </v:textbox>
                    </v:shape>
                  </w:pict>
                </mc:Fallback>
              </mc:AlternateContent>
            </w:r>
          </w:p>
        </w:tc>
      </w:tr>
      <w:tr w14:paraId="008E4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14:paraId="47287933">
            <w:pPr>
              <w:jc w:val="center"/>
              <w:rPr>
                <w:rFonts w:ascii="Times New Roman" w:hAnsi="Times New Roman"/>
                <w:b/>
                <w:color w:val="auto"/>
                <w:sz w:val="24"/>
                <w:highlight w:val="none"/>
                <w:u w:val="none" w:color="auto"/>
              </w:rPr>
            </w:pPr>
            <w:r>
              <w:rPr>
                <w:rFonts w:ascii="Times New Roman" w:hAnsi="Times New Roman"/>
                <w:b/>
                <w:color w:val="auto"/>
                <w:sz w:val="24"/>
                <w:highlight w:val="none"/>
                <w:u w:val="none" w:color="auto"/>
              </w:rPr>
              <w:t>附图2</w:t>
            </w:r>
            <w:r>
              <w:rPr>
                <w:rFonts w:hint="eastAsia" w:ascii="Times New Roman" w:hAnsi="Times New Roman"/>
                <w:b/>
                <w:color w:val="auto"/>
                <w:sz w:val="24"/>
                <w:highlight w:val="none"/>
                <w:u w:val="none" w:color="auto"/>
              </w:rPr>
              <w:t>-</w:t>
            </w:r>
            <w:r>
              <w:rPr>
                <w:rFonts w:hint="eastAsia" w:ascii="Times New Roman" w:hAnsi="Times New Roman"/>
                <w:b/>
                <w:color w:val="auto"/>
                <w:sz w:val="24"/>
                <w:highlight w:val="none"/>
                <w:u w:val="none" w:color="auto"/>
                <w:lang w:val="en-US" w:eastAsia="zh-CN"/>
              </w:rPr>
              <w:t>3</w:t>
            </w:r>
            <w:r>
              <w:rPr>
                <w:rFonts w:ascii="Times New Roman" w:hAnsi="Times New Roman"/>
                <w:b/>
                <w:color w:val="auto"/>
                <w:sz w:val="24"/>
                <w:highlight w:val="none"/>
                <w:u w:val="none" w:color="auto"/>
              </w:rPr>
              <w:t xml:space="preserve">     </w:t>
            </w:r>
            <w:r>
              <w:rPr>
                <w:rFonts w:hint="eastAsia" w:ascii="Times New Roman" w:hAnsi="Times New Roman"/>
                <w:b/>
                <w:color w:val="auto"/>
                <w:sz w:val="24"/>
                <w:highlight w:val="none"/>
                <w:u w:val="none" w:color="auto"/>
                <w:lang w:val="en-US" w:eastAsia="zh-CN"/>
              </w:rPr>
              <w:t>项目实验楼楼顶</w:t>
            </w:r>
            <w:r>
              <w:rPr>
                <w:rFonts w:ascii="Times New Roman" w:hAnsi="Times New Roman"/>
                <w:b/>
                <w:color w:val="auto"/>
                <w:sz w:val="24"/>
                <w:highlight w:val="none"/>
                <w:u w:val="none" w:color="auto"/>
              </w:rPr>
              <w:t>平面布置图</w:t>
            </w:r>
          </w:p>
        </w:tc>
      </w:tr>
      <w:tr w14:paraId="7D94A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14:paraId="4B29F62A">
            <w:pPr>
              <w:jc w:val="center"/>
              <w:rPr>
                <w:rFonts w:hint="eastAsia" w:ascii="Times New Roman" w:hAnsi="Times New Roman" w:eastAsiaTheme="minorEastAsia"/>
                <w:b/>
                <w:color w:val="auto"/>
                <w:sz w:val="24"/>
                <w:highlight w:val="none"/>
                <w:u w:val="none" w:color="auto"/>
                <w:lang w:eastAsia="zh-CN"/>
              </w:rPr>
            </w:pPr>
            <w:r>
              <w:drawing>
                <wp:anchor distT="0" distB="0" distL="114300" distR="114300" simplePos="0" relativeHeight="251659264" behindDoc="0" locked="0" layoutInCell="1" allowOverlap="1">
                  <wp:simplePos x="0" y="0"/>
                  <wp:positionH relativeFrom="column">
                    <wp:posOffset>5842635</wp:posOffset>
                  </wp:positionH>
                  <wp:positionV relativeFrom="paragraph">
                    <wp:posOffset>2745740</wp:posOffset>
                  </wp:positionV>
                  <wp:extent cx="3041015" cy="1522730"/>
                  <wp:effectExtent l="0" t="0" r="6985" b="1270"/>
                  <wp:wrapNone/>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29"/>
                          <a:stretch>
                            <a:fillRect/>
                          </a:stretch>
                        </pic:blipFill>
                        <pic:spPr>
                          <a:xfrm>
                            <a:off x="0" y="0"/>
                            <a:ext cx="3041015" cy="1522730"/>
                          </a:xfrm>
                          <a:prstGeom prst="rect">
                            <a:avLst/>
                          </a:prstGeom>
                          <a:noFill/>
                          <a:ln>
                            <a:noFill/>
                          </a:ln>
                        </pic:spPr>
                      </pic:pic>
                    </a:graphicData>
                  </a:graphic>
                </wp:anchor>
              </w:drawing>
            </w:r>
            <w:r>
              <w:rPr>
                <w:sz w:val="24"/>
              </w:rPr>
              <mc:AlternateContent>
                <mc:Choice Requires="wps">
                  <w:drawing>
                    <wp:anchor distT="0" distB="0" distL="114300" distR="114300" simplePos="0" relativeHeight="251663360" behindDoc="0" locked="0" layoutInCell="1" allowOverlap="1">
                      <wp:simplePos x="0" y="0"/>
                      <wp:positionH relativeFrom="column">
                        <wp:posOffset>7787640</wp:posOffset>
                      </wp:positionH>
                      <wp:positionV relativeFrom="paragraph">
                        <wp:posOffset>389255</wp:posOffset>
                      </wp:positionV>
                      <wp:extent cx="331470" cy="775335"/>
                      <wp:effectExtent l="12700" t="12700" r="17780" b="31115"/>
                      <wp:wrapNone/>
                      <wp:docPr id="12" name="上箭头 12"/>
                      <wp:cNvGraphicFramePr/>
                      <a:graphic xmlns:a="http://schemas.openxmlformats.org/drawingml/2006/main">
                        <a:graphicData uri="http://schemas.microsoft.com/office/word/2010/wordprocessingShape">
                          <wps:wsp>
                            <wps:cNvSpPr/>
                            <wps:spPr>
                              <a:xfrm>
                                <a:off x="0" y="0"/>
                                <a:ext cx="331470" cy="775335"/>
                              </a:xfrm>
                              <a:prstGeom prst="upArrow">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613.2pt;margin-top:30.65pt;height:61.05pt;width:26.1pt;z-index:251663360;v-text-anchor:middle;mso-width-relative:page;mso-height-relative:page;" fillcolor="#FF0000" filled="t" stroked="t" coordsize="21600,21600" o:gfxdata="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L3ktstkAAAAMAQAADwAAAAAAAAABACAA&#10;AAAiAAAAZHJzL2Rvd25yZXYueG1sUEsBAhQAFAAAAAgAh07iQF6BXDB+AgAABgUAAA4AAAAAAAAA&#10;AQAgAAAAKAEAAGRycy9lMm9Eb2MueG1sUEsFBgAAAAAGAAYAWQEAABgGAAAAAA==&#10;" adj="4617,5400">
                      <v:fill on="t" focussize="0,0"/>
                      <v:stroke weight="2pt" color="#376092 [2404]" joinstyle="round"/>
                      <v:imagedata o:title=""/>
                      <o:lock v:ext="edit" aspectratio="f"/>
                    </v:shape>
                  </w:pict>
                </mc:Fallback>
              </mc:AlternateContent>
            </w:r>
            <w:r>
              <w:rPr>
                <w:sz w:val="24"/>
              </w:rPr>
              <mc:AlternateContent>
                <mc:Choice Requires="wps">
                  <w:drawing>
                    <wp:anchor distT="0" distB="0" distL="114300" distR="114300" simplePos="0" relativeHeight="251664384" behindDoc="0" locked="0" layoutInCell="1" allowOverlap="1">
                      <wp:simplePos x="0" y="0"/>
                      <wp:positionH relativeFrom="column">
                        <wp:posOffset>8075930</wp:posOffset>
                      </wp:positionH>
                      <wp:positionV relativeFrom="paragraph">
                        <wp:posOffset>608965</wp:posOffset>
                      </wp:positionV>
                      <wp:extent cx="595630" cy="493395"/>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595630" cy="4933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FB13EF8">
                                  <w:pPr>
                                    <w:rPr>
                                      <w:rFonts w:hint="eastAsia" w:eastAsiaTheme="minorEastAsia"/>
                                      <w:color w:val="FF0000"/>
                                      <w:sz w:val="48"/>
                                      <w:szCs w:val="48"/>
                                      <w:lang w:val="en-US" w:eastAsia="zh-CN"/>
                                    </w:rPr>
                                  </w:pPr>
                                  <w:r>
                                    <w:rPr>
                                      <w:rFonts w:hint="eastAsia"/>
                                      <w:color w:val="FF0000"/>
                                      <w:sz w:val="48"/>
                                      <w:szCs w:val="48"/>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5.9pt;margin-top:47.95pt;height:38.85pt;width:46.9pt;z-index:251664384;mso-width-relative:page;mso-height-relative:page;" filled="f" stroked="f" coordsize="21600,21600" o:gfxdata="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nhhpe3AAAAAwBAAAPAAAAAAAAAAEAIAAAACIAAABk&#10;cnMvZG93bnJldi54bWxQSwECFAAUAAAACACHTuJAHxD/mTsCAABnBAAADgAAAAAAAAABACAAAAAr&#10;AQAAZHJzL2Uyb0RvYy54bWxQSwUGAAAAAAYABgBZAQAA2AUAAAAA&#10;">
                      <v:fill on="f" focussize="0,0"/>
                      <v:stroke on="f" weight="0.5pt"/>
                      <v:imagedata o:title=""/>
                      <o:lock v:ext="edit" aspectratio="f"/>
                      <v:textbox>
                        <w:txbxContent>
                          <w:p w14:paraId="5FB13EF8">
                            <w:pPr>
                              <w:rPr>
                                <w:rFonts w:hint="eastAsia" w:eastAsiaTheme="minorEastAsia"/>
                                <w:color w:val="FF0000"/>
                                <w:sz w:val="48"/>
                                <w:szCs w:val="48"/>
                                <w:lang w:val="en-US" w:eastAsia="zh-CN"/>
                              </w:rPr>
                            </w:pPr>
                            <w:r>
                              <w:rPr>
                                <w:rFonts w:hint="eastAsia"/>
                                <w:color w:val="FF0000"/>
                                <w:sz w:val="48"/>
                                <w:szCs w:val="48"/>
                                <w:lang w:val="en-US" w:eastAsia="zh-CN"/>
                              </w:rPr>
                              <w:t>N</w:t>
                            </w:r>
                          </w:p>
                        </w:txbxContent>
                      </v:textbox>
                    </v:shape>
                  </w:pict>
                </mc:Fallback>
              </mc:AlternateContent>
            </w:r>
            <w:r>
              <w:rPr>
                <w:rFonts w:hint="eastAsia" w:ascii="Times New Roman" w:hAnsi="Times New Roman" w:eastAsiaTheme="minorEastAsia"/>
                <w:b/>
                <w:color w:val="auto"/>
                <w:sz w:val="24"/>
                <w:highlight w:val="none"/>
                <w:u w:val="none" w:color="auto"/>
                <w:lang w:eastAsia="zh-CN"/>
              </w:rPr>
              <w:drawing>
                <wp:inline distT="0" distB="0" distL="114300" distR="114300">
                  <wp:extent cx="8851265" cy="4218305"/>
                  <wp:effectExtent l="0" t="0" r="6985" b="10795"/>
                  <wp:docPr id="13" name="图片 13" descr="4ae9195cc294535e148e16535164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4ae9195cc294535e148e16535164471"/>
                          <pic:cNvPicPr>
                            <a:picLocks noChangeAspect="1"/>
                          </pic:cNvPicPr>
                        </pic:nvPicPr>
                        <pic:blipFill>
                          <a:blip r:embed="rId30"/>
                          <a:stretch>
                            <a:fillRect/>
                          </a:stretch>
                        </pic:blipFill>
                        <pic:spPr>
                          <a:xfrm>
                            <a:off x="0" y="0"/>
                            <a:ext cx="8851265" cy="4218305"/>
                          </a:xfrm>
                          <a:prstGeom prst="rect">
                            <a:avLst/>
                          </a:prstGeom>
                        </pic:spPr>
                      </pic:pic>
                    </a:graphicData>
                  </a:graphic>
                </wp:inline>
              </w:drawing>
            </w:r>
          </w:p>
        </w:tc>
      </w:tr>
      <w:tr w14:paraId="1B750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14:paraId="5437F22D">
            <w:pPr>
              <w:jc w:val="center"/>
              <w:rPr>
                <w:rFonts w:ascii="Times New Roman" w:hAnsi="Times New Roman"/>
                <w:b/>
                <w:color w:val="auto"/>
                <w:sz w:val="24"/>
                <w:highlight w:val="none"/>
                <w:u w:val="none" w:color="auto"/>
              </w:rPr>
            </w:pPr>
            <w:r>
              <w:rPr>
                <w:rFonts w:ascii="Times New Roman" w:hAnsi="Times New Roman"/>
                <w:b/>
                <w:sz w:val="24"/>
              </w:rPr>
              <w:t xml:space="preserve">附图3    </w:t>
            </w:r>
            <w:r>
              <w:rPr>
                <w:rFonts w:hint="eastAsia" w:ascii="Times New Roman" w:hAnsi="Times New Roman"/>
                <w:b/>
                <w:sz w:val="24"/>
              </w:rPr>
              <w:t xml:space="preserve"> </w:t>
            </w:r>
            <w:r>
              <w:rPr>
                <w:rFonts w:ascii="Times New Roman" w:hAnsi="Times New Roman"/>
                <w:b/>
                <w:sz w:val="24"/>
              </w:rPr>
              <w:t xml:space="preserve">  项目周围环境敏感点分布情况示意图</w:t>
            </w:r>
          </w:p>
        </w:tc>
      </w:tr>
      <w:tr w14:paraId="6EDBB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14:paraId="626079C8">
            <w:pPr>
              <w:jc w:val="center"/>
              <w:rPr>
                <w:rFonts w:hint="eastAsia" w:ascii="Times New Roman" w:hAnsi="Times New Roman" w:eastAsiaTheme="minorEastAsia"/>
                <w:b/>
                <w:sz w:val="24"/>
                <w:lang w:eastAsia="zh-CN"/>
              </w:rPr>
            </w:pPr>
            <w:r>
              <w:rPr>
                <w:sz w:val="24"/>
              </w:rPr>
              <mc:AlternateContent>
                <mc:Choice Requires="wps">
                  <w:drawing>
                    <wp:anchor distT="0" distB="0" distL="114300" distR="114300" simplePos="0" relativeHeight="251662336" behindDoc="0" locked="0" layoutInCell="1" allowOverlap="1">
                      <wp:simplePos x="0" y="0"/>
                      <wp:positionH relativeFrom="column">
                        <wp:posOffset>8075930</wp:posOffset>
                      </wp:positionH>
                      <wp:positionV relativeFrom="paragraph">
                        <wp:posOffset>608965</wp:posOffset>
                      </wp:positionV>
                      <wp:extent cx="595630" cy="493395"/>
                      <wp:effectExtent l="0" t="0" r="0" b="0"/>
                      <wp:wrapNone/>
                      <wp:docPr id="17" name="文本框 17"/>
                      <wp:cNvGraphicFramePr/>
                      <a:graphic xmlns:a="http://schemas.openxmlformats.org/drawingml/2006/main">
                        <a:graphicData uri="http://schemas.microsoft.com/office/word/2010/wordprocessingShape">
                          <wps:wsp>
                            <wps:cNvSpPr txBox="1"/>
                            <wps:spPr>
                              <a:xfrm>
                                <a:off x="9084310" y="1911350"/>
                                <a:ext cx="595630" cy="4933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1E17FA">
                                  <w:pPr>
                                    <w:rPr>
                                      <w:rFonts w:hint="eastAsia" w:eastAsiaTheme="minorEastAsia"/>
                                      <w:color w:val="FF0000"/>
                                      <w:sz w:val="48"/>
                                      <w:szCs w:val="48"/>
                                      <w:lang w:val="en-US" w:eastAsia="zh-CN"/>
                                    </w:rPr>
                                  </w:pPr>
                                  <w:r>
                                    <w:rPr>
                                      <w:rFonts w:hint="eastAsia"/>
                                      <w:color w:val="FF0000"/>
                                      <w:sz w:val="48"/>
                                      <w:szCs w:val="48"/>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5.9pt;margin-top:47.95pt;height:38.85pt;width:46.9pt;z-index:251662336;mso-width-relative:page;mso-height-relative:page;" filled="f" stroked="f" coordsize="21600,21600" o:gfxdata="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nhhpe3AAAAAwBAAAPAAAAAAAAAAEA&#10;IAAAACIAAABkcnMvZG93bnJldi54bWxQSwECFAAUAAAACACHTuJAdQ7Wo0QCAABzBAAADgAAAAAA&#10;AAABACAAAAArAQAAZHJzL2Uyb0RvYy54bWxQSwUGAAAAAAYABgBZAQAA4QUAAAAA&#10;">
                      <v:fill on="f" focussize="0,0"/>
                      <v:stroke on="f" weight="0.5pt"/>
                      <v:imagedata o:title=""/>
                      <o:lock v:ext="edit" aspectratio="f"/>
                      <v:textbox>
                        <w:txbxContent>
                          <w:p w14:paraId="6D1E17FA">
                            <w:pPr>
                              <w:rPr>
                                <w:rFonts w:hint="eastAsia" w:eastAsiaTheme="minorEastAsia"/>
                                <w:color w:val="FF0000"/>
                                <w:sz w:val="48"/>
                                <w:szCs w:val="48"/>
                                <w:lang w:val="en-US" w:eastAsia="zh-CN"/>
                              </w:rPr>
                            </w:pPr>
                            <w:r>
                              <w:rPr>
                                <w:rFonts w:hint="eastAsia"/>
                                <w:color w:val="FF0000"/>
                                <w:sz w:val="48"/>
                                <w:szCs w:val="48"/>
                                <w:lang w:val="en-US" w:eastAsia="zh-CN"/>
                              </w:rPr>
                              <w:t>N</w:t>
                            </w:r>
                          </w:p>
                        </w:txbxContent>
                      </v:textbox>
                    </v:shape>
                  </w:pict>
                </mc:Fallback>
              </mc:AlternateContent>
            </w:r>
            <w:r>
              <w:rPr>
                <w:sz w:val="24"/>
              </w:rPr>
              <mc:AlternateContent>
                <mc:Choice Requires="wps">
                  <w:drawing>
                    <wp:anchor distT="0" distB="0" distL="114300" distR="114300" simplePos="0" relativeHeight="251661312" behindDoc="0" locked="0" layoutInCell="1" allowOverlap="1">
                      <wp:simplePos x="0" y="0"/>
                      <wp:positionH relativeFrom="column">
                        <wp:posOffset>7787640</wp:posOffset>
                      </wp:positionH>
                      <wp:positionV relativeFrom="paragraph">
                        <wp:posOffset>389255</wp:posOffset>
                      </wp:positionV>
                      <wp:extent cx="331470" cy="775335"/>
                      <wp:effectExtent l="12700" t="12700" r="17780" b="31115"/>
                      <wp:wrapNone/>
                      <wp:docPr id="16" name="上箭头 16"/>
                      <wp:cNvGraphicFramePr/>
                      <a:graphic xmlns:a="http://schemas.openxmlformats.org/drawingml/2006/main">
                        <a:graphicData uri="http://schemas.microsoft.com/office/word/2010/wordprocessingShape">
                          <wps:wsp>
                            <wps:cNvSpPr/>
                            <wps:spPr>
                              <a:xfrm>
                                <a:off x="8514715" y="1766570"/>
                                <a:ext cx="331470" cy="775335"/>
                              </a:xfrm>
                              <a:prstGeom prst="upArrow">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613.2pt;margin-top:30.65pt;height:61.05pt;width:26.1pt;z-index:251661312;v-text-anchor:middle;mso-width-relative:page;mso-height-relative:page;" fillcolor="#FF0000" filled="t" stroked="t" coordsize="21600,21600" o:gfxdata="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L3ktstkAAAAMAQAA&#10;DwAAAAAAAAABACAAAAAiAAAAZHJzL2Rvd25yZXYueG1sUEsBAhQAFAAAAAgAh07iQJ60QOiKAgAA&#10;EgUAAA4AAAAAAAAAAQAgAAAAKAEAAGRycy9lMm9Eb2MueG1sUEsFBgAAAAAGAAYAWQEAACQGAAAA&#10;AA==&#10;" adj="4617,5400">
                      <v:fill on="t" focussize="0,0"/>
                      <v:stroke weight="2pt" color="#376092 [2404]" joinstyle="round"/>
                      <v:imagedata o:title=""/>
                      <o:lock v:ext="edit" aspectratio="f"/>
                    </v:shape>
                  </w:pict>
                </mc:Fallback>
              </mc:AlternateContent>
            </w:r>
            <w:r>
              <w:rPr>
                <w:sz w:val="24"/>
              </w:rPr>
              <mc:AlternateContent>
                <mc:Choice Requires="wps">
                  <w:drawing>
                    <wp:anchor distT="0" distB="0" distL="114300" distR="114300" simplePos="0" relativeHeight="251660288" behindDoc="0" locked="0" layoutInCell="1" allowOverlap="1">
                      <wp:simplePos x="0" y="0"/>
                      <wp:positionH relativeFrom="column">
                        <wp:posOffset>3653790</wp:posOffset>
                      </wp:positionH>
                      <wp:positionV relativeFrom="paragraph">
                        <wp:posOffset>1033780</wp:posOffset>
                      </wp:positionV>
                      <wp:extent cx="914400" cy="611505"/>
                      <wp:effectExtent l="12700" t="12700" r="844550" b="652145"/>
                      <wp:wrapNone/>
                      <wp:docPr id="15" name="矩形标注 15"/>
                      <wp:cNvGraphicFramePr/>
                      <a:graphic xmlns:a="http://schemas.openxmlformats.org/drawingml/2006/main">
                        <a:graphicData uri="http://schemas.microsoft.com/office/word/2010/wordprocessingShape">
                          <wps:wsp>
                            <wps:cNvSpPr/>
                            <wps:spPr>
                              <a:xfrm>
                                <a:off x="6320155" y="3365500"/>
                                <a:ext cx="914400" cy="611505"/>
                              </a:xfrm>
                              <a:prstGeom prst="wedgeRectCallout">
                                <a:avLst>
                                  <a:gd name="adj1" fmla="val 140069"/>
                                  <a:gd name="adj2" fmla="val 151557"/>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txbx>
                              <w:txbxContent>
                                <w:p w14:paraId="3B087184">
                                  <w:pPr>
                                    <w:jc w:val="center"/>
                                    <w:rPr>
                                      <w:rFonts w:hint="default" w:eastAsiaTheme="minorEastAsia"/>
                                      <w:lang w:val="en-US" w:eastAsia="zh-CN"/>
                                    </w:rPr>
                                  </w:pPr>
                                  <w:r>
                                    <w:rPr>
                                      <w:rFonts w:hint="eastAsia"/>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87.7pt;margin-top:81.4pt;height:48.15pt;width:72pt;z-index:251660288;v-text-anchor:middle;mso-width-relative:page;mso-height-relative:page;" fillcolor="#FF0000" filled="t" stroked="t" coordsize="21600,21600" o:gfxdata="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MmaFsvaAAAACwEAAA8AAAAA&#10;AAAAAQAgAAAAIgAAAGRycy9kb3ducmV2LnhtbFBLAQIUABQAAAAIAIdO4kB3ELNnvQIAAHwFAAAO&#10;AAAAAAAAAAEAIAAAACkBAABkcnMvZTJvRG9jLnhtbFBLBQYAAAAABgAGAFkBAABYBgAAAAA=&#10;" adj="41055,43536">
                      <v:fill on="t" focussize="0,0"/>
                      <v:stroke weight="2pt" color="#376092 [2404]" joinstyle="round"/>
                      <v:imagedata o:title=""/>
                      <o:lock v:ext="edit" aspectratio="f"/>
                      <v:textbox>
                        <w:txbxContent>
                          <w:p w14:paraId="3B087184">
                            <w:pPr>
                              <w:jc w:val="center"/>
                              <w:rPr>
                                <w:rFonts w:hint="default" w:eastAsiaTheme="minorEastAsia"/>
                                <w:lang w:val="en-US" w:eastAsia="zh-CN"/>
                              </w:rPr>
                            </w:pPr>
                            <w:r>
                              <w:rPr>
                                <w:rFonts w:hint="eastAsia"/>
                                <w:lang w:val="en-US" w:eastAsia="zh-CN"/>
                              </w:rPr>
                              <w:t>项目位置</w:t>
                            </w:r>
                          </w:p>
                        </w:txbxContent>
                      </v:textbox>
                    </v:shape>
                  </w:pict>
                </mc:Fallback>
              </mc:AlternateContent>
            </w:r>
            <w:r>
              <w:rPr>
                <w:rFonts w:hint="eastAsia" w:ascii="Times New Roman" w:hAnsi="Times New Roman" w:eastAsiaTheme="minorEastAsia"/>
                <w:b/>
                <w:sz w:val="24"/>
                <w:lang w:eastAsia="zh-CN"/>
              </w:rPr>
              <w:drawing>
                <wp:inline distT="0" distB="0" distL="114300" distR="114300">
                  <wp:extent cx="8856980" cy="4402455"/>
                  <wp:effectExtent l="0" t="0" r="1270" b="17145"/>
                  <wp:docPr id="14" name="图片 14" descr="619ee5d70ec08eeaad5f9180b20d1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619ee5d70ec08eeaad5f9180b20d1dc"/>
                          <pic:cNvPicPr>
                            <a:picLocks noChangeAspect="1"/>
                          </pic:cNvPicPr>
                        </pic:nvPicPr>
                        <pic:blipFill>
                          <a:blip r:embed="rId31"/>
                          <a:stretch>
                            <a:fillRect/>
                          </a:stretch>
                        </pic:blipFill>
                        <pic:spPr>
                          <a:xfrm>
                            <a:off x="0" y="0"/>
                            <a:ext cx="8856980" cy="4402455"/>
                          </a:xfrm>
                          <a:prstGeom prst="rect">
                            <a:avLst/>
                          </a:prstGeom>
                        </pic:spPr>
                      </pic:pic>
                    </a:graphicData>
                  </a:graphic>
                </wp:inline>
              </w:drawing>
            </w:r>
          </w:p>
        </w:tc>
      </w:tr>
      <w:tr w14:paraId="31ABD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14:paraId="063E2A98">
            <w:pPr>
              <w:jc w:val="center"/>
              <w:rPr>
                <w:rFonts w:ascii="Times New Roman" w:hAnsi="Times New Roman"/>
                <w:b/>
                <w:sz w:val="24"/>
              </w:rPr>
            </w:pPr>
            <w:r>
              <w:rPr>
                <w:rFonts w:hint="eastAsia" w:ascii="Times New Roman" w:hAnsi="Times New Roman"/>
                <w:b/>
                <w:sz w:val="24"/>
              </w:rPr>
              <w:t>附图</w:t>
            </w:r>
            <w:r>
              <w:rPr>
                <w:rFonts w:hint="eastAsia" w:ascii="Times New Roman" w:hAnsi="Times New Roman"/>
                <w:b/>
                <w:sz w:val="24"/>
                <w:lang w:val="en-US" w:eastAsia="zh-CN"/>
              </w:rPr>
              <w:t>4</w:t>
            </w:r>
            <w:r>
              <w:rPr>
                <w:rFonts w:hint="eastAsia" w:ascii="Times New Roman" w:hAnsi="Times New Roman"/>
                <w:b/>
                <w:sz w:val="24"/>
              </w:rPr>
              <w:t xml:space="preserve">  项目</w:t>
            </w:r>
            <w:r>
              <w:rPr>
                <w:rFonts w:hint="eastAsia" w:ascii="Times New Roman" w:hAnsi="Times New Roman"/>
                <w:b/>
                <w:sz w:val="24"/>
                <w:lang w:val="en-US" w:eastAsia="zh-CN"/>
              </w:rPr>
              <w:t>与</w:t>
            </w:r>
            <w:r>
              <w:rPr>
                <w:rFonts w:hint="eastAsia" w:ascii="Times New Roman" w:hAnsi="Times New Roman"/>
                <w:b/>
                <w:sz w:val="24"/>
              </w:rPr>
              <w:t>河南省三线一单综合信息应用平台中位置示意图</w:t>
            </w:r>
          </w:p>
        </w:tc>
      </w:tr>
    </w:tbl>
    <w:p w14:paraId="2330CFAF">
      <w:pPr>
        <w:sectPr>
          <w:pgSz w:w="16838" w:h="11906" w:orient="landscape"/>
          <w:pgMar w:top="1800" w:right="1440" w:bottom="1800" w:left="1440" w:header="851" w:footer="992" w:gutter="0"/>
          <w:cols w:space="425" w:num="1"/>
          <w:docGrid w:type="lines" w:linePitch="312" w:charSpace="0"/>
        </w:sectPr>
      </w:pP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6"/>
        <w:gridCol w:w="4246"/>
      </w:tblGrid>
      <w:tr w14:paraId="602AF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6" w:type="dxa"/>
          </w:tcPr>
          <w:p w14:paraId="2E8173FA">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35555" cy="3233420"/>
                  <wp:effectExtent l="0" t="0" r="17145" b="5080"/>
                  <wp:docPr id="31" name="图片 31" descr="ddbe851a92fd3608e389cb32b424b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ddbe851a92fd3608e389cb32b424b17"/>
                          <pic:cNvPicPr>
                            <a:picLocks noChangeAspect="1"/>
                          </pic:cNvPicPr>
                        </pic:nvPicPr>
                        <pic:blipFill>
                          <a:blip r:embed="rId32"/>
                          <a:stretch>
                            <a:fillRect/>
                          </a:stretch>
                        </pic:blipFill>
                        <pic:spPr>
                          <a:xfrm>
                            <a:off x="0" y="0"/>
                            <a:ext cx="2535555" cy="3233420"/>
                          </a:xfrm>
                          <a:prstGeom prst="rect">
                            <a:avLst/>
                          </a:prstGeom>
                        </pic:spPr>
                      </pic:pic>
                    </a:graphicData>
                  </a:graphic>
                </wp:inline>
              </w:drawing>
            </w:r>
          </w:p>
        </w:tc>
        <w:tc>
          <w:tcPr>
            <w:tcW w:w="4246" w:type="dxa"/>
          </w:tcPr>
          <w:p w14:paraId="57C5A107">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25395" cy="3230880"/>
                  <wp:effectExtent l="0" t="0" r="8255" b="7620"/>
                  <wp:docPr id="33" name="图片 33" descr="8c096f710f5ee83e27b9bee1083b5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8c096f710f5ee83e27b9bee1083b5ee"/>
                          <pic:cNvPicPr>
                            <a:picLocks noChangeAspect="1"/>
                          </pic:cNvPicPr>
                        </pic:nvPicPr>
                        <pic:blipFill>
                          <a:blip r:embed="rId33"/>
                          <a:stretch>
                            <a:fillRect/>
                          </a:stretch>
                        </pic:blipFill>
                        <pic:spPr>
                          <a:xfrm>
                            <a:off x="0" y="0"/>
                            <a:ext cx="2525395" cy="3230880"/>
                          </a:xfrm>
                          <a:prstGeom prst="rect">
                            <a:avLst/>
                          </a:prstGeom>
                        </pic:spPr>
                      </pic:pic>
                    </a:graphicData>
                  </a:graphic>
                </wp:inline>
              </w:drawing>
            </w:r>
          </w:p>
        </w:tc>
      </w:tr>
      <w:tr w14:paraId="58ADD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6" w:type="dxa"/>
          </w:tcPr>
          <w:p w14:paraId="0F074B90">
            <w:pPr>
              <w:jc w:val="center"/>
              <w:rPr>
                <w:rFonts w:hint="default" w:eastAsiaTheme="minorEastAsia"/>
                <w:sz w:val="24"/>
                <w:szCs w:val="24"/>
                <w:vertAlign w:val="baseline"/>
                <w:lang w:val="en-US" w:eastAsia="zh-CN"/>
              </w:rPr>
            </w:pPr>
            <w:r>
              <w:rPr>
                <w:rFonts w:hint="eastAsia"/>
                <w:sz w:val="24"/>
                <w:szCs w:val="24"/>
                <w:vertAlign w:val="baseline"/>
                <w:lang w:val="en-US" w:eastAsia="zh-CN"/>
              </w:rPr>
              <w:t>东校界</w:t>
            </w:r>
          </w:p>
        </w:tc>
        <w:tc>
          <w:tcPr>
            <w:tcW w:w="4246" w:type="dxa"/>
          </w:tcPr>
          <w:p w14:paraId="00B5A033">
            <w:pPr>
              <w:jc w:val="center"/>
              <w:rPr>
                <w:rFonts w:hint="default" w:eastAsiaTheme="minorEastAsia"/>
                <w:sz w:val="24"/>
                <w:szCs w:val="24"/>
                <w:vertAlign w:val="baseline"/>
                <w:lang w:val="en-US" w:eastAsia="zh-CN"/>
              </w:rPr>
            </w:pPr>
            <w:r>
              <w:rPr>
                <w:rFonts w:hint="eastAsia"/>
                <w:sz w:val="24"/>
                <w:szCs w:val="24"/>
                <w:vertAlign w:val="baseline"/>
                <w:lang w:val="en-US" w:eastAsia="zh-CN"/>
              </w:rPr>
              <w:t>南校界</w:t>
            </w:r>
          </w:p>
        </w:tc>
      </w:tr>
      <w:tr w14:paraId="789DB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6" w:type="dxa"/>
          </w:tcPr>
          <w:p w14:paraId="106AD426">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76830" cy="3230880"/>
                  <wp:effectExtent l="0" t="0" r="13970" b="7620"/>
                  <wp:docPr id="34" name="图片 34" descr="34aa4d9007d6a68c2790cb4a916ee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34aa4d9007d6a68c2790cb4a916ee97"/>
                          <pic:cNvPicPr>
                            <a:picLocks noChangeAspect="1"/>
                          </pic:cNvPicPr>
                        </pic:nvPicPr>
                        <pic:blipFill>
                          <a:blip r:embed="rId34"/>
                          <a:stretch>
                            <a:fillRect/>
                          </a:stretch>
                        </pic:blipFill>
                        <pic:spPr>
                          <a:xfrm>
                            <a:off x="0" y="0"/>
                            <a:ext cx="2576830" cy="3230880"/>
                          </a:xfrm>
                          <a:prstGeom prst="rect">
                            <a:avLst/>
                          </a:prstGeom>
                        </pic:spPr>
                      </pic:pic>
                    </a:graphicData>
                  </a:graphic>
                </wp:inline>
              </w:drawing>
            </w:r>
          </w:p>
        </w:tc>
        <w:tc>
          <w:tcPr>
            <w:tcW w:w="4246" w:type="dxa"/>
          </w:tcPr>
          <w:p w14:paraId="49F8AEB0">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59685" cy="3229610"/>
                  <wp:effectExtent l="0" t="0" r="12065" b="8890"/>
                  <wp:docPr id="35" name="图片 35" descr="5c9a5e212c42ac3341d1e22a6c6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5c9a5e212c42ac3341d1e22a6c62022"/>
                          <pic:cNvPicPr>
                            <a:picLocks noChangeAspect="1"/>
                          </pic:cNvPicPr>
                        </pic:nvPicPr>
                        <pic:blipFill>
                          <a:blip r:embed="rId35"/>
                          <a:stretch>
                            <a:fillRect/>
                          </a:stretch>
                        </pic:blipFill>
                        <pic:spPr>
                          <a:xfrm>
                            <a:off x="0" y="0"/>
                            <a:ext cx="2559685" cy="3229610"/>
                          </a:xfrm>
                          <a:prstGeom prst="rect">
                            <a:avLst/>
                          </a:prstGeom>
                        </pic:spPr>
                      </pic:pic>
                    </a:graphicData>
                  </a:graphic>
                </wp:inline>
              </w:drawing>
            </w:r>
          </w:p>
        </w:tc>
      </w:tr>
      <w:tr w14:paraId="296B7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6" w:type="dxa"/>
          </w:tcPr>
          <w:p w14:paraId="2385E0E2">
            <w:pPr>
              <w:jc w:val="center"/>
              <w:rPr>
                <w:rFonts w:hint="default" w:eastAsiaTheme="minorEastAsia"/>
                <w:sz w:val="24"/>
                <w:szCs w:val="24"/>
                <w:vertAlign w:val="baseline"/>
                <w:lang w:val="en-US" w:eastAsia="zh-CN"/>
              </w:rPr>
            </w:pPr>
            <w:r>
              <w:rPr>
                <w:rFonts w:hint="eastAsia"/>
                <w:sz w:val="24"/>
                <w:szCs w:val="24"/>
                <w:vertAlign w:val="baseline"/>
                <w:lang w:val="en-US" w:eastAsia="zh-CN"/>
              </w:rPr>
              <w:t>西校界</w:t>
            </w:r>
          </w:p>
        </w:tc>
        <w:tc>
          <w:tcPr>
            <w:tcW w:w="4246" w:type="dxa"/>
          </w:tcPr>
          <w:p w14:paraId="2252333B">
            <w:pPr>
              <w:jc w:val="center"/>
              <w:rPr>
                <w:rFonts w:hint="default" w:eastAsiaTheme="minorEastAsia"/>
                <w:sz w:val="24"/>
                <w:szCs w:val="24"/>
                <w:vertAlign w:val="baseline"/>
                <w:lang w:val="en-US" w:eastAsia="zh-CN"/>
              </w:rPr>
            </w:pPr>
            <w:r>
              <w:rPr>
                <w:rFonts w:hint="eastAsia"/>
                <w:sz w:val="24"/>
                <w:szCs w:val="24"/>
                <w:vertAlign w:val="baseline"/>
                <w:lang w:val="en-US" w:eastAsia="zh-CN"/>
              </w:rPr>
              <w:t>北校界</w:t>
            </w:r>
          </w:p>
        </w:tc>
      </w:tr>
      <w:tr w14:paraId="66901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Pr>
          <w:p w14:paraId="3AF346DB">
            <w:pPr>
              <w:jc w:val="center"/>
              <w:rPr>
                <w:rFonts w:hint="eastAsia"/>
                <w:sz w:val="24"/>
                <w:szCs w:val="24"/>
                <w:vertAlign w:val="baseline"/>
                <w:lang w:val="en-US" w:eastAsia="zh-CN"/>
              </w:rPr>
            </w:pPr>
            <w:r>
              <w:rPr>
                <w:rFonts w:hint="eastAsia"/>
                <w:sz w:val="24"/>
                <w:szCs w:val="24"/>
                <w:vertAlign w:val="baseline"/>
                <w:lang w:val="en-US" w:eastAsia="zh-CN"/>
              </w:rPr>
              <w:drawing>
                <wp:inline distT="0" distB="0" distL="114300" distR="114300">
                  <wp:extent cx="5264150" cy="2962910"/>
                  <wp:effectExtent l="0" t="0" r="12700" b="8890"/>
                  <wp:docPr id="36" name="图片 36" descr="14a2a6288cae5b622c694cdf0d2b7c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4a2a6288cae5b622c694cdf0d2b7ca6"/>
                          <pic:cNvPicPr>
                            <a:picLocks noChangeAspect="1"/>
                          </pic:cNvPicPr>
                        </pic:nvPicPr>
                        <pic:blipFill>
                          <a:blip r:embed="rId36"/>
                          <a:stretch>
                            <a:fillRect/>
                          </a:stretch>
                        </pic:blipFill>
                        <pic:spPr>
                          <a:xfrm>
                            <a:off x="0" y="0"/>
                            <a:ext cx="5264150" cy="2962910"/>
                          </a:xfrm>
                          <a:prstGeom prst="rect">
                            <a:avLst/>
                          </a:prstGeom>
                        </pic:spPr>
                      </pic:pic>
                    </a:graphicData>
                  </a:graphic>
                </wp:inline>
              </w:drawing>
            </w:r>
          </w:p>
        </w:tc>
      </w:tr>
      <w:tr w14:paraId="4F9CD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Pr>
          <w:p w14:paraId="464011D6">
            <w:pPr>
              <w:jc w:val="center"/>
              <w:rPr>
                <w:rFonts w:hint="default"/>
                <w:sz w:val="24"/>
                <w:szCs w:val="24"/>
                <w:vertAlign w:val="baseline"/>
                <w:lang w:val="en-US" w:eastAsia="zh-CN"/>
              </w:rPr>
            </w:pPr>
            <w:r>
              <w:rPr>
                <w:rFonts w:hint="eastAsia"/>
                <w:sz w:val="24"/>
                <w:szCs w:val="24"/>
                <w:vertAlign w:val="baseline"/>
                <w:lang w:val="en-US" w:eastAsia="zh-CN"/>
              </w:rPr>
              <w:t>工程师现场照</w:t>
            </w:r>
          </w:p>
        </w:tc>
      </w:tr>
      <w:tr w14:paraId="0E600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Pr>
          <w:p w14:paraId="47203EC6">
            <w:pPr>
              <w:jc w:val="center"/>
              <w:rPr>
                <w:rFonts w:hint="default"/>
                <w:vertAlign w:val="baseline"/>
                <w:lang w:val="en-US"/>
              </w:rPr>
            </w:pPr>
            <w:r>
              <w:rPr>
                <w:rFonts w:ascii="Times New Roman" w:hAnsi="Times New Roman"/>
                <w:b/>
                <w:bCs/>
                <w:sz w:val="24"/>
              </w:rPr>
              <w:t>附图</w:t>
            </w:r>
            <w:r>
              <w:rPr>
                <w:rFonts w:hint="eastAsia" w:ascii="Times New Roman" w:hAnsi="Times New Roman"/>
                <w:b/>
                <w:bCs/>
                <w:sz w:val="24"/>
                <w:lang w:val="en-US" w:eastAsia="zh-CN"/>
              </w:rPr>
              <w:t>5</w:t>
            </w:r>
            <w:r>
              <w:rPr>
                <w:rFonts w:ascii="Times New Roman" w:hAnsi="Times New Roman"/>
                <w:b/>
                <w:bCs/>
                <w:sz w:val="24"/>
              </w:rPr>
              <w:t xml:space="preserve">   </w:t>
            </w:r>
            <w:r>
              <w:rPr>
                <w:rFonts w:hint="eastAsia" w:ascii="Times New Roman" w:hAnsi="Times New Roman"/>
                <w:b/>
                <w:bCs/>
                <w:sz w:val="24"/>
                <w:lang w:val="en-US" w:eastAsia="zh-CN"/>
              </w:rPr>
              <w:t>现场照片</w:t>
            </w:r>
          </w:p>
        </w:tc>
      </w:tr>
    </w:tbl>
    <w:p w14:paraId="6AB82457">
      <w:pPr>
        <w:sectPr>
          <w:pgSz w:w="11906" w:h="16838"/>
          <w:pgMar w:top="1440" w:right="1800" w:bottom="1440" w:left="1800" w:header="851" w:footer="992" w:gutter="0"/>
          <w:cols w:space="425" w:num="1"/>
          <w:docGrid w:type="lines" w:linePitch="312" w:charSpace="0"/>
        </w:sectPr>
      </w:pPr>
    </w:p>
    <w:p w14:paraId="7D5241AE">
      <w:pPr>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附件1</w:t>
      </w:r>
    </w:p>
    <w:p w14:paraId="7F74B2B9">
      <w:pPr>
        <w:jc w:val="center"/>
        <w:rPr>
          <w:b/>
          <w:sz w:val="40"/>
          <w:szCs w:val="32"/>
        </w:rPr>
      </w:pPr>
      <w:r>
        <w:rPr>
          <w:rFonts w:hint="eastAsia"/>
          <w:b/>
          <w:sz w:val="40"/>
          <w:szCs w:val="32"/>
        </w:rPr>
        <w:t>委</w:t>
      </w:r>
      <w:r>
        <w:rPr>
          <w:b/>
          <w:sz w:val="40"/>
          <w:szCs w:val="32"/>
        </w:rPr>
        <w:t xml:space="preserve"> </w:t>
      </w:r>
      <w:r>
        <w:rPr>
          <w:rFonts w:hint="eastAsia"/>
          <w:b/>
          <w:sz w:val="40"/>
          <w:szCs w:val="32"/>
        </w:rPr>
        <w:t>托</w:t>
      </w:r>
      <w:r>
        <w:rPr>
          <w:b/>
          <w:sz w:val="40"/>
          <w:szCs w:val="32"/>
        </w:rPr>
        <w:t xml:space="preserve"> </w:t>
      </w:r>
      <w:r>
        <w:rPr>
          <w:rFonts w:hint="eastAsia"/>
          <w:b/>
          <w:sz w:val="40"/>
          <w:szCs w:val="32"/>
        </w:rPr>
        <w:t>书</w:t>
      </w:r>
    </w:p>
    <w:p w14:paraId="6826666D">
      <w:pPr>
        <w:jc w:val="center"/>
        <w:rPr>
          <w:b/>
          <w:sz w:val="40"/>
          <w:szCs w:val="32"/>
        </w:rPr>
      </w:pPr>
    </w:p>
    <w:p w14:paraId="000921DA">
      <w:pPr>
        <w:adjustRightInd w:val="0"/>
        <w:snapToGrid w:val="0"/>
        <w:spacing w:line="360" w:lineRule="auto"/>
        <w:ind w:firstLine="160" w:firstLineChars="50"/>
        <w:rPr>
          <w:rFonts w:ascii="Times New Roman" w:hAnsi="Times New Roman" w:eastAsia="楷体"/>
          <w:sz w:val="32"/>
          <w:szCs w:val="32"/>
          <w:highlight w:val="none"/>
        </w:rPr>
      </w:pPr>
      <w:r>
        <w:rPr>
          <w:rFonts w:hint="eastAsia" w:ascii="Times New Roman" w:hAnsi="Times New Roman" w:eastAsia="楷体"/>
          <w:sz w:val="32"/>
          <w:szCs w:val="32"/>
          <w:highlight w:val="none"/>
        </w:rPr>
        <w:t>南阳市益诚环保科技有限公司</w:t>
      </w:r>
      <w:r>
        <w:rPr>
          <w:rFonts w:ascii="Times New Roman" w:hAnsi="Times New Roman" w:eastAsia="楷体"/>
          <w:sz w:val="32"/>
          <w:szCs w:val="32"/>
          <w:highlight w:val="none"/>
        </w:rPr>
        <w:t>：</w:t>
      </w:r>
    </w:p>
    <w:p w14:paraId="773CB645">
      <w:pPr>
        <w:adjustRightInd w:val="0"/>
        <w:snapToGrid w:val="0"/>
        <w:spacing w:line="360" w:lineRule="auto"/>
        <w:ind w:firstLine="640" w:firstLineChars="200"/>
        <w:rPr>
          <w:rFonts w:ascii="Times New Roman" w:hAnsi="Times New Roman" w:eastAsia="楷体"/>
          <w:sz w:val="32"/>
          <w:szCs w:val="32"/>
          <w:highlight w:val="none"/>
        </w:rPr>
      </w:pPr>
      <w:r>
        <w:rPr>
          <w:rFonts w:ascii="Times New Roman" w:hAnsi="Times New Roman" w:eastAsia="楷体"/>
          <w:sz w:val="32"/>
          <w:szCs w:val="32"/>
          <w:highlight w:val="none"/>
        </w:rPr>
        <w:t>根据《中华人民共和国环境影响评价法》、《建设项目环境保护管理条例》等相关法律规定，我公司需要开展“</w:t>
      </w:r>
      <w:r>
        <w:rPr>
          <w:rFonts w:hint="default" w:ascii="Times New Roman" w:hAnsi="Times New Roman" w:eastAsia="楷体"/>
          <w:sz w:val="32"/>
          <w:szCs w:val="32"/>
          <w:highlight w:val="none"/>
          <w:lang w:val="en-US" w:eastAsia="zh-CN"/>
        </w:rPr>
        <w:t>镇平县雪枫中学扩建项目</w:t>
      </w:r>
      <w:r>
        <w:rPr>
          <w:rFonts w:ascii="Times New Roman" w:hAnsi="Times New Roman" w:eastAsia="楷体"/>
          <w:sz w:val="32"/>
          <w:szCs w:val="32"/>
          <w:highlight w:val="none"/>
        </w:rPr>
        <w:t>”环境影响评价工作，现委托贵公司进行，望尽快开展工作。工作中具体事宜，由双方共同协商解决。</w:t>
      </w:r>
    </w:p>
    <w:p w14:paraId="13565EF1">
      <w:pPr>
        <w:adjustRightInd w:val="0"/>
        <w:snapToGrid w:val="0"/>
        <w:spacing w:line="360" w:lineRule="auto"/>
        <w:ind w:firstLine="420"/>
        <w:rPr>
          <w:sz w:val="32"/>
          <w:szCs w:val="32"/>
        </w:rPr>
      </w:pPr>
    </w:p>
    <w:p w14:paraId="2FAF9D4C">
      <w:pPr>
        <w:adjustRightInd w:val="0"/>
        <w:snapToGrid w:val="0"/>
        <w:spacing w:line="360" w:lineRule="auto"/>
        <w:rPr>
          <w:rFonts w:ascii="楷体" w:hAnsi="楷体" w:eastAsia="楷体"/>
          <w:sz w:val="32"/>
          <w:szCs w:val="32"/>
        </w:rPr>
      </w:pPr>
    </w:p>
    <w:p w14:paraId="33B87640">
      <w:pPr>
        <w:adjustRightInd w:val="0"/>
        <w:snapToGrid w:val="0"/>
        <w:ind w:firstLine="4480" w:firstLineChars="1400"/>
        <w:rPr>
          <w:rFonts w:ascii="楷体" w:hAnsi="楷体" w:eastAsia="楷体"/>
          <w:sz w:val="32"/>
          <w:szCs w:val="32"/>
        </w:rPr>
      </w:pPr>
      <w:r>
        <w:rPr>
          <w:rFonts w:ascii="楷体" w:hAnsi="楷体" w:eastAsia="楷体"/>
          <w:sz w:val="32"/>
          <w:szCs w:val="32"/>
        </w:rPr>
        <w:t xml:space="preserve">           </w:t>
      </w:r>
    </w:p>
    <w:p w14:paraId="527FB47C">
      <w:pPr>
        <w:adjustRightInd w:val="0"/>
        <w:snapToGrid w:val="0"/>
        <w:ind w:firstLine="4480" w:firstLineChars="1400"/>
        <w:jc w:val="center"/>
        <w:rPr>
          <w:rFonts w:ascii="楷体" w:hAnsi="楷体" w:eastAsia="楷体"/>
          <w:sz w:val="32"/>
          <w:szCs w:val="32"/>
        </w:rPr>
      </w:pPr>
      <w:r>
        <w:rPr>
          <w:rFonts w:hint="eastAsia" w:ascii="楷体" w:hAnsi="楷体" w:eastAsia="楷体"/>
          <w:sz w:val="32"/>
          <w:szCs w:val="32"/>
        </w:rPr>
        <w:t xml:space="preserve">     </w:t>
      </w:r>
      <w:r>
        <w:rPr>
          <w:rFonts w:ascii="楷体" w:hAnsi="楷体" w:eastAsia="楷体"/>
          <w:sz w:val="32"/>
          <w:szCs w:val="32"/>
        </w:rPr>
        <w:t>(</w:t>
      </w:r>
      <w:r>
        <w:rPr>
          <w:rFonts w:hint="eastAsia" w:ascii="楷体" w:hAnsi="楷体" w:eastAsia="楷体"/>
          <w:sz w:val="32"/>
          <w:szCs w:val="32"/>
        </w:rPr>
        <w:t>公司盖章</w:t>
      </w:r>
      <w:r>
        <w:rPr>
          <w:rFonts w:ascii="楷体" w:hAnsi="楷体" w:eastAsia="楷体"/>
          <w:sz w:val="32"/>
          <w:szCs w:val="32"/>
        </w:rPr>
        <w:t>)</w:t>
      </w:r>
    </w:p>
    <w:p w14:paraId="74FEF39C">
      <w:pPr>
        <w:jc w:val="right"/>
        <w:rPr>
          <w:rFonts w:hint="eastAsia" w:ascii="Times New Roman" w:hAnsi="Times New Roman" w:eastAsia="楷体"/>
          <w:sz w:val="32"/>
          <w:szCs w:val="32"/>
        </w:rPr>
      </w:pPr>
      <w:r>
        <w:rPr>
          <w:rFonts w:hint="eastAsia" w:ascii="Times New Roman" w:hAnsi="Times New Roman" w:eastAsia="楷体"/>
          <w:sz w:val="32"/>
          <w:szCs w:val="32"/>
        </w:rPr>
        <w:t xml:space="preserve">                           202</w:t>
      </w:r>
      <w:r>
        <w:rPr>
          <w:rFonts w:hint="eastAsia" w:ascii="Times New Roman" w:hAnsi="Times New Roman" w:eastAsia="楷体"/>
          <w:sz w:val="32"/>
          <w:szCs w:val="32"/>
          <w:lang w:val="en-US" w:eastAsia="zh-CN"/>
        </w:rPr>
        <w:t>5</w:t>
      </w:r>
      <w:r>
        <w:rPr>
          <w:rFonts w:hint="eastAsia" w:ascii="Times New Roman" w:hAnsi="Times New Roman" w:eastAsia="楷体"/>
          <w:sz w:val="32"/>
          <w:szCs w:val="32"/>
        </w:rPr>
        <w:t>年</w:t>
      </w:r>
      <w:r>
        <w:rPr>
          <w:rFonts w:hint="eastAsia" w:ascii="Times New Roman" w:hAnsi="Times New Roman" w:eastAsia="楷体"/>
          <w:sz w:val="32"/>
          <w:szCs w:val="32"/>
          <w:lang w:val="en-US" w:eastAsia="zh-CN"/>
        </w:rPr>
        <w:t>3</w:t>
      </w:r>
      <w:r>
        <w:rPr>
          <w:rFonts w:hint="eastAsia" w:ascii="Times New Roman" w:hAnsi="Times New Roman" w:eastAsia="楷体"/>
          <w:sz w:val="32"/>
          <w:szCs w:val="32"/>
        </w:rPr>
        <w:t>月</w:t>
      </w:r>
      <w:r>
        <w:rPr>
          <w:rFonts w:hint="eastAsia" w:ascii="Times New Roman" w:hAnsi="Times New Roman" w:eastAsia="楷体"/>
          <w:sz w:val="32"/>
          <w:szCs w:val="32"/>
          <w:lang w:val="en-US" w:eastAsia="zh-CN"/>
        </w:rPr>
        <w:t>12</w:t>
      </w:r>
      <w:r>
        <w:rPr>
          <w:rFonts w:hint="eastAsia" w:ascii="Times New Roman" w:hAnsi="Times New Roman" w:eastAsia="楷体"/>
          <w:sz w:val="32"/>
          <w:szCs w:val="32"/>
        </w:rPr>
        <w:t>日</w:t>
      </w:r>
    </w:p>
    <w:p w14:paraId="7042475C">
      <w:pPr>
        <w:rPr>
          <w:rFonts w:hint="eastAsia" w:ascii="Times New Roman" w:hAnsi="Times New Roman" w:eastAsia="楷体"/>
          <w:sz w:val="32"/>
          <w:szCs w:val="32"/>
        </w:rPr>
      </w:pPr>
    </w:p>
    <w:p w14:paraId="71336F12">
      <w:pPr>
        <w:rPr>
          <w:rFonts w:hint="eastAsia" w:ascii="Times New Roman" w:hAnsi="Times New Roman" w:eastAsia="楷体"/>
          <w:sz w:val="32"/>
          <w:szCs w:val="32"/>
        </w:rPr>
      </w:pPr>
    </w:p>
    <w:p w14:paraId="23AE30F0">
      <w:pPr>
        <w:rPr>
          <w:rFonts w:hint="eastAsia" w:ascii="Times New Roman" w:hAnsi="Times New Roman" w:eastAsia="楷体"/>
          <w:sz w:val="32"/>
          <w:szCs w:val="32"/>
        </w:rPr>
      </w:pPr>
    </w:p>
    <w:p w14:paraId="7539A98B">
      <w:pPr>
        <w:rPr>
          <w:rFonts w:hint="eastAsia" w:ascii="Times New Roman" w:hAnsi="Times New Roman" w:eastAsia="楷体"/>
          <w:sz w:val="32"/>
          <w:szCs w:val="32"/>
        </w:rPr>
      </w:pPr>
    </w:p>
    <w:p w14:paraId="34C2894F">
      <w:pPr>
        <w:rPr>
          <w:rFonts w:hint="eastAsia" w:ascii="Times New Roman" w:hAnsi="Times New Roman" w:eastAsia="楷体"/>
          <w:sz w:val="32"/>
          <w:szCs w:val="32"/>
        </w:rPr>
      </w:pPr>
    </w:p>
    <w:p w14:paraId="5D634D75">
      <w:pPr>
        <w:rPr>
          <w:rFonts w:hint="eastAsia" w:ascii="Times New Roman" w:hAnsi="Times New Roman" w:eastAsia="楷体"/>
          <w:sz w:val="32"/>
          <w:szCs w:val="32"/>
        </w:rPr>
      </w:pPr>
    </w:p>
    <w:p w14:paraId="35B26229">
      <w:pPr>
        <w:rPr>
          <w:rFonts w:hint="eastAsia" w:ascii="Times New Roman" w:hAnsi="Times New Roman" w:eastAsia="楷体"/>
          <w:sz w:val="32"/>
          <w:szCs w:val="32"/>
        </w:rPr>
      </w:pPr>
    </w:p>
    <w:p w14:paraId="14F92CC5">
      <w:pPr>
        <w:rPr>
          <w:rFonts w:hint="eastAsia" w:ascii="Times New Roman" w:hAnsi="Times New Roman" w:eastAsia="楷体"/>
          <w:sz w:val="32"/>
          <w:szCs w:val="32"/>
        </w:rPr>
      </w:pPr>
    </w:p>
    <w:p w14:paraId="5F6F1E31">
      <w:pPr>
        <w:rPr>
          <w:rFonts w:hint="eastAsia" w:ascii="Times New Roman" w:hAnsi="Times New Roman" w:eastAsia="楷体"/>
          <w:sz w:val="32"/>
          <w:szCs w:val="32"/>
        </w:rPr>
      </w:pPr>
    </w:p>
    <w:p w14:paraId="4C673A82">
      <w:pPr>
        <w:rPr>
          <w:rFonts w:hint="eastAsia" w:ascii="Times New Roman" w:hAnsi="Times New Roman" w:eastAsia="楷体"/>
          <w:sz w:val="32"/>
          <w:szCs w:val="32"/>
        </w:rPr>
      </w:pPr>
    </w:p>
    <w:tbl>
      <w:tblPr>
        <w:tblStyle w:val="3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6"/>
      </w:tblGrid>
      <w:tr w14:paraId="345289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7043F5AA">
            <w:pPr>
              <w:rPr>
                <w:rFonts w:hint="default" w:ascii="Times New Roman" w:hAnsi="Times New Roman" w:eastAsia="楷体"/>
                <w:sz w:val="32"/>
                <w:szCs w:val="32"/>
                <w:vertAlign w:val="baseline"/>
                <w:lang w:val="en-US" w:eastAsia="zh-CN"/>
              </w:rPr>
            </w:pPr>
            <w:r>
              <w:rPr>
                <w:rFonts w:hint="eastAsia" w:ascii="Times New Roman" w:hAnsi="Times New Roman" w:eastAsia="楷体"/>
                <w:sz w:val="32"/>
                <w:szCs w:val="32"/>
                <w:vertAlign w:val="baseline"/>
                <w:lang w:val="en-US" w:eastAsia="zh-CN"/>
              </w:rPr>
              <w:t>附件2</w:t>
            </w:r>
          </w:p>
        </w:tc>
      </w:tr>
      <w:tr w14:paraId="517DF6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49E79411">
            <w:pPr>
              <w:rPr>
                <w:rFonts w:hint="eastAsia" w:ascii="Times New Roman" w:hAnsi="Times New Roman" w:eastAsia="楷体"/>
                <w:sz w:val="32"/>
                <w:szCs w:val="32"/>
                <w:vertAlign w:val="baseline"/>
              </w:rPr>
            </w:pPr>
            <w:r>
              <w:drawing>
                <wp:inline distT="0" distB="0" distL="114300" distR="114300">
                  <wp:extent cx="5247640" cy="7081520"/>
                  <wp:effectExtent l="0" t="0" r="10160" b="508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7"/>
                          <a:stretch>
                            <a:fillRect/>
                          </a:stretch>
                        </pic:blipFill>
                        <pic:spPr>
                          <a:xfrm>
                            <a:off x="0" y="0"/>
                            <a:ext cx="5247640" cy="7081520"/>
                          </a:xfrm>
                          <a:prstGeom prst="rect">
                            <a:avLst/>
                          </a:prstGeom>
                          <a:noFill/>
                          <a:ln>
                            <a:noFill/>
                          </a:ln>
                        </pic:spPr>
                      </pic:pic>
                    </a:graphicData>
                  </a:graphic>
                </wp:inline>
              </w:drawing>
            </w:r>
          </w:p>
        </w:tc>
      </w:tr>
      <w:tr w14:paraId="323188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5899787B">
            <w:pPr>
              <w:rPr>
                <w:rFonts w:hint="eastAsia" w:ascii="Times New Roman" w:hAnsi="Times New Roman" w:eastAsia="楷体"/>
                <w:sz w:val="32"/>
                <w:szCs w:val="32"/>
                <w:vertAlign w:val="baseline"/>
              </w:rPr>
            </w:pPr>
            <w:r>
              <w:drawing>
                <wp:inline distT="0" distB="0" distL="114300" distR="114300">
                  <wp:extent cx="5269865" cy="7599045"/>
                  <wp:effectExtent l="0" t="0" r="6985" b="190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8"/>
                          <a:stretch>
                            <a:fillRect/>
                          </a:stretch>
                        </pic:blipFill>
                        <pic:spPr>
                          <a:xfrm>
                            <a:off x="0" y="0"/>
                            <a:ext cx="5269865" cy="7599045"/>
                          </a:xfrm>
                          <a:prstGeom prst="rect">
                            <a:avLst/>
                          </a:prstGeom>
                          <a:noFill/>
                          <a:ln>
                            <a:noFill/>
                          </a:ln>
                        </pic:spPr>
                      </pic:pic>
                    </a:graphicData>
                  </a:graphic>
                </wp:inline>
              </w:drawing>
            </w:r>
          </w:p>
        </w:tc>
      </w:tr>
      <w:tr w14:paraId="013808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6269EC1A">
            <w:pPr>
              <w:rPr>
                <w:rFonts w:hint="eastAsia" w:ascii="Times New Roman" w:hAnsi="Times New Roman" w:eastAsia="楷体"/>
                <w:sz w:val="32"/>
                <w:szCs w:val="32"/>
                <w:vertAlign w:val="baseline"/>
              </w:rPr>
            </w:pPr>
            <w:r>
              <w:drawing>
                <wp:inline distT="0" distB="0" distL="114300" distR="114300">
                  <wp:extent cx="5269230" cy="7712075"/>
                  <wp:effectExtent l="0" t="0" r="7620" b="317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39"/>
                          <a:stretch>
                            <a:fillRect/>
                          </a:stretch>
                        </pic:blipFill>
                        <pic:spPr>
                          <a:xfrm>
                            <a:off x="0" y="0"/>
                            <a:ext cx="5269230" cy="7712075"/>
                          </a:xfrm>
                          <a:prstGeom prst="rect">
                            <a:avLst/>
                          </a:prstGeom>
                          <a:noFill/>
                          <a:ln>
                            <a:noFill/>
                          </a:ln>
                        </pic:spPr>
                      </pic:pic>
                    </a:graphicData>
                  </a:graphic>
                </wp:inline>
              </w:drawing>
            </w:r>
          </w:p>
        </w:tc>
      </w:tr>
      <w:tr w14:paraId="6C694D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20731B59">
            <w:pPr>
              <w:rPr>
                <w:rFonts w:hint="eastAsia" w:ascii="Times New Roman" w:hAnsi="Times New Roman" w:eastAsia="楷体"/>
                <w:sz w:val="32"/>
                <w:szCs w:val="32"/>
                <w:vertAlign w:val="baseline"/>
              </w:rPr>
            </w:pPr>
            <w:r>
              <w:drawing>
                <wp:inline distT="0" distB="0" distL="114300" distR="114300">
                  <wp:extent cx="5272405" cy="7412355"/>
                  <wp:effectExtent l="0" t="0" r="4445" b="1714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40"/>
                          <a:stretch>
                            <a:fillRect/>
                          </a:stretch>
                        </pic:blipFill>
                        <pic:spPr>
                          <a:xfrm>
                            <a:off x="0" y="0"/>
                            <a:ext cx="5272405" cy="7412355"/>
                          </a:xfrm>
                          <a:prstGeom prst="rect">
                            <a:avLst/>
                          </a:prstGeom>
                          <a:noFill/>
                          <a:ln>
                            <a:noFill/>
                          </a:ln>
                        </pic:spPr>
                      </pic:pic>
                    </a:graphicData>
                  </a:graphic>
                </wp:inline>
              </w:drawing>
            </w:r>
          </w:p>
        </w:tc>
      </w:tr>
      <w:tr w14:paraId="41BD99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06277F6A">
            <w:pPr>
              <w:rPr>
                <w:rFonts w:hint="eastAsia" w:ascii="Times New Roman" w:hAnsi="Times New Roman" w:eastAsia="楷体"/>
                <w:sz w:val="32"/>
                <w:szCs w:val="32"/>
                <w:vertAlign w:val="baseline"/>
                <w:lang w:val="en-US" w:eastAsia="zh-CN"/>
              </w:rPr>
            </w:pPr>
          </w:p>
          <w:p w14:paraId="35362A8A">
            <w:pPr>
              <w:rPr>
                <w:rFonts w:hint="eastAsia" w:ascii="Times New Roman" w:hAnsi="Times New Roman" w:eastAsia="楷体"/>
                <w:sz w:val="32"/>
                <w:szCs w:val="32"/>
                <w:vertAlign w:val="baseline"/>
                <w:lang w:val="en-US" w:eastAsia="zh-CN"/>
              </w:rPr>
            </w:pPr>
          </w:p>
          <w:p w14:paraId="6179CB32">
            <w:pPr>
              <w:rPr>
                <w:rFonts w:hint="eastAsia" w:ascii="Times New Roman" w:hAnsi="Times New Roman" w:eastAsia="楷体"/>
                <w:sz w:val="32"/>
                <w:szCs w:val="32"/>
                <w:vertAlign w:val="baseline"/>
                <w:lang w:val="en-US" w:eastAsia="zh-CN"/>
              </w:rPr>
            </w:pPr>
          </w:p>
          <w:p w14:paraId="54664BD8">
            <w:pPr>
              <w:rPr>
                <w:rFonts w:hint="default" w:ascii="Times New Roman" w:hAnsi="Times New Roman" w:eastAsia="楷体"/>
                <w:sz w:val="32"/>
                <w:szCs w:val="32"/>
                <w:vertAlign w:val="baseline"/>
                <w:lang w:val="en-US" w:eastAsia="zh-CN"/>
              </w:rPr>
            </w:pPr>
            <w:r>
              <w:rPr>
                <w:rFonts w:hint="eastAsia" w:ascii="Times New Roman" w:hAnsi="Times New Roman" w:eastAsia="楷体"/>
                <w:sz w:val="32"/>
                <w:szCs w:val="32"/>
                <w:vertAlign w:val="baseline"/>
                <w:lang w:val="en-US" w:eastAsia="zh-CN"/>
              </w:rPr>
              <w:t>附件3</w:t>
            </w:r>
          </w:p>
        </w:tc>
      </w:tr>
      <w:tr w14:paraId="7B4E6B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50638E76">
            <w:pPr>
              <w:rPr>
                <w:rFonts w:hint="eastAsia" w:ascii="Times New Roman" w:hAnsi="Times New Roman" w:eastAsia="楷体"/>
                <w:sz w:val="32"/>
                <w:szCs w:val="32"/>
                <w:vertAlign w:val="baseline"/>
              </w:rPr>
            </w:pPr>
            <w:r>
              <w:drawing>
                <wp:inline distT="0" distB="0" distL="114300" distR="114300">
                  <wp:extent cx="5269865" cy="7265035"/>
                  <wp:effectExtent l="0" t="0" r="6985" b="12065"/>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41"/>
                          <a:stretch>
                            <a:fillRect/>
                          </a:stretch>
                        </pic:blipFill>
                        <pic:spPr>
                          <a:xfrm>
                            <a:off x="0" y="0"/>
                            <a:ext cx="5269865" cy="7265035"/>
                          </a:xfrm>
                          <a:prstGeom prst="rect">
                            <a:avLst/>
                          </a:prstGeom>
                          <a:noFill/>
                          <a:ln>
                            <a:noFill/>
                          </a:ln>
                        </pic:spPr>
                      </pic:pic>
                    </a:graphicData>
                  </a:graphic>
                </wp:inline>
              </w:drawing>
            </w:r>
          </w:p>
        </w:tc>
      </w:tr>
      <w:tr w14:paraId="24ECAD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38A78DA6">
            <w:pPr>
              <w:rPr>
                <w:rFonts w:hint="eastAsia" w:ascii="Times New Roman" w:hAnsi="Times New Roman" w:eastAsia="楷体"/>
                <w:sz w:val="32"/>
                <w:szCs w:val="32"/>
                <w:vertAlign w:val="baseline"/>
              </w:rPr>
            </w:pPr>
            <w:r>
              <w:drawing>
                <wp:inline distT="0" distB="0" distL="114300" distR="114300">
                  <wp:extent cx="5272405" cy="7248525"/>
                  <wp:effectExtent l="0" t="0" r="4445" b="9525"/>
                  <wp:docPr id="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pic:cNvPicPr>
                            <a:picLocks noChangeAspect="1"/>
                          </pic:cNvPicPr>
                        </pic:nvPicPr>
                        <pic:blipFill>
                          <a:blip r:embed="rId42"/>
                          <a:stretch>
                            <a:fillRect/>
                          </a:stretch>
                        </pic:blipFill>
                        <pic:spPr>
                          <a:xfrm>
                            <a:off x="0" y="0"/>
                            <a:ext cx="5272405" cy="7248525"/>
                          </a:xfrm>
                          <a:prstGeom prst="rect">
                            <a:avLst/>
                          </a:prstGeom>
                          <a:noFill/>
                          <a:ln>
                            <a:noFill/>
                          </a:ln>
                        </pic:spPr>
                      </pic:pic>
                    </a:graphicData>
                  </a:graphic>
                </wp:inline>
              </w:drawing>
            </w:r>
          </w:p>
        </w:tc>
      </w:tr>
      <w:tr w14:paraId="03487E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1D24244D">
            <w:r>
              <w:drawing>
                <wp:inline distT="0" distB="0" distL="114300" distR="114300">
                  <wp:extent cx="5270500" cy="7616190"/>
                  <wp:effectExtent l="0" t="0" r="6350" b="3810"/>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43"/>
                          <a:stretch>
                            <a:fillRect/>
                          </a:stretch>
                        </pic:blipFill>
                        <pic:spPr>
                          <a:xfrm>
                            <a:off x="0" y="0"/>
                            <a:ext cx="5270500" cy="7616190"/>
                          </a:xfrm>
                          <a:prstGeom prst="rect">
                            <a:avLst/>
                          </a:prstGeom>
                          <a:noFill/>
                          <a:ln>
                            <a:noFill/>
                          </a:ln>
                        </pic:spPr>
                      </pic:pic>
                    </a:graphicData>
                  </a:graphic>
                </wp:inline>
              </w:drawing>
            </w:r>
          </w:p>
        </w:tc>
      </w:tr>
      <w:tr w14:paraId="79EF68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3FBEB1CD">
            <w:pPr>
              <w:rPr>
                <w:rFonts w:hint="eastAsia" w:ascii="Times New Roman" w:hAnsi="Times New Roman" w:eastAsia="楷体"/>
                <w:sz w:val="32"/>
                <w:szCs w:val="32"/>
                <w:vertAlign w:val="baseline"/>
                <w:lang w:val="en-US" w:eastAsia="zh-CN"/>
              </w:rPr>
            </w:pPr>
          </w:p>
          <w:p w14:paraId="0848E873">
            <w:pPr>
              <w:rPr>
                <w:rFonts w:hint="eastAsia" w:ascii="Times New Roman" w:hAnsi="Times New Roman" w:eastAsia="楷体"/>
                <w:sz w:val="32"/>
                <w:szCs w:val="32"/>
                <w:vertAlign w:val="baseline"/>
                <w:lang w:val="en-US" w:eastAsia="zh-CN"/>
              </w:rPr>
            </w:pPr>
          </w:p>
          <w:p w14:paraId="6A204822">
            <w:pPr>
              <w:rPr>
                <w:rFonts w:hint="default" w:eastAsia="宋体"/>
                <w:lang w:val="en-US" w:eastAsia="zh-CN"/>
              </w:rPr>
            </w:pPr>
            <w:r>
              <w:rPr>
                <w:rFonts w:hint="eastAsia" w:ascii="Times New Roman" w:hAnsi="Times New Roman" w:eastAsia="楷体"/>
                <w:sz w:val="32"/>
                <w:szCs w:val="32"/>
                <w:vertAlign w:val="baseline"/>
                <w:lang w:val="en-US" w:eastAsia="zh-CN"/>
              </w:rPr>
              <w:t>附件4</w:t>
            </w:r>
          </w:p>
        </w:tc>
      </w:tr>
      <w:tr w14:paraId="27D7F0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466C9775">
            <w:pPr>
              <w:rPr>
                <w:rFonts w:hint="eastAsia" w:ascii="Times New Roman" w:hAnsi="Times New Roman" w:eastAsia="楷体"/>
                <w:sz w:val="32"/>
                <w:szCs w:val="32"/>
                <w:vertAlign w:val="baseline"/>
                <w:lang w:val="en-US" w:eastAsia="zh-CN"/>
              </w:rPr>
            </w:pPr>
            <w:r>
              <w:drawing>
                <wp:inline distT="0" distB="0" distL="114300" distR="114300">
                  <wp:extent cx="5270500" cy="7475220"/>
                  <wp:effectExtent l="0" t="0" r="6350" b="11430"/>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pic:cNvPicPr>
                        </pic:nvPicPr>
                        <pic:blipFill>
                          <a:blip r:embed="rId44"/>
                          <a:stretch>
                            <a:fillRect/>
                          </a:stretch>
                        </pic:blipFill>
                        <pic:spPr>
                          <a:xfrm>
                            <a:off x="0" y="0"/>
                            <a:ext cx="5270500" cy="7475220"/>
                          </a:xfrm>
                          <a:prstGeom prst="rect">
                            <a:avLst/>
                          </a:prstGeom>
                          <a:noFill/>
                          <a:ln>
                            <a:noFill/>
                          </a:ln>
                        </pic:spPr>
                      </pic:pic>
                    </a:graphicData>
                  </a:graphic>
                </wp:inline>
              </w:drawing>
            </w:r>
          </w:p>
        </w:tc>
      </w:tr>
      <w:tr w14:paraId="5982D6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15DFA11F">
            <w:pPr>
              <w:rPr>
                <w:rFonts w:hint="eastAsia" w:ascii="Times New Roman" w:hAnsi="Times New Roman" w:eastAsia="楷体"/>
                <w:sz w:val="32"/>
                <w:szCs w:val="32"/>
                <w:vertAlign w:val="baseline"/>
                <w:lang w:val="en-US" w:eastAsia="zh-CN"/>
              </w:rPr>
            </w:pPr>
            <w:r>
              <w:drawing>
                <wp:inline distT="0" distB="0" distL="114300" distR="114300">
                  <wp:extent cx="5271135" cy="7426960"/>
                  <wp:effectExtent l="0" t="0" r="5715" b="2540"/>
                  <wp:docPr id="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
                          <pic:cNvPicPr>
                            <a:picLocks noChangeAspect="1"/>
                          </pic:cNvPicPr>
                        </pic:nvPicPr>
                        <pic:blipFill>
                          <a:blip r:embed="rId45"/>
                          <a:stretch>
                            <a:fillRect/>
                          </a:stretch>
                        </pic:blipFill>
                        <pic:spPr>
                          <a:xfrm>
                            <a:off x="0" y="0"/>
                            <a:ext cx="5271135" cy="7426960"/>
                          </a:xfrm>
                          <a:prstGeom prst="rect">
                            <a:avLst/>
                          </a:prstGeom>
                          <a:noFill/>
                          <a:ln>
                            <a:noFill/>
                          </a:ln>
                        </pic:spPr>
                      </pic:pic>
                    </a:graphicData>
                  </a:graphic>
                </wp:inline>
              </w:drawing>
            </w:r>
          </w:p>
        </w:tc>
      </w:tr>
      <w:tr w14:paraId="081435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4D1631EA">
            <w:pPr>
              <w:rPr>
                <w:rFonts w:hint="eastAsia" w:ascii="Times New Roman" w:hAnsi="Times New Roman" w:eastAsia="楷体"/>
                <w:sz w:val="32"/>
                <w:szCs w:val="32"/>
                <w:vertAlign w:val="baseline"/>
                <w:lang w:val="en-US" w:eastAsia="zh-CN"/>
              </w:rPr>
            </w:pPr>
            <w:r>
              <w:drawing>
                <wp:inline distT="0" distB="0" distL="114300" distR="114300">
                  <wp:extent cx="5274310" cy="7578725"/>
                  <wp:effectExtent l="0" t="0" r="2540" b="3175"/>
                  <wp:docPr id="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
                          <pic:cNvPicPr>
                            <a:picLocks noChangeAspect="1"/>
                          </pic:cNvPicPr>
                        </pic:nvPicPr>
                        <pic:blipFill>
                          <a:blip r:embed="rId46"/>
                          <a:stretch>
                            <a:fillRect/>
                          </a:stretch>
                        </pic:blipFill>
                        <pic:spPr>
                          <a:xfrm>
                            <a:off x="0" y="0"/>
                            <a:ext cx="5274310" cy="7578725"/>
                          </a:xfrm>
                          <a:prstGeom prst="rect">
                            <a:avLst/>
                          </a:prstGeom>
                          <a:noFill/>
                          <a:ln>
                            <a:noFill/>
                          </a:ln>
                        </pic:spPr>
                      </pic:pic>
                    </a:graphicData>
                  </a:graphic>
                </wp:inline>
              </w:drawing>
            </w:r>
          </w:p>
        </w:tc>
      </w:tr>
      <w:tr w14:paraId="214A7E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67AF05E2">
            <w:pPr>
              <w:rPr>
                <w:rFonts w:hint="eastAsia" w:ascii="Times New Roman" w:hAnsi="Times New Roman" w:eastAsia="楷体"/>
                <w:sz w:val="32"/>
                <w:szCs w:val="32"/>
                <w:vertAlign w:val="baseline"/>
                <w:lang w:val="en-US" w:eastAsia="zh-CN"/>
              </w:rPr>
            </w:pPr>
            <w:r>
              <w:drawing>
                <wp:inline distT="0" distB="0" distL="114300" distR="114300">
                  <wp:extent cx="5273040" cy="7517765"/>
                  <wp:effectExtent l="0" t="0" r="3810" b="6985"/>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47"/>
                          <a:stretch>
                            <a:fillRect/>
                          </a:stretch>
                        </pic:blipFill>
                        <pic:spPr>
                          <a:xfrm>
                            <a:off x="0" y="0"/>
                            <a:ext cx="5273040" cy="7517765"/>
                          </a:xfrm>
                          <a:prstGeom prst="rect">
                            <a:avLst/>
                          </a:prstGeom>
                          <a:noFill/>
                          <a:ln>
                            <a:noFill/>
                          </a:ln>
                        </pic:spPr>
                      </pic:pic>
                    </a:graphicData>
                  </a:graphic>
                </wp:inline>
              </w:drawing>
            </w:r>
          </w:p>
        </w:tc>
      </w:tr>
      <w:tr w14:paraId="667BF7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11AEEDAC">
            <w:pPr>
              <w:rPr>
                <w:rFonts w:hint="eastAsia" w:ascii="Times New Roman" w:hAnsi="Times New Roman" w:eastAsia="楷体"/>
                <w:sz w:val="32"/>
                <w:szCs w:val="32"/>
                <w:vertAlign w:val="baseline"/>
                <w:lang w:val="en-US" w:eastAsia="zh-CN"/>
              </w:rPr>
            </w:pPr>
            <w:r>
              <w:drawing>
                <wp:inline distT="0" distB="0" distL="114300" distR="114300">
                  <wp:extent cx="5267960" cy="7529830"/>
                  <wp:effectExtent l="0" t="0" r="8890" b="13970"/>
                  <wp:docPr id="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
                          <pic:cNvPicPr>
                            <a:picLocks noChangeAspect="1"/>
                          </pic:cNvPicPr>
                        </pic:nvPicPr>
                        <pic:blipFill>
                          <a:blip r:embed="rId48"/>
                          <a:stretch>
                            <a:fillRect/>
                          </a:stretch>
                        </pic:blipFill>
                        <pic:spPr>
                          <a:xfrm>
                            <a:off x="0" y="0"/>
                            <a:ext cx="5267960" cy="7529830"/>
                          </a:xfrm>
                          <a:prstGeom prst="rect">
                            <a:avLst/>
                          </a:prstGeom>
                          <a:noFill/>
                          <a:ln>
                            <a:noFill/>
                          </a:ln>
                        </pic:spPr>
                      </pic:pic>
                    </a:graphicData>
                  </a:graphic>
                </wp:inline>
              </w:drawing>
            </w:r>
          </w:p>
        </w:tc>
      </w:tr>
      <w:tr w14:paraId="34D7ED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0C8FC84C">
            <w:pPr>
              <w:rPr>
                <w:rFonts w:hint="eastAsia" w:ascii="Times New Roman" w:hAnsi="Times New Roman" w:eastAsia="楷体"/>
                <w:sz w:val="32"/>
                <w:szCs w:val="32"/>
                <w:vertAlign w:val="baseline"/>
                <w:lang w:val="en-US" w:eastAsia="zh-CN"/>
              </w:rPr>
            </w:pPr>
            <w:r>
              <w:drawing>
                <wp:inline distT="0" distB="0" distL="114300" distR="114300">
                  <wp:extent cx="5269865" cy="7502525"/>
                  <wp:effectExtent l="0" t="0" r="6985" b="3175"/>
                  <wp:docPr id="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
                          <pic:cNvPicPr>
                            <a:picLocks noChangeAspect="1"/>
                          </pic:cNvPicPr>
                        </pic:nvPicPr>
                        <pic:blipFill>
                          <a:blip r:embed="rId49"/>
                          <a:stretch>
                            <a:fillRect/>
                          </a:stretch>
                        </pic:blipFill>
                        <pic:spPr>
                          <a:xfrm>
                            <a:off x="0" y="0"/>
                            <a:ext cx="5269865" cy="7502525"/>
                          </a:xfrm>
                          <a:prstGeom prst="rect">
                            <a:avLst/>
                          </a:prstGeom>
                          <a:noFill/>
                          <a:ln>
                            <a:noFill/>
                          </a:ln>
                        </pic:spPr>
                      </pic:pic>
                    </a:graphicData>
                  </a:graphic>
                </wp:inline>
              </w:drawing>
            </w:r>
          </w:p>
        </w:tc>
      </w:tr>
      <w:tr w14:paraId="293248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67EDAB46">
            <w:pPr>
              <w:rPr>
                <w:rFonts w:hint="eastAsia" w:ascii="Times New Roman" w:hAnsi="Times New Roman" w:eastAsia="楷体"/>
                <w:sz w:val="32"/>
                <w:szCs w:val="32"/>
                <w:vertAlign w:val="baseline"/>
                <w:lang w:val="en-US" w:eastAsia="zh-CN"/>
              </w:rPr>
            </w:pPr>
            <w:r>
              <w:drawing>
                <wp:inline distT="0" distB="0" distL="114300" distR="114300">
                  <wp:extent cx="5267960" cy="7507605"/>
                  <wp:effectExtent l="0" t="0" r="8890" b="17145"/>
                  <wp:docPr id="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7"/>
                          <pic:cNvPicPr>
                            <a:picLocks noChangeAspect="1"/>
                          </pic:cNvPicPr>
                        </pic:nvPicPr>
                        <pic:blipFill>
                          <a:blip r:embed="rId50"/>
                          <a:stretch>
                            <a:fillRect/>
                          </a:stretch>
                        </pic:blipFill>
                        <pic:spPr>
                          <a:xfrm>
                            <a:off x="0" y="0"/>
                            <a:ext cx="5267960" cy="7507605"/>
                          </a:xfrm>
                          <a:prstGeom prst="rect">
                            <a:avLst/>
                          </a:prstGeom>
                          <a:noFill/>
                          <a:ln>
                            <a:noFill/>
                          </a:ln>
                        </pic:spPr>
                      </pic:pic>
                    </a:graphicData>
                  </a:graphic>
                </wp:inline>
              </w:drawing>
            </w:r>
          </w:p>
        </w:tc>
      </w:tr>
      <w:tr w14:paraId="7757AE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69CF3FC8">
            <w:pPr>
              <w:rPr>
                <w:rFonts w:hint="eastAsia" w:ascii="Times New Roman" w:hAnsi="Times New Roman" w:eastAsia="楷体"/>
                <w:sz w:val="32"/>
                <w:szCs w:val="32"/>
                <w:vertAlign w:val="baseline"/>
                <w:lang w:val="en-US" w:eastAsia="zh-CN"/>
              </w:rPr>
            </w:pPr>
            <w:r>
              <w:drawing>
                <wp:inline distT="0" distB="0" distL="114300" distR="114300">
                  <wp:extent cx="5273675" cy="7559040"/>
                  <wp:effectExtent l="0" t="0" r="3175" b="3810"/>
                  <wp:docPr id="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8"/>
                          <pic:cNvPicPr>
                            <a:picLocks noChangeAspect="1"/>
                          </pic:cNvPicPr>
                        </pic:nvPicPr>
                        <pic:blipFill>
                          <a:blip r:embed="rId51"/>
                          <a:stretch>
                            <a:fillRect/>
                          </a:stretch>
                        </pic:blipFill>
                        <pic:spPr>
                          <a:xfrm>
                            <a:off x="0" y="0"/>
                            <a:ext cx="5273675" cy="7559040"/>
                          </a:xfrm>
                          <a:prstGeom prst="rect">
                            <a:avLst/>
                          </a:prstGeom>
                          <a:noFill/>
                          <a:ln>
                            <a:noFill/>
                          </a:ln>
                        </pic:spPr>
                      </pic:pic>
                    </a:graphicData>
                  </a:graphic>
                </wp:inline>
              </w:drawing>
            </w:r>
          </w:p>
        </w:tc>
      </w:tr>
      <w:tr w14:paraId="25721A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0B6FE27F">
            <w:pPr>
              <w:rPr>
                <w:rFonts w:hint="eastAsia" w:ascii="Times New Roman" w:hAnsi="Times New Roman" w:eastAsia="楷体"/>
                <w:sz w:val="32"/>
                <w:szCs w:val="32"/>
                <w:vertAlign w:val="baseline"/>
                <w:lang w:val="en-US" w:eastAsia="zh-CN"/>
              </w:rPr>
            </w:pPr>
            <w:r>
              <w:drawing>
                <wp:inline distT="0" distB="0" distL="114300" distR="114300">
                  <wp:extent cx="5273675" cy="7552055"/>
                  <wp:effectExtent l="0" t="0" r="3175" b="10795"/>
                  <wp:docPr id="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
                          <pic:cNvPicPr>
                            <a:picLocks noChangeAspect="1"/>
                          </pic:cNvPicPr>
                        </pic:nvPicPr>
                        <pic:blipFill>
                          <a:blip r:embed="rId52"/>
                          <a:stretch>
                            <a:fillRect/>
                          </a:stretch>
                        </pic:blipFill>
                        <pic:spPr>
                          <a:xfrm>
                            <a:off x="0" y="0"/>
                            <a:ext cx="5273675" cy="7552055"/>
                          </a:xfrm>
                          <a:prstGeom prst="rect">
                            <a:avLst/>
                          </a:prstGeom>
                          <a:noFill/>
                          <a:ln>
                            <a:noFill/>
                          </a:ln>
                        </pic:spPr>
                      </pic:pic>
                    </a:graphicData>
                  </a:graphic>
                </wp:inline>
              </w:drawing>
            </w:r>
          </w:p>
        </w:tc>
      </w:tr>
      <w:tr w14:paraId="4F2FEA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15DC1092">
            <w:pPr>
              <w:rPr>
                <w:rFonts w:hint="eastAsia" w:ascii="Times New Roman" w:hAnsi="Times New Roman" w:eastAsia="楷体"/>
                <w:sz w:val="32"/>
                <w:szCs w:val="32"/>
                <w:vertAlign w:val="baseline"/>
                <w:lang w:val="en-US" w:eastAsia="zh-CN"/>
              </w:rPr>
            </w:pPr>
            <w:r>
              <w:drawing>
                <wp:inline distT="0" distB="0" distL="114300" distR="114300">
                  <wp:extent cx="5273040" cy="7541895"/>
                  <wp:effectExtent l="0" t="0" r="3810" b="1905"/>
                  <wp:docPr id="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pic:cNvPicPr>
                            <a:picLocks noChangeAspect="1"/>
                          </pic:cNvPicPr>
                        </pic:nvPicPr>
                        <pic:blipFill>
                          <a:blip r:embed="rId53"/>
                          <a:stretch>
                            <a:fillRect/>
                          </a:stretch>
                        </pic:blipFill>
                        <pic:spPr>
                          <a:xfrm>
                            <a:off x="0" y="0"/>
                            <a:ext cx="5273040" cy="7541895"/>
                          </a:xfrm>
                          <a:prstGeom prst="rect">
                            <a:avLst/>
                          </a:prstGeom>
                          <a:noFill/>
                          <a:ln>
                            <a:noFill/>
                          </a:ln>
                        </pic:spPr>
                      </pic:pic>
                    </a:graphicData>
                  </a:graphic>
                </wp:inline>
              </w:drawing>
            </w:r>
          </w:p>
        </w:tc>
      </w:tr>
      <w:tr w14:paraId="050BF6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1821B116">
            <w:pPr>
              <w:rPr>
                <w:rFonts w:hint="eastAsia" w:ascii="Times New Roman" w:hAnsi="Times New Roman" w:eastAsia="楷体"/>
                <w:sz w:val="32"/>
                <w:szCs w:val="32"/>
                <w:vertAlign w:val="baseline"/>
                <w:lang w:val="en-US" w:eastAsia="zh-CN"/>
              </w:rPr>
            </w:pPr>
            <w:r>
              <w:drawing>
                <wp:inline distT="0" distB="0" distL="114300" distR="114300">
                  <wp:extent cx="5269230" cy="7593330"/>
                  <wp:effectExtent l="0" t="0" r="7620" b="7620"/>
                  <wp:docPr id="6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1"/>
                          <pic:cNvPicPr>
                            <a:picLocks noChangeAspect="1"/>
                          </pic:cNvPicPr>
                        </pic:nvPicPr>
                        <pic:blipFill>
                          <a:blip r:embed="rId54"/>
                          <a:stretch>
                            <a:fillRect/>
                          </a:stretch>
                        </pic:blipFill>
                        <pic:spPr>
                          <a:xfrm>
                            <a:off x="0" y="0"/>
                            <a:ext cx="5269230" cy="7593330"/>
                          </a:xfrm>
                          <a:prstGeom prst="rect">
                            <a:avLst/>
                          </a:prstGeom>
                          <a:noFill/>
                          <a:ln>
                            <a:noFill/>
                          </a:ln>
                        </pic:spPr>
                      </pic:pic>
                    </a:graphicData>
                  </a:graphic>
                </wp:inline>
              </w:drawing>
            </w:r>
          </w:p>
        </w:tc>
      </w:tr>
    </w:tbl>
    <w:p w14:paraId="42910E99">
      <w:pPr>
        <w:rPr>
          <w:rFonts w:hint="eastAsia" w:ascii="Times New Roman" w:hAnsi="Times New Roman" w:eastAsia="楷体"/>
          <w:sz w:val="32"/>
          <w:szCs w:val="32"/>
        </w:rPr>
      </w:pPr>
    </w:p>
    <w:p w14:paraId="50EE0A10">
      <w:pPr>
        <w:rPr>
          <w:rFonts w:hint="default"/>
        </w:rPr>
        <w:sectPr>
          <w:pgSz w:w="11906" w:h="16838"/>
          <w:pgMar w:top="1800" w:right="1440" w:bottom="1800" w:left="1440" w:header="851" w:footer="992" w:gutter="0"/>
          <w:cols w:space="720" w:num="1"/>
          <w:docGrid w:type="lines" w:linePitch="312" w:charSpace="0"/>
        </w:sectPr>
      </w:pPr>
    </w:p>
    <w:p w14:paraId="6ECB7589">
      <w:pPr>
        <w:rPr>
          <w:rFonts w:hint="eastAsia" w:ascii="Times New Roman" w:hAnsi="Times New Roman" w:eastAsia="楷体"/>
          <w:color w:val="auto"/>
          <w:sz w:val="32"/>
          <w:szCs w:val="32"/>
          <w:highlight w:val="none"/>
          <w:u w:val="none" w:color="auto"/>
        </w:rPr>
      </w:pPr>
    </w:p>
    <w:p w14:paraId="56DF3DA2">
      <w:pPr>
        <w:rPr>
          <w:color w:val="auto"/>
          <w:highlight w:val="none"/>
          <w:u w:val="none" w:color="auto"/>
        </w:rPr>
      </w:pPr>
    </w:p>
    <w:p w14:paraId="715AC8A5">
      <w:pPr>
        <w:spacing w:line="360" w:lineRule="auto"/>
        <w:jc w:val="left"/>
        <w:rPr>
          <w:rFonts w:hint="default" w:ascii="Times New Roman" w:hAnsi="Times New Roman" w:cs="Times New Roman"/>
          <w:b/>
          <w:color w:val="auto"/>
          <w:sz w:val="24"/>
          <w:highlight w:val="none"/>
          <w:u w:val="none" w:color="auto"/>
        </w:rPr>
      </w:pPr>
    </w:p>
    <w:p w14:paraId="76D33F95">
      <w:pPr>
        <w:spacing w:line="360" w:lineRule="auto"/>
        <w:jc w:val="left"/>
        <w:rPr>
          <w:rFonts w:hint="default" w:ascii="Times New Roman" w:hAnsi="Times New Roman" w:cs="Times New Roman"/>
          <w:b/>
          <w:color w:val="auto"/>
          <w:sz w:val="24"/>
          <w:highlight w:val="none"/>
          <w:u w:val="none" w:color="auto"/>
        </w:rPr>
      </w:pPr>
    </w:p>
    <w:p w14:paraId="79589A55">
      <w:pPr>
        <w:pStyle w:val="66"/>
        <w:rPr>
          <w:rFonts w:hint="default" w:ascii="Times New Roman" w:hAnsi="Times New Roman" w:cs="Times New Roman"/>
          <w:color w:val="auto"/>
          <w:highlight w:val="none"/>
          <w:u w:val="none" w:color="auto"/>
        </w:rPr>
      </w:pPr>
    </w:p>
    <w:sectPr>
      <w:headerReference r:id="rId9" w:type="default"/>
      <w:footerReference r:id="rId10" w:type="default"/>
      <w:pgSz w:w="11906" w:h="16838"/>
      <w:pgMar w:top="1440" w:right="1797" w:bottom="1440" w:left="1797"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88"/>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D30EADF8-8343-409E-B4B9-9B2EAC4D5B85}"/>
  </w:font>
  <w:font w:name="黑体">
    <w:panose1 w:val="02010609060101010101"/>
    <w:charset w:val="86"/>
    <w:family w:val="auto"/>
    <w:pitch w:val="default"/>
    <w:sig w:usb0="800002BF" w:usb1="38CF7CFA" w:usb2="00000016" w:usb3="00000000" w:csb0="00040001" w:csb1="00000000"/>
    <w:embedRegular r:id="rId2" w:fontKey="{6E9C47CB-FBFA-4DD8-8B3C-1F686908C808}"/>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黑体..ā">
    <w:altName w:val="黑体"/>
    <w:panose1 w:val="00000000000000000000"/>
    <w:charset w:val="86"/>
    <w:family w:val="swiss"/>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00" w:usb3="00000000" w:csb0="00040000" w:csb1="00000000"/>
    <w:embedRegular r:id="rId3" w:fontKey="{074BE417-63F2-40C6-971D-292731723DAB}"/>
  </w:font>
  <w:font w:name="楷体">
    <w:panose1 w:val="02010609060101010101"/>
    <w:charset w:val="86"/>
    <w:family w:val="auto"/>
    <w:pitch w:val="default"/>
    <w:sig w:usb0="800002BF" w:usb1="38CF7CFA" w:usb2="00000016" w:usb3="00000000" w:csb0="00040001" w:csb1="00000000"/>
    <w:embedRegular r:id="rId4" w:fontKey="{BEDD8E30-C543-4D33-A851-529E5AE6ADC7}"/>
  </w:font>
  <w:font w:name="Tahoma">
    <w:panose1 w:val="020B0604030504040204"/>
    <w:charset w:val="00"/>
    <w:family w:val="swiss"/>
    <w:pitch w:val="default"/>
    <w:sig w:usb0="E1002EFF" w:usb1="C000605B" w:usb2="00000029" w:usb3="00000000" w:csb0="200101FF" w:csb1="20280000"/>
  </w:font>
  <w:font w:name="Impact">
    <w:panose1 w:val="020B0806030902050204"/>
    <w:charset w:val="00"/>
    <w:family w:val="swiss"/>
    <w:pitch w:val="default"/>
    <w:sig w:usb0="00000287" w:usb1="00000000" w:usb2="00000000" w:usb3="00000000" w:csb0="2000009F" w:csb1="DFD70000"/>
  </w:font>
  <w:font w:name="Times">
    <w:altName w:val="Times New Roman"/>
    <w:panose1 w:val="02020603050405020304"/>
    <w:charset w:val="00"/>
    <w:family w:val="roman"/>
    <w:pitch w:val="default"/>
    <w:sig w:usb0="00000000" w:usb1="00000000" w:usb2="00000009" w:usb3="00000000" w:csb0="000001FF" w:csb1="00000000"/>
  </w:font>
  <w:font w:name="Verdana">
    <w:panose1 w:val="020B0604030504040204"/>
    <w:charset w:val="00"/>
    <w:family w:val="swiss"/>
    <w:pitch w:val="default"/>
    <w:sig w:usb0="A00006FF" w:usb1="4000205B" w:usb2="00000010" w:usb3="00000000" w:csb0="2000019F" w:csb1="00000000"/>
  </w:font>
  <w:font w:name="仿宋_GB2312">
    <w:altName w:val="仿宋"/>
    <w:panose1 w:val="02010609030101010101"/>
    <w:charset w:val="86"/>
    <w:family w:val="roman"/>
    <w:pitch w:val="default"/>
    <w:sig w:usb0="00000000" w:usb1="00000000" w:usb2="00000000" w:usb3="00000000" w:csb0="00040000" w:csb1="00000000"/>
    <w:embedRegular r:id="rId5" w:fontKey="{52410A2C-D41A-4147-B723-13622592AF45}"/>
  </w:font>
  <w:font w:name="仿宋">
    <w:panose1 w:val="02010609060101010101"/>
    <w:charset w:val="86"/>
    <w:family w:val="modern"/>
    <w:pitch w:val="default"/>
    <w:sig w:usb0="800002BF" w:usb1="38CF7CFA" w:usb2="00000016" w:usb3="00000000" w:csb0="00040001" w:csb1="00000000"/>
    <w:embedRegular r:id="rId6" w:fontKey="{4B95E954-6297-4C40-B30D-0C4A8E7FDE68}"/>
  </w:font>
  <w:font w:name="仿宋体">
    <w:altName w:val="仿宋"/>
    <w:panose1 w:val="00000000000000000000"/>
    <w:charset w:val="86"/>
    <w:family w:val="roman"/>
    <w:pitch w:val="default"/>
    <w:sig w:usb0="00000000" w:usb1="00000000" w:usb2="00000010" w:usb3="00000000" w:csb0="00040000" w:csb1="00000000"/>
  </w:font>
  <w:font w:name="MingLiU">
    <w:altName w:val="PMingLiU-ExtB"/>
    <w:panose1 w:val="02010609000101010101"/>
    <w:charset w:val="88"/>
    <w:family w:val="modern"/>
    <w:pitch w:val="default"/>
    <w:sig w:usb0="00000000" w:usb1="00000000" w:usb2="00000010" w:usb3="00000000" w:csb0="00100000" w:csb1="00000000"/>
  </w:font>
  <w:font w:name="PMingLiU-ExtB">
    <w:panose1 w:val="02020500000000000000"/>
    <w:charset w:val="88"/>
    <w:family w:val="auto"/>
    <w:pitch w:val="default"/>
    <w:sig w:usb0="8000002F" w:usb1="02000008" w:usb2="00000000" w:usb3="00000000" w:csb0="00100001" w:csb1="00000000"/>
  </w:font>
  <w:font w:name="Helvetica">
    <w:altName w:val="Arial"/>
    <w:panose1 w:val="020B0604020202020204"/>
    <w:charset w:val="00"/>
    <w:family w:val="swiss"/>
    <w:pitch w:val="default"/>
    <w:sig w:usb0="00000000" w:usb1="00000000" w:usb2="00000000" w:usb3="00000000" w:csb0="00000001" w:csb1="00000000"/>
  </w:font>
  <w:font w:name="PMingLiU">
    <w:altName w:val="Microsoft JhengHei UI"/>
    <w:panose1 w:val="02010601000101010101"/>
    <w:charset w:val="88"/>
    <w:family w:val="auto"/>
    <w:pitch w:val="default"/>
    <w:sig w:usb0="00000000" w:usb1="00000000" w:usb2="00000010" w:usb3="00000000" w:csb0="00100000" w:csb1="00000000"/>
  </w:font>
  <w:font w:name="Microsoft JhengHei UI">
    <w:panose1 w:val="020B0604030504040204"/>
    <w:charset w:val="88"/>
    <w:family w:val="auto"/>
    <w:pitch w:val="default"/>
    <w:sig w:usb0="000002A7" w:usb1="28CF4400" w:usb2="00000016" w:usb3="00000000" w:csb0="00100009" w:csb1="00000000"/>
  </w:font>
  <w:font w:name="方正小标宋_GBK">
    <w:panose1 w:val="02000000000000000000"/>
    <w:charset w:val="86"/>
    <w:family w:val="script"/>
    <w:pitch w:val="default"/>
    <w:sig w:usb0="A00002BF" w:usb1="38CF7CFA" w:usb2="00082016" w:usb3="00000000" w:csb0="00040001" w:csb1="00000000"/>
    <w:embedRegular r:id="rId7" w:fontKey="{0B6D7962-3D33-4A67-AB5E-B6C77C289BF7}"/>
  </w:font>
  <w:font w:name="Wingdings 2">
    <w:panose1 w:val="05020102010507070707"/>
    <w:charset w:val="02"/>
    <w:family w:val="roman"/>
    <w:pitch w:val="default"/>
    <w:sig w:usb0="00000000" w:usb1="00000000" w:usb2="00000000" w:usb3="00000000" w:csb0="80000000" w:csb1="00000000"/>
    <w:embedRegular r:id="rId8" w:fontKey="{5B2BA688-3BB1-4E84-AA1B-B8CCB749711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EC82BF">
    <w:pPr>
      <w:pStyle w:val="24"/>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62"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253DC981">
                          <w:pPr>
                            <w:pStyle w:val="24"/>
                          </w:pPr>
                          <w:r>
                            <w:fldChar w:fldCharType="begin"/>
                          </w:r>
                          <w:r>
                            <w:instrText xml:space="preserve"> PAGE  \* MERGEFORMAT </w:instrText>
                          </w:r>
                          <w:r>
                            <w:fldChar w:fldCharType="separate"/>
                          </w:r>
                          <w:r>
                            <w:t>84</w:t>
                          </w:r>
                          <w:r>
                            <w:fldChar w:fldCharType="end"/>
                          </w:r>
                        </w:p>
                      </w:txbxContent>
                    </wps:txbx>
                    <wps:bodyPr vert="horz" wrap="none" lIns="0" tIns="0" rIns="0" bIns="0" anchor="t" anchorCtr="0">
                      <a:spAutoFit/>
                    </wps:bodyPr>
                  </wps:wsp>
                </a:graphicData>
              </a:graphic>
            </wp:anchor>
          </w:drawing>
        </mc:Choice>
        <mc:Fallback>
          <w:pict>
            <v:shape id="文本框 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DOqXm5zwAAAAUBAAAPAAAAAAAAAAEAIAAA&#10;ACIAAABkcnMvZG93bnJldi54bWxQSwECFAAUAAAACACHTuJA6xdoUNwBAADBAwAADgAAAAAAAAAB&#10;ACAAAAAeAQAAZHJzL2Uyb0RvYy54bWxQSwUGAAAAAAYABgBZAQAAbAUAAAAA&#10;">
              <v:fill on="f" focussize="0,0"/>
              <v:stroke on="f"/>
              <v:imagedata o:title=""/>
              <o:lock v:ext="edit" aspectratio="f"/>
              <v:textbox inset="0mm,0mm,0mm,0mm" style="mso-fit-shape-to-text:t;">
                <w:txbxContent>
                  <w:p w14:paraId="253DC981">
                    <w:pPr>
                      <w:pStyle w:val="24"/>
                    </w:pPr>
                    <w:r>
                      <w:fldChar w:fldCharType="begin"/>
                    </w:r>
                    <w:r>
                      <w:instrText xml:space="preserve"> PAGE  \* MERGEFORMAT </w:instrText>
                    </w:r>
                    <w:r>
                      <w:fldChar w:fldCharType="separate"/>
                    </w:r>
                    <w:r>
                      <w:t>84</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69B413">
    <w:pPr>
      <w:pStyle w:val="24"/>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4FB663B5">
                          <w:pPr>
                            <w:pStyle w:val="24"/>
                          </w:pPr>
                          <w:r>
                            <w:fldChar w:fldCharType="begin"/>
                          </w:r>
                          <w:r>
                            <w:instrText xml:space="preserve"> PAGE  \* MERGEFORMAT </w:instrText>
                          </w:r>
                          <w:r>
                            <w:fldChar w:fldCharType="separate"/>
                          </w:r>
                          <w:r>
                            <w:t>122</w:t>
                          </w:r>
                          <w:r>
                            <w:fldChar w:fldCharType="end"/>
                          </w:r>
                        </w:p>
                      </w:txbxContent>
                    </wps:txbx>
                    <wps:bodyPr vert="horz" wrap="none" lIns="0" tIns="0" rIns="0" bIns="0" anchor="t" anchorCtr="0">
                      <a:spAutoFit/>
                    </wps:bodyPr>
                  </wps:wsp>
                </a:graphicData>
              </a:graphic>
            </wp:anchor>
          </w:drawing>
        </mc:Choice>
        <mc:Fallback>
          <w:pict>
            <v:shape id="文本框 7"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DOqXm5zwAAAAUBAAAPAAAAAAAAAAEAIAAA&#10;ACIAAABkcnMvZG93bnJldi54bWxQSwECFAAUAAAACACHTuJAr6hvnNwBAADBAwAADgAAAAAAAAAB&#10;ACAAAAAeAQAAZHJzL2Uyb0RvYy54bWxQSwUGAAAAAAYABgBZAQAAbAUAAAAA&#10;">
              <v:fill on="f" focussize="0,0"/>
              <v:stroke on="f"/>
              <v:imagedata o:title=""/>
              <o:lock v:ext="edit" aspectratio="f"/>
              <v:textbox inset="0mm,0mm,0mm,0mm" style="mso-fit-shape-to-text:t;">
                <w:txbxContent>
                  <w:p w14:paraId="4FB663B5">
                    <w:pPr>
                      <w:pStyle w:val="24"/>
                    </w:pPr>
                    <w:r>
                      <w:fldChar w:fldCharType="begin"/>
                    </w:r>
                    <w:r>
                      <w:instrText xml:space="preserve"> PAGE  \* MERGEFORMAT </w:instrText>
                    </w:r>
                    <w:r>
                      <w:fldChar w:fldCharType="separate"/>
                    </w:r>
                    <w:r>
                      <w:t>122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CD580">
    <w:pPr>
      <w:pStyle w:val="24"/>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2"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55987BE5">
                          <w:pPr>
                            <w:pStyle w:val="24"/>
                          </w:pPr>
                          <w:r>
                            <w:fldChar w:fldCharType="begin"/>
                          </w:r>
                          <w:r>
                            <w:instrText xml:space="preserve"> PAGE  \* MERGEFORMAT </w:instrText>
                          </w:r>
                          <w:r>
                            <w:fldChar w:fldCharType="separate"/>
                          </w:r>
                          <w:r>
                            <w:t>143</w:t>
                          </w:r>
                          <w:r>
                            <w:fldChar w:fldCharType="end"/>
                          </w:r>
                        </w:p>
                      </w:txbxContent>
                    </wps:txbx>
                    <wps:bodyPr vert="horz" wrap="none" lIns="0" tIns="0" rIns="0" bIns="0" anchor="t" anchorCtr="0">
                      <a:spAutoFit/>
                    </wps:bodyPr>
                  </wps:wsp>
                </a:graphicData>
              </a:graphic>
            </wp:anchor>
          </w:drawing>
        </mc:Choice>
        <mc:Fallback>
          <w:pict>
            <v:shape id="文本框 8"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DOqXm5zwAAAAUBAAAPAAAAAAAAAAEAIAAA&#10;ACIAAABkcnMvZG93bnJldi54bWxQSwECFAAUAAAACACHTuJAL/PSUNwBAADBAwAADgAAAAAAAAAB&#10;ACAAAAAeAQAAZHJzL2Uyb0RvYy54bWxQSwUGAAAAAAYABgBZAQAAbAUAAAAA&#10;">
              <v:fill on="f" focussize="0,0"/>
              <v:stroke on="f"/>
              <v:imagedata o:title=""/>
              <o:lock v:ext="edit" aspectratio="f"/>
              <v:textbox inset="0mm,0mm,0mm,0mm" style="mso-fit-shape-to-text:t;">
                <w:txbxContent>
                  <w:p w14:paraId="55987BE5">
                    <w:pPr>
                      <w:pStyle w:val="24"/>
                    </w:pPr>
                    <w:r>
                      <w:fldChar w:fldCharType="begin"/>
                    </w:r>
                    <w:r>
                      <w:instrText xml:space="preserve"> PAGE  \* MERGEFORMAT </w:instrText>
                    </w:r>
                    <w:r>
                      <w:fldChar w:fldCharType="separate"/>
                    </w:r>
                    <w:r>
                      <w:t>143</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A427D7">
    <w:pPr>
      <w:pStyle w:val="24"/>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0326C7">
    <w:pPr>
      <w:pStyle w:val="2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FF31BC">
    <w:pPr>
      <w:spacing w:line="14" w:lineRule="auto"/>
      <w:rPr>
        <w:rFonts w:ascii="Arial"/>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44C1D4">
    <w:pPr>
      <w:spacing w:line="14" w:lineRule="auto"/>
      <w:rPr>
        <w:rFonts w:ascii="Arial"/>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9D6866">
    <w:pPr>
      <w:pStyle w:val="25"/>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971626"/>
    <w:multiLevelType w:val="singleLevel"/>
    <w:tmpl w:val="89971626"/>
    <w:lvl w:ilvl="0" w:tentative="0">
      <w:start w:val="3"/>
      <w:numFmt w:val="decimal"/>
      <w:suff w:val="nothing"/>
      <w:lvlText w:val="（%1）"/>
      <w:lvlJc w:val="left"/>
    </w:lvl>
  </w:abstractNum>
  <w:abstractNum w:abstractNumId="1">
    <w:nsid w:val="B017D54F"/>
    <w:multiLevelType w:val="singleLevel"/>
    <w:tmpl w:val="B017D54F"/>
    <w:lvl w:ilvl="0" w:tentative="0">
      <w:start w:val="1"/>
      <w:numFmt w:val="decimal"/>
      <w:suff w:val="nothing"/>
      <w:lvlText w:val="%1、"/>
      <w:lvlJc w:val="left"/>
    </w:lvl>
  </w:abstractNum>
  <w:abstractNum w:abstractNumId="2">
    <w:nsid w:val="D0D818DE"/>
    <w:multiLevelType w:val="singleLevel"/>
    <w:tmpl w:val="D0D818DE"/>
    <w:lvl w:ilvl="0" w:tentative="0">
      <w:start w:val="1"/>
      <w:numFmt w:val="bullet"/>
      <w:pStyle w:val="9"/>
      <w:lvlText w:val=""/>
      <w:lvlJc w:val="left"/>
      <w:pPr>
        <w:tabs>
          <w:tab w:val="left" w:pos="780"/>
        </w:tabs>
        <w:ind w:left="780" w:hanging="360"/>
      </w:pPr>
      <w:rPr>
        <w:rFonts w:hint="default" w:ascii="Wingdings" w:hAnsi="Wingdings"/>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2"/>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kyODc4MTEyYjdlYzIwZTFlMDQ4NjE3NDJjODY5OTUifQ=="/>
  </w:docVars>
  <w:rsids>
    <w:rsidRoot w:val="00A14947"/>
    <w:rsid w:val="00001AD1"/>
    <w:rsid w:val="000026F0"/>
    <w:rsid w:val="00002A2E"/>
    <w:rsid w:val="00002DA8"/>
    <w:rsid w:val="000055EE"/>
    <w:rsid w:val="000060B3"/>
    <w:rsid w:val="00011C22"/>
    <w:rsid w:val="00014881"/>
    <w:rsid w:val="000179F8"/>
    <w:rsid w:val="00017F37"/>
    <w:rsid w:val="00024E9A"/>
    <w:rsid w:val="00027FAC"/>
    <w:rsid w:val="00030078"/>
    <w:rsid w:val="00031EAA"/>
    <w:rsid w:val="00032432"/>
    <w:rsid w:val="00033669"/>
    <w:rsid w:val="000363E2"/>
    <w:rsid w:val="000424E1"/>
    <w:rsid w:val="0004282C"/>
    <w:rsid w:val="0004364B"/>
    <w:rsid w:val="00044581"/>
    <w:rsid w:val="0004502D"/>
    <w:rsid w:val="00052129"/>
    <w:rsid w:val="00052A25"/>
    <w:rsid w:val="00056606"/>
    <w:rsid w:val="000574F1"/>
    <w:rsid w:val="00060975"/>
    <w:rsid w:val="0006182F"/>
    <w:rsid w:val="00061B1F"/>
    <w:rsid w:val="0006315C"/>
    <w:rsid w:val="00070702"/>
    <w:rsid w:val="00071AFE"/>
    <w:rsid w:val="00071BE6"/>
    <w:rsid w:val="000733C4"/>
    <w:rsid w:val="00074783"/>
    <w:rsid w:val="00075E94"/>
    <w:rsid w:val="00077247"/>
    <w:rsid w:val="0008070B"/>
    <w:rsid w:val="000810AC"/>
    <w:rsid w:val="00081A02"/>
    <w:rsid w:val="00082231"/>
    <w:rsid w:val="00082F36"/>
    <w:rsid w:val="000841FA"/>
    <w:rsid w:val="00086F5F"/>
    <w:rsid w:val="00087A44"/>
    <w:rsid w:val="000927C9"/>
    <w:rsid w:val="00092D38"/>
    <w:rsid w:val="0009377B"/>
    <w:rsid w:val="00095491"/>
    <w:rsid w:val="000A0F23"/>
    <w:rsid w:val="000A20C9"/>
    <w:rsid w:val="000A2D3B"/>
    <w:rsid w:val="000A46D2"/>
    <w:rsid w:val="000A4B08"/>
    <w:rsid w:val="000A6496"/>
    <w:rsid w:val="000A6CA4"/>
    <w:rsid w:val="000A7E2F"/>
    <w:rsid w:val="000B058F"/>
    <w:rsid w:val="000B0BD0"/>
    <w:rsid w:val="000B4467"/>
    <w:rsid w:val="000B4D8E"/>
    <w:rsid w:val="000B4DB9"/>
    <w:rsid w:val="000B5339"/>
    <w:rsid w:val="000B5D5B"/>
    <w:rsid w:val="000C09AC"/>
    <w:rsid w:val="000C0EC2"/>
    <w:rsid w:val="000C26B2"/>
    <w:rsid w:val="000C2A92"/>
    <w:rsid w:val="000C2DEB"/>
    <w:rsid w:val="000C61BC"/>
    <w:rsid w:val="000C7005"/>
    <w:rsid w:val="000C767F"/>
    <w:rsid w:val="000D3FF5"/>
    <w:rsid w:val="000D5A44"/>
    <w:rsid w:val="000D5E50"/>
    <w:rsid w:val="000D70EE"/>
    <w:rsid w:val="000D7551"/>
    <w:rsid w:val="000E16A2"/>
    <w:rsid w:val="000E252A"/>
    <w:rsid w:val="000E3ED2"/>
    <w:rsid w:val="000E4245"/>
    <w:rsid w:val="000E4C5F"/>
    <w:rsid w:val="000E689A"/>
    <w:rsid w:val="000F0051"/>
    <w:rsid w:val="000F01C6"/>
    <w:rsid w:val="000F158A"/>
    <w:rsid w:val="000F2CC9"/>
    <w:rsid w:val="000F3E23"/>
    <w:rsid w:val="000F4694"/>
    <w:rsid w:val="000F5979"/>
    <w:rsid w:val="000F6441"/>
    <w:rsid w:val="000F760E"/>
    <w:rsid w:val="00104F76"/>
    <w:rsid w:val="001101D6"/>
    <w:rsid w:val="001115CD"/>
    <w:rsid w:val="00112314"/>
    <w:rsid w:val="0011393C"/>
    <w:rsid w:val="00114DBB"/>
    <w:rsid w:val="001179D9"/>
    <w:rsid w:val="00125428"/>
    <w:rsid w:val="00131F42"/>
    <w:rsid w:val="001357F1"/>
    <w:rsid w:val="0014069A"/>
    <w:rsid w:val="00140FA8"/>
    <w:rsid w:val="001411B0"/>
    <w:rsid w:val="00141E72"/>
    <w:rsid w:val="00142FEB"/>
    <w:rsid w:val="00143A2D"/>
    <w:rsid w:val="00144FA6"/>
    <w:rsid w:val="00145A41"/>
    <w:rsid w:val="00151675"/>
    <w:rsid w:val="00151AA6"/>
    <w:rsid w:val="00154D84"/>
    <w:rsid w:val="001554AA"/>
    <w:rsid w:val="00157435"/>
    <w:rsid w:val="001603C6"/>
    <w:rsid w:val="00162726"/>
    <w:rsid w:val="00165129"/>
    <w:rsid w:val="001658E1"/>
    <w:rsid w:val="00166688"/>
    <w:rsid w:val="0017188A"/>
    <w:rsid w:val="0017504D"/>
    <w:rsid w:val="0017671A"/>
    <w:rsid w:val="00177422"/>
    <w:rsid w:val="001776E4"/>
    <w:rsid w:val="0018012F"/>
    <w:rsid w:val="0018064B"/>
    <w:rsid w:val="0018451D"/>
    <w:rsid w:val="00184590"/>
    <w:rsid w:val="001870D1"/>
    <w:rsid w:val="0018781E"/>
    <w:rsid w:val="00192295"/>
    <w:rsid w:val="00192455"/>
    <w:rsid w:val="0019262D"/>
    <w:rsid w:val="0019620A"/>
    <w:rsid w:val="00197085"/>
    <w:rsid w:val="001A0C42"/>
    <w:rsid w:val="001A124A"/>
    <w:rsid w:val="001A1B35"/>
    <w:rsid w:val="001A2E74"/>
    <w:rsid w:val="001A442D"/>
    <w:rsid w:val="001A4892"/>
    <w:rsid w:val="001A48A2"/>
    <w:rsid w:val="001A6F61"/>
    <w:rsid w:val="001B0070"/>
    <w:rsid w:val="001B203B"/>
    <w:rsid w:val="001B674B"/>
    <w:rsid w:val="001B72B8"/>
    <w:rsid w:val="001C00B0"/>
    <w:rsid w:val="001C474B"/>
    <w:rsid w:val="001C57D9"/>
    <w:rsid w:val="001C69B3"/>
    <w:rsid w:val="001D0B9D"/>
    <w:rsid w:val="001D1150"/>
    <w:rsid w:val="001D24AA"/>
    <w:rsid w:val="001D2687"/>
    <w:rsid w:val="001D443B"/>
    <w:rsid w:val="001D5595"/>
    <w:rsid w:val="001D5FD4"/>
    <w:rsid w:val="001D6B0D"/>
    <w:rsid w:val="001D6FDF"/>
    <w:rsid w:val="001D7874"/>
    <w:rsid w:val="001D7F22"/>
    <w:rsid w:val="001E04D9"/>
    <w:rsid w:val="001E0F2D"/>
    <w:rsid w:val="001E4321"/>
    <w:rsid w:val="001E4E7D"/>
    <w:rsid w:val="001E5722"/>
    <w:rsid w:val="001E7B4D"/>
    <w:rsid w:val="001F04B3"/>
    <w:rsid w:val="001F0F17"/>
    <w:rsid w:val="001F0F46"/>
    <w:rsid w:val="001F1ACF"/>
    <w:rsid w:val="001F2A1E"/>
    <w:rsid w:val="001F2B87"/>
    <w:rsid w:val="001F3347"/>
    <w:rsid w:val="001F69E4"/>
    <w:rsid w:val="001F7C34"/>
    <w:rsid w:val="00201A41"/>
    <w:rsid w:val="00202710"/>
    <w:rsid w:val="00203E17"/>
    <w:rsid w:val="00204446"/>
    <w:rsid w:val="00204927"/>
    <w:rsid w:val="00206BAD"/>
    <w:rsid w:val="00210269"/>
    <w:rsid w:val="002125B4"/>
    <w:rsid w:val="002130C5"/>
    <w:rsid w:val="00213D11"/>
    <w:rsid w:val="00213DF4"/>
    <w:rsid w:val="002155B8"/>
    <w:rsid w:val="0021567D"/>
    <w:rsid w:val="00222DB0"/>
    <w:rsid w:val="002230C2"/>
    <w:rsid w:val="00224839"/>
    <w:rsid w:val="002249B2"/>
    <w:rsid w:val="00224F44"/>
    <w:rsid w:val="0022656C"/>
    <w:rsid w:val="00226574"/>
    <w:rsid w:val="002275CC"/>
    <w:rsid w:val="002278EC"/>
    <w:rsid w:val="0023132A"/>
    <w:rsid w:val="0023280E"/>
    <w:rsid w:val="002344D4"/>
    <w:rsid w:val="002349BD"/>
    <w:rsid w:val="002355A3"/>
    <w:rsid w:val="002377D1"/>
    <w:rsid w:val="002401D3"/>
    <w:rsid w:val="00241932"/>
    <w:rsid w:val="00243499"/>
    <w:rsid w:val="00243C51"/>
    <w:rsid w:val="002474B4"/>
    <w:rsid w:val="002506BC"/>
    <w:rsid w:val="00250A58"/>
    <w:rsid w:val="0025248A"/>
    <w:rsid w:val="00254345"/>
    <w:rsid w:val="00256F2C"/>
    <w:rsid w:val="00260752"/>
    <w:rsid w:val="00263B51"/>
    <w:rsid w:val="00264557"/>
    <w:rsid w:val="00265726"/>
    <w:rsid w:val="002704CF"/>
    <w:rsid w:val="002726EA"/>
    <w:rsid w:val="00272A48"/>
    <w:rsid w:val="00272EE3"/>
    <w:rsid w:val="002733C3"/>
    <w:rsid w:val="00273F9F"/>
    <w:rsid w:val="00277ABD"/>
    <w:rsid w:val="002805AB"/>
    <w:rsid w:val="0028099B"/>
    <w:rsid w:val="002829FA"/>
    <w:rsid w:val="00284204"/>
    <w:rsid w:val="00284BAB"/>
    <w:rsid w:val="002850DF"/>
    <w:rsid w:val="00285F34"/>
    <w:rsid w:val="0028691F"/>
    <w:rsid w:val="002877D1"/>
    <w:rsid w:val="00291773"/>
    <w:rsid w:val="002919F2"/>
    <w:rsid w:val="002A168C"/>
    <w:rsid w:val="002A251E"/>
    <w:rsid w:val="002A379F"/>
    <w:rsid w:val="002A3B12"/>
    <w:rsid w:val="002A3DC7"/>
    <w:rsid w:val="002A43D7"/>
    <w:rsid w:val="002A654D"/>
    <w:rsid w:val="002B3126"/>
    <w:rsid w:val="002B32EC"/>
    <w:rsid w:val="002B3CF0"/>
    <w:rsid w:val="002B3E6D"/>
    <w:rsid w:val="002B49E2"/>
    <w:rsid w:val="002B57D4"/>
    <w:rsid w:val="002B7B00"/>
    <w:rsid w:val="002B7C44"/>
    <w:rsid w:val="002C080C"/>
    <w:rsid w:val="002C2B17"/>
    <w:rsid w:val="002C390D"/>
    <w:rsid w:val="002C77D7"/>
    <w:rsid w:val="002D3DD0"/>
    <w:rsid w:val="002D4C7F"/>
    <w:rsid w:val="002E1F3A"/>
    <w:rsid w:val="002E298A"/>
    <w:rsid w:val="002E2CC2"/>
    <w:rsid w:val="002E317E"/>
    <w:rsid w:val="002E554C"/>
    <w:rsid w:val="002F1582"/>
    <w:rsid w:val="002F3074"/>
    <w:rsid w:val="002F3205"/>
    <w:rsid w:val="002F50FB"/>
    <w:rsid w:val="00300910"/>
    <w:rsid w:val="00301978"/>
    <w:rsid w:val="00301B69"/>
    <w:rsid w:val="00302063"/>
    <w:rsid w:val="0030332C"/>
    <w:rsid w:val="003051C2"/>
    <w:rsid w:val="00312296"/>
    <w:rsid w:val="00312C02"/>
    <w:rsid w:val="00314F0E"/>
    <w:rsid w:val="00320EC0"/>
    <w:rsid w:val="00321D8E"/>
    <w:rsid w:val="00322CC4"/>
    <w:rsid w:val="00325928"/>
    <w:rsid w:val="00326506"/>
    <w:rsid w:val="0032759E"/>
    <w:rsid w:val="00327753"/>
    <w:rsid w:val="00332863"/>
    <w:rsid w:val="0033332B"/>
    <w:rsid w:val="00333B2B"/>
    <w:rsid w:val="003346AD"/>
    <w:rsid w:val="0033684D"/>
    <w:rsid w:val="003369A4"/>
    <w:rsid w:val="00336C9A"/>
    <w:rsid w:val="00337B42"/>
    <w:rsid w:val="00340519"/>
    <w:rsid w:val="00341B42"/>
    <w:rsid w:val="00342434"/>
    <w:rsid w:val="0034348F"/>
    <w:rsid w:val="003446E7"/>
    <w:rsid w:val="00345B94"/>
    <w:rsid w:val="00346C2D"/>
    <w:rsid w:val="00347566"/>
    <w:rsid w:val="00352074"/>
    <w:rsid w:val="0035440A"/>
    <w:rsid w:val="00356653"/>
    <w:rsid w:val="00356B8A"/>
    <w:rsid w:val="0035743F"/>
    <w:rsid w:val="00357BE2"/>
    <w:rsid w:val="0036170C"/>
    <w:rsid w:val="00363513"/>
    <w:rsid w:val="00363915"/>
    <w:rsid w:val="00366E0F"/>
    <w:rsid w:val="003709E2"/>
    <w:rsid w:val="00371062"/>
    <w:rsid w:val="00372611"/>
    <w:rsid w:val="00373386"/>
    <w:rsid w:val="00373E66"/>
    <w:rsid w:val="00373FA5"/>
    <w:rsid w:val="00375535"/>
    <w:rsid w:val="003774D4"/>
    <w:rsid w:val="00377FD3"/>
    <w:rsid w:val="00381A72"/>
    <w:rsid w:val="00383260"/>
    <w:rsid w:val="00383E9F"/>
    <w:rsid w:val="003845F2"/>
    <w:rsid w:val="00384676"/>
    <w:rsid w:val="00390857"/>
    <w:rsid w:val="00393F52"/>
    <w:rsid w:val="003A4BF3"/>
    <w:rsid w:val="003A5185"/>
    <w:rsid w:val="003A6B83"/>
    <w:rsid w:val="003A7B73"/>
    <w:rsid w:val="003B0732"/>
    <w:rsid w:val="003B1754"/>
    <w:rsid w:val="003B1E42"/>
    <w:rsid w:val="003B41C6"/>
    <w:rsid w:val="003B420D"/>
    <w:rsid w:val="003B6684"/>
    <w:rsid w:val="003C2465"/>
    <w:rsid w:val="003C36A9"/>
    <w:rsid w:val="003C653E"/>
    <w:rsid w:val="003C6C16"/>
    <w:rsid w:val="003D248D"/>
    <w:rsid w:val="003D40E5"/>
    <w:rsid w:val="003D42BD"/>
    <w:rsid w:val="003D65FE"/>
    <w:rsid w:val="003D794D"/>
    <w:rsid w:val="003E11F1"/>
    <w:rsid w:val="003E2C03"/>
    <w:rsid w:val="003E3058"/>
    <w:rsid w:val="003E4811"/>
    <w:rsid w:val="003E70C6"/>
    <w:rsid w:val="003E7194"/>
    <w:rsid w:val="003E73A6"/>
    <w:rsid w:val="003E76A9"/>
    <w:rsid w:val="003E7E4A"/>
    <w:rsid w:val="003F0809"/>
    <w:rsid w:val="003F084E"/>
    <w:rsid w:val="003F415A"/>
    <w:rsid w:val="003F6047"/>
    <w:rsid w:val="003F69FB"/>
    <w:rsid w:val="003F6A8C"/>
    <w:rsid w:val="003F7365"/>
    <w:rsid w:val="003F755C"/>
    <w:rsid w:val="00400A7B"/>
    <w:rsid w:val="004050A9"/>
    <w:rsid w:val="00406F01"/>
    <w:rsid w:val="004125F1"/>
    <w:rsid w:val="00412A16"/>
    <w:rsid w:val="0041527F"/>
    <w:rsid w:val="00416D50"/>
    <w:rsid w:val="00416FD5"/>
    <w:rsid w:val="00417772"/>
    <w:rsid w:val="004179B1"/>
    <w:rsid w:val="00420E65"/>
    <w:rsid w:val="00420E6A"/>
    <w:rsid w:val="004259C0"/>
    <w:rsid w:val="00425A9E"/>
    <w:rsid w:val="00426B2C"/>
    <w:rsid w:val="00426D6B"/>
    <w:rsid w:val="00427DE8"/>
    <w:rsid w:val="00430E0D"/>
    <w:rsid w:val="00431190"/>
    <w:rsid w:val="0043144E"/>
    <w:rsid w:val="00431B71"/>
    <w:rsid w:val="00431DD0"/>
    <w:rsid w:val="00431E6C"/>
    <w:rsid w:val="004337DA"/>
    <w:rsid w:val="00433CE7"/>
    <w:rsid w:val="00434D52"/>
    <w:rsid w:val="00434D75"/>
    <w:rsid w:val="00437D74"/>
    <w:rsid w:val="0044183C"/>
    <w:rsid w:val="00444EA6"/>
    <w:rsid w:val="004463C4"/>
    <w:rsid w:val="00447BE3"/>
    <w:rsid w:val="004507FE"/>
    <w:rsid w:val="00451E8C"/>
    <w:rsid w:val="00452738"/>
    <w:rsid w:val="00455CF8"/>
    <w:rsid w:val="00456091"/>
    <w:rsid w:val="004573E1"/>
    <w:rsid w:val="00457FEE"/>
    <w:rsid w:val="00460147"/>
    <w:rsid w:val="0046120F"/>
    <w:rsid w:val="00461929"/>
    <w:rsid w:val="004623FE"/>
    <w:rsid w:val="00463BC8"/>
    <w:rsid w:val="00463C66"/>
    <w:rsid w:val="004643CF"/>
    <w:rsid w:val="00466321"/>
    <w:rsid w:val="0047011B"/>
    <w:rsid w:val="00470250"/>
    <w:rsid w:val="0047365D"/>
    <w:rsid w:val="004736BE"/>
    <w:rsid w:val="00474AFE"/>
    <w:rsid w:val="00477105"/>
    <w:rsid w:val="00482453"/>
    <w:rsid w:val="00484B9B"/>
    <w:rsid w:val="004855F6"/>
    <w:rsid w:val="0048592D"/>
    <w:rsid w:val="0048661E"/>
    <w:rsid w:val="0048782F"/>
    <w:rsid w:val="00494670"/>
    <w:rsid w:val="00494B9F"/>
    <w:rsid w:val="00495D73"/>
    <w:rsid w:val="00497871"/>
    <w:rsid w:val="00497D30"/>
    <w:rsid w:val="004A0791"/>
    <w:rsid w:val="004A1E1B"/>
    <w:rsid w:val="004A1F50"/>
    <w:rsid w:val="004A20AC"/>
    <w:rsid w:val="004A36A3"/>
    <w:rsid w:val="004A3823"/>
    <w:rsid w:val="004B21F1"/>
    <w:rsid w:val="004B7CB1"/>
    <w:rsid w:val="004C0844"/>
    <w:rsid w:val="004C37CB"/>
    <w:rsid w:val="004C577A"/>
    <w:rsid w:val="004C605D"/>
    <w:rsid w:val="004D17BA"/>
    <w:rsid w:val="004D1888"/>
    <w:rsid w:val="004D1DB1"/>
    <w:rsid w:val="004D2F6C"/>
    <w:rsid w:val="004D62FE"/>
    <w:rsid w:val="004D7FAA"/>
    <w:rsid w:val="004E2054"/>
    <w:rsid w:val="004E24EF"/>
    <w:rsid w:val="004E36D6"/>
    <w:rsid w:val="004E3E13"/>
    <w:rsid w:val="004E6946"/>
    <w:rsid w:val="004E6B79"/>
    <w:rsid w:val="004F1AD8"/>
    <w:rsid w:val="004F270E"/>
    <w:rsid w:val="004F2C74"/>
    <w:rsid w:val="00501370"/>
    <w:rsid w:val="005039CB"/>
    <w:rsid w:val="00503BAB"/>
    <w:rsid w:val="0050558F"/>
    <w:rsid w:val="00505B8B"/>
    <w:rsid w:val="00506286"/>
    <w:rsid w:val="0051017A"/>
    <w:rsid w:val="00510813"/>
    <w:rsid w:val="00511352"/>
    <w:rsid w:val="00511990"/>
    <w:rsid w:val="00511DE0"/>
    <w:rsid w:val="005123DF"/>
    <w:rsid w:val="00513319"/>
    <w:rsid w:val="00513E01"/>
    <w:rsid w:val="00514870"/>
    <w:rsid w:val="00514B9B"/>
    <w:rsid w:val="00515C5A"/>
    <w:rsid w:val="00516209"/>
    <w:rsid w:val="00516EFE"/>
    <w:rsid w:val="005170BF"/>
    <w:rsid w:val="00517F02"/>
    <w:rsid w:val="0052026D"/>
    <w:rsid w:val="00520808"/>
    <w:rsid w:val="0052234A"/>
    <w:rsid w:val="00524303"/>
    <w:rsid w:val="00524479"/>
    <w:rsid w:val="00524D81"/>
    <w:rsid w:val="005258A2"/>
    <w:rsid w:val="00526010"/>
    <w:rsid w:val="00526665"/>
    <w:rsid w:val="00526BFB"/>
    <w:rsid w:val="00527EB4"/>
    <w:rsid w:val="005302B1"/>
    <w:rsid w:val="005321F8"/>
    <w:rsid w:val="0053288A"/>
    <w:rsid w:val="005377BF"/>
    <w:rsid w:val="005401AE"/>
    <w:rsid w:val="00542E07"/>
    <w:rsid w:val="0054373D"/>
    <w:rsid w:val="00543A63"/>
    <w:rsid w:val="00543E01"/>
    <w:rsid w:val="00545424"/>
    <w:rsid w:val="00546236"/>
    <w:rsid w:val="0055022F"/>
    <w:rsid w:val="00550BA7"/>
    <w:rsid w:val="005515C9"/>
    <w:rsid w:val="00551D62"/>
    <w:rsid w:val="005525B8"/>
    <w:rsid w:val="005537EF"/>
    <w:rsid w:val="00554A7B"/>
    <w:rsid w:val="0055572C"/>
    <w:rsid w:val="00555E0B"/>
    <w:rsid w:val="005567FE"/>
    <w:rsid w:val="0055729E"/>
    <w:rsid w:val="00557452"/>
    <w:rsid w:val="00557E43"/>
    <w:rsid w:val="0056106A"/>
    <w:rsid w:val="005620CC"/>
    <w:rsid w:val="00562B3A"/>
    <w:rsid w:val="00564716"/>
    <w:rsid w:val="00564B2A"/>
    <w:rsid w:val="005655C9"/>
    <w:rsid w:val="005656F9"/>
    <w:rsid w:val="005662AC"/>
    <w:rsid w:val="00572037"/>
    <w:rsid w:val="005720AE"/>
    <w:rsid w:val="005772F4"/>
    <w:rsid w:val="00581EBE"/>
    <w:rsid w:val="005876EC"/>
    <w:rsid w:val="00587CB5"/>
    <w:rsid w:val="00593914"/>
    <w:rsid w:val="00594808"/>
    <w:rsid w:val="00594D77"/>
    <w:rsid w:val="005969E4"/>
    <w:rsid w:val="00596FAF"/>
    <w:rsid w:val="005A06B7"/>
    <w:rsid w:val="005A1759"/>
    <w:rsid w:val="005A2898"/>
    <w:rsid w:val="005A293A"/>
    <w:rsid w:val="005A2B19"/>
    <w:rsid w:val="005A68A7"/>
    <w:rsid w:val="005A770C"/>
    <w:rsid w:val="005A7B91"/>
    <w:rsid w:val="005A7C8D"/>
    <w:rsid w:val="005B19BF"/>
    <w:rsid w:val="005B2B5B"/>
    <w:rsid w:val="005B4BC1"/>
    <w:rsid w:val="005B5E32"/>
    <w:rsid w:val="005C14B6"/>
    <w:rsid w:val="005C59B9"/>
    <w:rsid w:val="005D0B2A"/>
    <w:rsid w:val="005D1931"/>
    <w:rsid w:val="005D2817"/>
    <w:rsid w:val="005D36AB"/>
    <w:rsid w:val="005D3AA0"/>
    <w:rsid w:val="005D4F62"/>
    <w:rsid w:val="005D5B8D"/>
    <w:rsid w:val="005D5D9D"/>
    <w:rsid w:val="005D7B3F"/>
    <w:rsid w:val="005E1734"/>
    <w:rsid w:val="005E5747"/>
    <w:rsid w:val="005E66E8"/>
    <w:rsid w:val="005E7B51"/>
    <w:rsid w:val="005F02C0"/>
    <w:rsid w:val="005F0518"/>
    <w:rsid w:val="005F3445"/>
    <w:rsid w:val="005F6113"/>
    <w:rsid w:val="005F684B"/>
    <w:rsid w:val="005F752D"/>
    <w:rsid w:val="00600886"/>
    <w:rsid w:val="00601571"/>
    <w:rsid w:val="00603A87"/>
    <w:rsid w:val="00605379"/>
    <w:rsid w:val="006123E5"/>
    <w:rsid w:val="00612EC6"/>
    <w:rsid w:val="00617CC3"/>
    <w:rsid w:val="00621825"/>
    <w:rsid w:val="00623475"/>
    <w:rsid w:val="00625D4B"/>
    <w:rsid w:val="00626314"/>
    <w:rsid w:val="006265AE"/>
    <w:rsid w:val="006267E1"/>
    <w:rsid w:val="00632AC7"/>
    <w:rsid w:val="00632CE0"/>
    <w:rsid w:val="0063558A"/>
    <w:rsid w:val="0063617C"/>
    <w:rsid w:val="0063642D"/>
    <w:rsid w:val="00636EF7"/>
    <w:rsid w:val="006377A6"/>
    <w:rsid w:val="00637A3D"/>
    <w:rsid w:val="00640CD5"/>
    <w:rsid w:val="00640F93"/>
    <w:rsid w:val="006411EF"/>
    <w:rsid w:val="0064240E"/>
    <w:rsid w:val="006435BC"/>
    <w:rsid w:val="0064366E"/>
    <w:rsid w:val="006509DE"/>
    <w:rsid w:val="00651D74"/>
    <w:rsid w:val="00653226"/>
    <w:rsid w:val="00654372"/>
    <w:rsid w:val="00655019"/>
    <w:rsid w:val="00655804"/>
    <w:rsid w:val="00657E15"/>
    <w:rsid w:val="00660CE3"/>
    <w:rsid w:val="00663BB3"/>
    <w:rsid w:val="00663F93"/>
    <w:rsid w:val="006712ED"/>
    <w:rsid w:val="00671F9C"/>
    <w:rsid w:val="006733EC"/>
    <w:rsid w:val="0067395E"/>
    <w:rsid w:val="006748B8"/>
    <w:rsid w:val="00675348"/>
    <w:rsid w:val="00676052"/>
    <w:rsid w:val="00676BE8"/>
    <w:rsid w:val="006775C3"/>
    <w:rsid w:val="006779B3"/>
    <w:rsid w:val="00680B62"/>
    <w:rsid w:val="006835F5"/>
    <w:rsid w:val="00685ED2"/>
    <w:rsid w:val="0068680C"/>
    <w:rsid w:val="00686CE4"/>
    <w:rsid w:val="00690766"/>
    <w:rsid w:val="00690B55"/>
    <w:rsid w:val="00690CC8"/>
    <w:rsid w:val="0069258A"/>
    <w:rsid w:val="00692726"/>
    <w:rsid w:val="0069290A"/>
    <w:rsid w:val="00692AED"/>
    <w:rsid w:val="00694B5C"/>
    <w:rsid w:val="006966D1"/>
    <w:rsid w:val="00696843"/>
    <w:rsid w:val="0069775A"/>
    <w:rsid w:val="00697813"/>
    <w:rsid w:val="006A36EC"/>
    <w:rsid w:val="006A3EE8"/>
    <w:rsid w:val="006A4874"/>
    <w:rsid w:val="006A510F"/>
    <w:rsid w:val="006A58B7"/>
    <w:rsid w:val="006A72BF"/>
    <w:rsid w:val="006B03F2"/>
    <w:rsid w:val="006B2E66"/>
    <w:rsid w:val="006B37DC"/>
    <w:rsid w:val="006B407C"/>
    <w:rsid w:val="006B4F68"/>
    <w:rsid w:val="006B529D"/>
    <w:rsid w:val="006B6857"/>
    <w:rsid w:val="006B693B"/>
    <w:rsid w:val="006B782C"/>
    <w:rsid w:val="006B78E3"/>
    <w:rsid w:val="006C0592"/>
    <w:rsid w:val="006C272E"/>
    <w:rsid w:val="006C3D25"/>
    <w:rsid w:val="006C49A9"/>
    <w:rsid w:val="006C5479"/>
    <w:rsid w:val="006C5687"/>
    <w:rsid w:val="006C7345"/>
    <w:rsid w:val="006C770D"/>
    <w:rsid w:val="006D0EE3"/>
    <w:rsid w:val="006D13B5"/>
    <w:rsid w:val="006D6BA8"/>
    <w:rsid w:val="006E12FF"/>
    <w:rsid w:val="006E3AFA"/>
    <w:rsid w:val="006E525E"/>
    <w:rsid w:val="006E607E"/>
    <w:rsid w:val="006E6B23"/>
    <w:rsid w:val="006F1D12"/>
    <w:rsid w:val="006F3770"/>
    <w:rsid w:val="006F3D47"/>
    <w:rsid w:val="006F523F"/>
    <w:rsid w:val="00702D30"/>
    <w:rsid w:val="007041E3"/>
    <w:rsid w:val="00704EFC"/>
    <w:rsid w:val="00706C5D"/>
    <w:rsid w:val="007075CE"/>
    <w:rsid w:val="00714252"/>
    <w:rsid w:val="0071444C"/>
    <w:rsid w:val="00715B7B"/>
    <w:rsid w:val="00720BEE"/>
    <w:rsid w:val="00721DCC"/>
    <w:rsid w:val="00723B55"/>
    <w:rsid w:val="00724DE7"/>
    <w:rsid w:val="00725C93"/>
    <w:rsid w:val="0072624F"/>
    <w:rsid w:val="007265D9"/>
    <w:rsid w:val="007271B0"/>
    <w:rsid w:val="007314DA"/>
    <w:rsid w:val="00732922"/>
    <w:rsid w:val="00735E43"/>
    <w:rsid w:val="00736304"/>
    <w:rsid w:val="00736E54"/>
    <w:rsid w:val="0073700D"/>
    <w:rsid w:val="0073722B"/>
    <w:rsid w:val="00737425"/>
    <w:rsid w:val="0073750A"/>
    <w:rsid w:val="00740132"/>
    <w:rsid w:val="0074241D"/>
    <w:rsid w:val="0074272F"/>
    <w:rsid w:val="00747F36"/>
    <w:rsid w:val="0075161E"/>
    <w:rsid w:val="0075162E"/>
    <w:rsid w:val="007526A1"/>
    <w:rsid w:val="00754034"/>
    <w:rsid w:val="0075411B"/>
    <w:rsid w:val="00756556"/>
    <w:rsid w:val="007618C4"/>
    <w:rsid w:val="00763EC4"/>
    <w:rsid w:val="00765D4B"/>
    <w:rsid w:val="00767980"/>
    <w:rsid w:val="00770627"/>
    <w:rsid w:val="00770B19"/>
    <w:rsid w:val="00770C81"/>
    <w:rsid w:val="0077266C"/>
    <w:rsid w:val="0077463F"/>
    <w:rsid w:val="00781A87"/>
    <w:rsid w:val="007836EA"/>
    <w:rsid w:val="00783C0F"/>
    <w:rsid w:val="00784CDA"/>
    <w:rsid w:val="00785A62"/>
    <w:rsid w:val="007906C4"/>
    <w:rsid w:val="00791030"/>
    <w:rsid w:val="00792625"/>
    <w:rsid w:val="00793A6F"/>
    <w:rsid w:val="007940EA"/>
    <w:rsid w:val="00795ED4"/>
    <w:rsid w:val="007967E8"/>
    <w:rsid w:val="007A056B"/>
    <w:rsid w:val="007A0E29"/>
    <w:rsid w:val="007A2170"/>
    <w:rsid w:val="007A22BF"/>
    <w:rsid w:val="007A2FD5"/>
    <w:rsid w:val="007A3323"/>
    <w:rsid w:val="007A3A0B"/>
    <w:rsid w:val="007A4EDE"/>
    <w:rsid w:val="007A6771"/>
    <w:rsid w:val="007A75B5"/>
    <w:rsid w:val="007B2389"/>
    <w:rsid w:val="007B2A1D"/>
    <w:rsid w:val="007B35EA"/>
    <w:rsid w:val="007B3BAE"/>
    <w:rsid w:val="007B6164"/>
    <w:rsid w:val="007B72B8"/>
    <w:rsid w:val="007B7A58"/>
    <w:rsid w:val="007C0B9E"/>
    <w:rsid w:val="007C10EE"/>
    <w:rsid w:val="007C21B5"/>
    <w:rsid w:val="007D02F2"/>
    <w:rsid w:val="007D1C12"/>
    <w:rsid w:val="007D1E63"/>
    <w:rsid w:val="007D330C"/>
    <w:rsid w:val="007D7C68"/>
    <w:rsid w:val="007E154B"/>
    <w:rsid w:val="007E4BD2"/>
    <w:rsid w:val="007F3886"/>
    <w:rsid w:val="007F4867"/>
    <w:rsid w:val="007F61E3"/>
    <w:rsid w:val="007F7198"/>
    <w:rsid w:val="00800B4A"/>
    <w:rsid w:val="00800E7D"/>
    <w:rsid w:val="00801393"/>
    <w:rsid w:val="00802F88"/>
    <w:rsid w:val="00803751"/>
    <w:rsid w:val="008059D3"/>
    <w:rsid w:val="00806115"/>
    <w:rsid w:val="0081293E"/>
    <w:rsid w:val="00813058"/>
    <w:rsid w:val="00815465"/>
    <w:rsid w:val="00816AA7"/>
    <w:rsid w:val="008174A7"/>
    <w:rsid w:val="00817E9A"/>
    <w:rsid w:val="0082041E"/>
    <w:rsid w:val="00821073"/>
    <w:rsid w:val="00822054"/>
    <w:rsid w:val="00824777"/>
    <w:rsid w:val="00824A38"/>
    <w:rsid w:val="00824BAE"/>
    <w:rsid w:val="008258CE"/>
    <w:rsid w:val="00826E25"/>
    <w:rsid w:val="008306BD"/>
    <w:rsid w:val="00831A80"/>
    <w:rsid w:val="0083262D"/>
    <w:rsid w:val="00833743"/>
    <w:rsid w:val="008340A4"/>
    <w:rsid w:val="00840250"/>
    <w:rsid w:val="00841425"/>
    <w:rsid w:val="00842D79"/>
    <w:rsid w:val="008460D4"/>
    <w:rsid w:val="00846D40"/>
    <w:rsid w:val="00847AA2"/>
    <w:rsid w:val="0085049F"/>
    <w:rsid w:val="00852189"/>
    <w:rsid w:val="00852E12"/>
    <w:rsid w:val="00855DE7"/>
    <w:rsid w:val="00856DEB"/>
    <w:rsid w:val="0086106F"/>
    <w:rsid w:val="00864209"/>
    <w:rsid w:val="0086634D"/>
    <w:rsid w:val="008673B0"/>
    <w:rsid w:val="0087135F"/>
    <w:rsid w:val="008714B8"/>
    <w:rsid w:val="00872D94"/>
    <w:rsid w:val="00880364"/>
    <w:rsid w:val="00886D8A"/>
    <w:rsid w:val="00891592"/>
    <w:rsid w:val="00891E9E"/>
    <w:rsid w:val="0089519A"/>
    <w:rsid w:val="0089601C"/>
    <w:rsid w:val="008A0672"/>
    <w:rsid w:val="008A2F68"/>
    <w:rsid w:val="008A5DA9"/>
    <w:rsid w:val="008A6278"/>
    <w:rsid w:val="008A73CA"/>
    <w:rsid w:val="008A745A"/>
    <w:rsid w:val="008B0503"/>
    <w:rsid w:val="008B0C34"/>
    <w:rsid w:val="008B1BCF"/>
    <w:rsid w:val="008B2C27"/>
    <w:rsid w:val="008B3874"/>
    <w:rsid w:val="008B49F3"/>
    <w:rsid w:val="008B4FA6"/>
    <w:rsid w:val="008B5282"/>
    <w:rsid w:val="008B6576"/>
    <w:rsid w:val="008B7C17"/>
    <w:rsid w:val="008C0606"/>
    <w:rsid w:val="008C2D01"/>
    <w:rsid w:val="008C3F34"/>
    <w:rsid w:val="008C40E6"/>
    <w:rsid w:val="008C6158"/>
    <w:rsid w:val="008C6E04"/>
    <w:rsid w:val="008D0B09"/>
    <w:rsid w:val="008D0F7A"/>
    <w:rsid w:val="008D6776"/>
    <w:rsid w:val="008D68E4"/>
    <w:rsid w:val="008D7B85"/>
    <w:rsid w:val="008E0506"/>
    <w:rsid w:val="008E0802"/>
    <w:rsid w:val="008E0CFF"/>
    <w:rsid w:val="008E2DA6"/>
    <w:rsid w:val="008E3059"/>
    <w:rsid w:val="008E5D6B"/>
    <w:rsid w:val="008E76F0"/>
    <w:rsid w:val="008F15FE"/>
    <w:rsid w:val="008F2D29"/>
    <w:rsid w:val="008F33F2"/>
    <w:rsid w:val="008F3965"/>
    <w:rsid w:val="008F3D9E"/>
    <w:rsid w:val="008F5187"/>
    <w:rsid w:val="008F60D8"/>
    <w:rsid w:val="008F6659"/>
    <w:rsid w:val="008F727F"/>
    <w:rsid w:val="00902727"/>
    <w:rsid w:val="00902773"/>
    <w:rsid w:val="0090312B"/>
    <w:rsid w:val="00911053"/>
    <w:rsid w:val="00912AB6"/>
    <w:rsid w:val="00913980"/>
    <w:rsid w:val="00913FC8"/>
    <w:rsid w:val="00915157"/>
    <w:rsid w:val="0091736D"/>
    <w:rsid w:val="00920FF5"/>
    <w:rsid w:val="00922A66"/>
    <w:rsid w:val="0093037A"/>
    <w:rsid w:val="00930AF9"/>
    <w:rsid w:val="0093248F"/>
    <w:rsid w:val="00933749"/>
    <w:rsid w:val="0093376A"/>
    <w:rsid w:val="009349C1"/>
    <w:rsid w:val="00935D05"/>
    <w:rsid w:val="0094154D"/>
    <w:rsid w:val="00942523"/>
    <w:rsid w:val="00946625"/>
    <w:rsid w:val="00947409"/>
    <w:rsid w:val="00947673"/>
    <w:rsid w:val="00947C67"/>
    <w:rsid w:val="0095155F"/>
    <w:rsid w:val="0095175C"/>
    <w:rsid w:val="00951A88"/>
    <w:rsid w:val="009521B6"/>
    <w:rsid w:val="00952A4A"/>
    <w:rsid w:val="009542AD"/>
    <w:rsid w:val="00954429"/>
    <w:rsid w:val="0095617A"/>
    <w:rsid w:val="009563CE"/>
    <w:rsid w:val="00957538"/>
    <w:rsid w:val="009628D9"/>
    <w:rsid w:val="00962C51"/>
    <w:rsid w:val="0096426A"/>
    <w:rsid w:val="00974433"/>
    <w:rsid w:val="00974C15"/>
    <w:rsid w:val="00976328"/>
    <w:rsid w:val="0097680D"/>
    <w:rsid w:val="00977060"/>
    <w:rsid w:val="00977C9C"/>
    <w:rsid w:val="0098165A"/>
    <w:rsid w:val="00981E8C"/>
    <w:rsid w:val="00982438"/>
    <w:rsid w:val="0098404C"/>
    <w:rsid w:val="00985283"/>
    <w:rsid w:val="0098629A"/>
    <w:rsid w:val="00986457"/>
    <w:rsid w:val="00986971"/>
    <w:rsid w:val="009869EA"/>
    <w:rsid w:val="00987739"/>
    <w:rsid w:val="0099005D"/>
    <w:rsid w:val="0099125F"/>
    <w:rsid w:val="0099223A"/>
    <w:rsid w:val="00995724"/>
    <w:rsid w:val="00995992"/>
    <w:rsid w:val="009974B8"/>
    <w:rsid w:val="00997DAB"/>
    <w:rsid w:val="009A03E5"/>
    <w:rsid w:val="009A0670"/>
    <w:rsid w:val="009A0F3B"/>
    <w:rsid w:val="009A1368"/>
    <w:rsid w:val="009A1BB4"/>
    <w:rsid w:val="009A2628"/>
    <w:rsid w:val="009A3200"/>
    <w:rsid w:val="009A4238"/>
    <w:rsid w:val="009A450B"/>
    <w:rsid w:val="009A4E4F"/>
    <w:rsid w:val="009A5446"/>
    <w:rsid w:val="009B0897"/>
    <w:rsid w:val="009B2553"/>
    <w:rsid w:val="009B3BDA"/>
    <w:rsid w:val="009B51CC"/>
    <w:rsid w:val="009B5DEE"/>
    <w:rsid w:val="009B7BD9"/>
    <w:rsid w:val="009C0256"/>
    <w:rsid w:val="009C0454"/>
    <w:rsid w:val="009C10D4"/>
    <w:rsid w:val="009C1BD1"/>
    <w:rsid w:val="009C1D5C"/>
    <w:rsid w:val="009C5D85"/>
    <w:rsid w:val="009C739C"/>
    <w:rsid w:val="009C7DD5"/>
    <w:rsid w:val="009D0018"/>
    <w:rsid w:val="009D2245"/>
    <w:rsid w:val="009D2E81"/>
    <w:rsid w:val="009D3153"/>
    <w:rsid w:val="009D3A1A"/>
    <w:rsid w:val="009D41BE"/>
    <w:rsid w:val="009D51B7"/>
    <w:rsid w:val="009D5AF1"/>
    <w:rsid w:val="009D7BBE"/>
    <w:rsid w:val="009E1E13"/>
    <w:rsid w:val="009E227D"/>
    <w:rsid w:val="009E263A"/>
    <w:rsid w:val="009E3AE8"/>
    <w:rsid w:val="009E5019"/>
    <w:rsid w:val="009E72FA"/>
    <w:rsid w:val="009E7408"/>
    <w:rsid w:val="009F128E"/>
    <w:rsid w:val="009F4C79"/>
    <w:rsid w:val="00A00665"/>
    <w:rsid w:val="00A04F1B"/>
    <w:rsid w:val="00A0501B"/>
    <w:rsid w:val="00A07748"/>
    <w:rsid w:val="00A07912"/>
    <w:rsid w:val="00A07A58"/>
    <w:rsid w:val="00A14947"/>
    <w:rsid w:val="00A16AB6"/>
    <w:rsid w:val="00A17324"/>
    <w:rsid w:val="00A24BA1"/>
    <w:rsid w:val="00A3195A"/>
    <w:rsid w:val="00A32113"/>
    <w:rsid w:val="00A32A83"/>
    <w:rsid w:val="00A32B2B"/>
    <w:rsid w:val="00A35435"/>
    <w:rsid w:val="00A367C5"/>
    <w:rsid w:val="00A368DB"/>
    <w:rsid w:val="00A36987"/>
    <w:rsid w:val="00A371AF"/>
    <w:rsid w:val="00A37473"/>
    <w:rsid w:val="00A37C89"/>
    <w:rsid w:val="00A405EB"/>
    <w:rsid w:val="00A41651"/>
    <w:rsid w:val="00A423AA"/>
    <w:rsid w:val="00A46685"/>
    <w:rsid w:val="00A52E38"/>
    <w:rsid w:val="00A53EC6"/>
    <w:rsid w:val="00A55C0F"/>
    <w:rsid w:val="00A622B0"/>
    <w:rsid w:val="00A64261"/>
    <w:rsid w:val="00A65359"/>
    <w:rsid w:val="00A653BC"/>
    <w:rsid w:val="00A66633"/>
    <w:rsid w:val="00A66700"/>
    <w:rsid w:val="00A80347"/>
    <w:rsid w:val="00A81E3C"/>
    <w:rsid w:val="00A83860"/>
    <w:rsid w:val="00A838F8"/>
    <w:rsid w:val="00A85F01"/>
    <w:rsid w:val="00A8606F"/>
    <w:rsid w:val="00A86772"/>
    <w:rsid w:val="00A86E0C"/>
    <w:rsid w:val="00A8713F"/>
    <w:rsid w:val="00A90136"/>
    <w:rsid w:val="00A90173"/>
    <w:rsid w:val="00A90B15"/>
    <w:rsid w:val="00A90BA1"/>
    <w:rsid w:val="00A90FD4"/>
    <w:rsid w:val="00A910DF"/>
    <w:rsid w:val="00A91BA3"/>
    <w:rsid w:val="00A9285D"/>
    <w:rsid w:val="00A93855"/>
    <w:rsid w:val="00A951C6"/>
    <w:rsid w:val="00A97A9A"/>
    <w:rsid w:val="00AA0671"/>
    <w:rsid w:val="00AA2531"/>
    <w:rsid w:val="00AA27E7"/>
    <w:rsid w:val="00AA37E8"/>
    <w:rsid w:val="00AA4E0B"/>
    <w:rsid w:val="00AA50D5"/>
    <w:rsid w:val="00AA67D8"/>
    <w:rsid w:val="00AB183D"/>
    <w:rsid w:val="00AB1E09"/>
    <w:rsid w:val="00AB4F0F"/>
    <w:rsid w:val="00AB5330"/>
    <w:rsid w:val="00AB54E3"/>
    <w:rsid w:val="00AB7747"/>
    <w:rsid w:val="00AC14CE"/>
    <w:rsid w:val="00AC2A56"/>
    <w:rsid w:val="00AC75EC"/>
    <w:rsid w:val="00AD055E"/>
    <w:rsid w:val="00AD1174"/>
    <w:rsid w:val="00AD2CE2"/>
    <w:rsid w:val="00AD47A7"/>
    <w:rsid w:val="00AD4FA7"/>
    <w:rsid w:val="00AD7071"/>
    <w:rsid w:val="00AD7EAC"/>
    <w:rsid w:val="00AE2654"/>
    <w:rsid w:val="00AE49D0"/>
    <w:rsid w:val="00AE5CB6"/>
    <w:rsid w:val="00AE5D9F"/>
    <w:rsid w:val="00AF0274"/>
    <w:rsid w:val="00AF0CBF"/>
    <w:rsid w:val="00AF1FCB"/>
    <w:rsid w:val="00AF257F"/>
    <w:rsid w:val="00AF33CF"/>
    <w:rsid w:val="00AF392A"/>
    <w:rsid w:val="00AF44A5"/>
    <w:rsid w:val="00AF4D50"/>
    <w:rsid w:val="00AF56A0"/>
    <w:rsid w:val="00AF6045"/>
    <w:rsid w:val="00AF6179"/>
    <w:rsid w:val="00AF6837"/>
    <w:rsid w:val="00AF78E8"/>
    <w:rsid w:val="00B00414"/>
    <w:rsid w:val="00B00EE7"/>
    <w:rsid w:val="00B0156D"/>
    <w:rsid w:val="00B01DF2"/>
    <w:rsid w:val="00B06BCF"/>
    <w:rsid w:val="00B10BE5"/>
    <w:rsid w:val="00B1295A"/>
    <w:rsid w:val="00B12C68"/>
    <w:rsid w:val="00B12D76"/>
    <w:rsid w:val="00B15791"/>
    <w:rsid w:val="00B20A45"/>
    <w:rsid w:val="00B227DF"/>
    <w:rsid w:val="00B22C5C"/>
    <w:rsid w:val="00B23B97"/>
    <w:rsid w:val="00B23D22"/>
    <w:rsid w:val="00B24F30"/>
    <w:rsid w:val="00B2640C"/>
    <w:rsid w:val="00B2686E"/>
    <w:rsid w:val="00B27E8E"/>
    <w:rsid w:val="00B31ABF"/>
    <w:rsid w:val="00B32D6D"/>
    <w:rsid w:val="00B3389A"/>
    <w:rsid w:val="00B33B32"/>
    <w:rsid w:val="00B33BE3"/>
    <w:rsid w:val="00B34497"/>
    <w:rsid w:val="00B36484"/>
    <w:rsid w:val="00B40ACA"/>
    <w:rsid w:val="00B42ECB"/>
    <w:rsid w:val="00B45439"/>
    <w:rsid w:val="00B52315"/>
    <w:rsid w:val="00B5338E"/>
    <w:rsid w:val="00B53B5D"/>
    <w:rsid w:val="00B55137"/>
    <w:rsid w:val="00B55D24"/>
    <w:rsid w:val="00B6055E"/>
    <w:rsid w:val="00B6073E"/>
    <w:rsid w:val="00B61EFF"/>
    <w:rsid w:val="00B6317D"/>
    <w:rsid w:val="00B6356A"/>
    <w:rsid w:val="00B647F9"/>
    <w:rsid w:val="00B66C13"/>
    <w:rsid w:val="00B7215A"/>
    <w:rsid w:val="00B76409"/>
    <w:rsid w:val="00B7644F"/>
    <w:rsid w:val="00B7723F"/>
    <w:rsid w:val="00B80534"/>
    <w:rsid w:val="00B80C74"/>
    <w:rsid w:val="00B81556"/>
    <w:rsid w:val="00B83142"/>
    <w:rsid w:val="00B8433C"/>
    <w:rsid w:val="00B8618E"/>
    <w:rsid w:val="00B87491"/>
    <w:rsid w:val="00B87A5F"/>
    <w:rsid w:val="00B9263D"/>
    <w:rsid w:val="00B93AEE"/>
    <w:rsid w:val="00B93E69"/>
    <w:rsid w:val="00B94036"/>
    <w:rsid w:val="00B947B8"/>
    <w:rsid w:val="00B97FEC"/>
    <w:rsid w:val="00BA03ED"/>
    <w:rsid w:val="00BA29E9"/>
    <w:rsid w:val="00BA2E06"/>
    <w:rsid w:val="00BA314A"/>
    <w:rsid w:val="00BA5303"/>
    <w:rsid w:val="00BA6B3C"/>
    <w:rsid w:val="00BA7039"/>
    <w:rsid w:val="00BA7142"/>
    <w:rsid w:val="00BB099E"/>
    <w:rsid w:val="00BB237C"/>
    <w:rsid w:val="00BB25D2"/>
    <w:rsid w:val="00BB306B"/>
    <w:rsid w:val="00BB3AD1"/>
    <w:rsid w:val="00BB41A3"/>
    <w:rsid w:val="00BB5D21"/>
    <w:rsid w:val="00BB6701"/>
    <w:rsid w:val="00BB68E2"/>
    <w:rsid w:val="00BC0B25"/>
    <w:rsid w:val="00BC1C99"/>
    <w:rsid w:val="00BC203B"/>
    <w:rsid w:val="00BC32DC"/>
    <w:rsid w:val="00BC341F"/>
    <w:rsid w:val="00BC35B6"/>
    <w:rsid w:val="00BC379B"/>
    <w:rsid w:val="00BD02D3"/>
    <w:rsid w:val="00BD095B"/>
    <w:rsid w:val="00BD1B51"/>
    <w:rsid w:val="00BD41E9"/>
    <w:rsid w:val="00BD4596"/>
    <w:rsid w:val="00BD6CCF"/>
    <w:rsid w:val="00BD6CD9"/>
    <w:rsid w:val="00BD7444"/>
    <w:rsid w:val="00BD7DE1"/>
    <w:rsid w:val="00BE0F4C"/>
    <w:rsid w:val="00BE1405"/>
    <w:rsid w:val="00BE312D"/>
    <w:rsid w:val="00BE51D1"/>
    <w:rsid w:val="00BE62F7"/>
    <w:rsid w:val="00BE798D"/>
    <w:rsid w:val="00BF1C20"/>
    <w:rsid w:val="00BF3EE0"/>
    <w:rsid w:val="00BF62A1"/>
    <w:rsid w:val="00C00CCA"/>
    <w:rsid w:val="00C03741"/>
    <w:rsid w:val="00C03D89"/>
    <w:rsid w:val="00C04FEA"/>
    <w:rsid w:val="00C0506B"/>
    <w:rsid w:val="00C05C93"/>
    <w:rsid w:val="00C10578"/>
    <w:rsid w:val="00C13116"/>
    <w:rsid w:val="00C135BC"/>
    <w:rsid w:val="00C15C95"/>
    <w:rsid w:val="00C16C92"/>
    <w:rsid w:val="00C17BB2"/>
    <w:rsid w:val="00C21AE3"/>
    <w:rsid w:val="00C221AF"/>
    <w:rsid w:val="00C22EC7"/>
    <w:rsid w:val="00C23C6A"/>
    <w:rsid w:val="00C23CD8"/>
    <w:rsid w:val="00C248CF"/>
    <w:rsid w:val="00C2596A"/>
    <w:rsid w:val="00C27537"/>
    <w:rsid w:val="00C30464"/>
    <w:rsid w:val="00C32238"/>
    <w:rsid w:val="00C328FE"/>
    <w:rsid w:val="00C33507"/>
    <w:rsid w:val="00C33844"/>
    <w:rsid w:val="00C33A3A"/>
    <w:rsid w:val="00C349C1"/>
    <w:rsid w:val="00C35A10"/>
    <w:rsid w:val="00C40654"/>
    <w:rsid w:val="00C42E30"/>
    <w:rsid w:val="00C4409D"/>
    <w:rsid w:val="00C44D57"/>
    <w:rsid w:val="00C44E72"/>
    <w:rsid w:val="00C45A06"/>
    <w:rsid w:val="00C45DF8"/>
    <w:rsid w:val="00C46179"/>
    <w:rsid w:val="00C47E5B"/>
    <w:rsid w:val="00C47EDD"/>
    <w:rsid w:val="00C55379"/>
    <w:rsid w:val="00C565E4"/>
    <w:rsid w:val="00C5793F"/>
    <w:rsid w:val="00C60980"/>
    <w:rsid w:val="00C61E4B"/>
    <w:rsid w:val="00C63A9C"/>
    <w:rsid w:val="00C645C3"/>
    <w:rsid w:val="00C64BFF"/>
    <w:rsid w:val="00C67C71"/>
    <w:rsid w:val="00C704E9"/>
    <w:rsid w:val="00C72783"/>
    <w:rsid w:val="00C72EA4"/>
    <w:rsid w:val="00C761B0"/>
    <w:rsid w:val="00C763C9"/>
    <w:rsid w:val="00C80057"/>
    <w:rsid w:val="00C80D2D"/>
    <w:rsid w:val="00C82232"/>
    <w:rsid w:val="00C824B9"/>
    <w:rsid w:val="00C82913"/>
    <w:rsid w:val="00C82C75"/>
    <w:rsid w:val="00C82C7C"/>
    <w:rsid w:val="00C83552"/>
    <w:rsid w:val="00C844C1"/>
    <w:rsid w:val="00C859FC"/>
    <w:rsid w:val="00C86319"/>
    <w:rsid w:val="00C8631D"/>
    <w:rsid w:val="00C905B4"/>
    <w:rsid w:val="00C91801"/>
    <w:rsid w:val="00C97063"/>
    <w:rsid w:val="00C972B1"/>
    <w:rsid w:val="00CA2CCE"/>
    <w:rsid w:val="00CA43FD"/>
    <w:rsid w:val="00CA4863"/>
    <w:rsid w:val="00CA5105"/>
    <w:rsid w:val="00CA550E"/>
    <w:rsid w:val="00CA6493"/>
    <w:rsid w:val="00CA7EF8"/>
    <w:rsid w:val="00CB157C"/>
    <w:rsid w:val="00CB1A61"/>
    <w:rsid w:val="00CB2D92"/>
    <w:rsid w:val="00CB4E46"/>
    <w:rsid w:val="00CB537A"/>
    <w:rsid w:val="00CC0E3F"/>
    <w:rsid w:val="00CC3153"/>
    <w:rsid w:val="00CC3FAF"/>
    <w:rsid w:val="00CC40F1"/>
    <w:rsid w:val="00CC489B"/>
    <w:rsid w:val="00CC4DEC"/>
    <w:rsid w:val="00CC532B"/>
    <w:rsid w:val="00CC58B6"/>
    <w:rsid w:val="00CC6F70"/>
    <w:rsid w:val="00CC7504"/>
    <w:rsid w:val="00CD2BCD"/>
    <w:rsid w:val="00CD3A4C"/>
    <w:rsid w:val="00CD401D"/>
    <w:rsid w:val="00CD5E31"/>
    <w:rsid w:val="00CD7870"/>
    <w:rsid w:val="00CE10E9"/>
    <w:rsid w:val="00CE1926"/>
    <w:rsid w:val="00CE2910"/>
    <w:rsid w:val="00CE3F5C"/>
    <w:rsid w:val="00CE5393"/>
    <w:rsid w:val="00CE62A2"/>
    <w:rsid w:val="00CE6370"/>
    <w:rsid w:val="00CE7F21"/>
    <w:rsid w:val="00CF0C7E"/>
    <w:rsid w:val="00CF36BE"/>
    <w:rsid w:val="00CF3BA3"/>
    <w:rsid w:val="00CF509B"/>
    <w:rsid w:val="00CF6000"/>
    <w:rsid w:val="00CF7902"/>
    <w:rsid w:val="00D003F3"/>
    <w:rsid w:val="00D0364F"/>
    <w:rsid w:val="00D04EBC"/>
    <w:rsid w:val="00D055FC"/>
    <w:rsid w:val="00D06834"/>
    <w:rsid w:val="00D070CF"/>
    <w:rsid w:val="00D10F44"/>
    <w:rsid w:val="00D127CB"/>
    <w:rsid w:val="00D1319E"/>
    <w:rsid w:val="00D13788"/>
    <w:rsid w:val="00D147D8"/>
    <w:rsid w:val="00D14BE6"/>
    <w:rsid w:val="00D152A3"/>
    <w:rsid w:val="00D15D0E"/>
    <w:rsid w:val="00D1657D"/>
    <w:rsid w:val="00D16A4E"/>
    <w:rsid w:val="00D16F23"/>
    <w:rsid w:val="00D20180"/>
    <w:rsid w:val="00D21D90"/>
    <w:rsid w:val="00D24297"/>
    <w:rsid w:val="00D24910"/>
    <w:rsid w:val="00D2581A"/>
    <w:rsid w:val="00D308ED"/>
    <w:rsid w:val="00D31B87"/>
    <w:rsid w:val="00D33C78"/>
    <w:rsid w:val="00D346FF"/>
    <w:rsid w:val="00D34A95"/>
    <w:rsid w:val="00D35A72"/>
    <w:rsid w:val="00D36D86"/>
    <w:rsid w:val="00D428AA"/>
    <w:rsid w:val="00D42AA4"/>
    <w:rsid w:val="00D43F28"/>
    <w:rsid w:val="00D45A93"/>
    <w:rsid w:val="00D4647A"/>
    <w:rsid w:val="00D50A34"/>
    <w:rsid w:val="00D5146F"/>
    <w:rsid w:val="00D53EFA"/>
    <w:rsid w:val="00D576A2"/>
    <w:rsid w:val="00D60C4C"/>
    <w:rsid w:val="00D62080"/>
    <w:rsid w:val="00D64356"/>
    <w:rsid w:val="00D6530E"/>
    <w:rsid w:val="00D664A7"/>
    <w:rsid w:val="00D71261"/>
    <w:rsid w:val="00D7419F"/>
    <w:rsid w:val="00D74AC8"/>
    <w:rsid w:val="00D74D81"/>
    <w:rsid w:val="00D7574F"/>
    <w:rsid w:val="00D77CBD"/>
    <w:rsid w:val="00D80A8D"/>
    <w:rsid w:val="00D80CEC"/>
    <w:rsid w:val="00D83291"/>
    <w:rsid w:val="00D84F56"/>
    <w:rsid w:val="00D92C92"/>
    <w:rsid w:val="00D94A7C"/>
    <w:rsid w:val="00D95896"/>
    <w:rsid w:val="00D96D9B"/>
    <w:rsid w:val="00D97656"/>
    <w:rsid w:val="00D97D6E"/>
    <w:rsid w:val="00DA08FE"/>
    <w:rsid w:val="00DA0E46"/>
    <w:rsid w:val="00DA20A6"/>
    <w:rsid w:val="00DA2213"/>
    <w:rsid w:val="00DA2505"/>
    <w:rsid w:val="00DA5EFD"/>
    <w:rsid w:val="00DA6BF2"/>
    <w:rsid w:val="00DA76EE"/>
    <w:rsid w:val="00DA7C98"/>
    <w:rsid w:val="00DB2983"/>
    <w:rsid w:val="00DB4038"/>
    <w:rsid w:val="00DB51FC"/>
    <w:rsid w:val="00DB52E8"/>
    <w:rsid w:val="00DB7AD3"/>
    <w:rsid w:val="00DC0314"/>
    <w:rsid w:val="00DC0373"/>
    <w:rsid w:val="00DC1257"/>
    <w:rsid w:val="00DC2030"/>
    <w:rsid w:val="00DC32A4"/>
    <w:rsid w:val="00DC3DC0"/>
    <w:rsid w:val="00DC4E4E"/>
    <w:rsid w:val="00DC50D1"/>
    <w:rsid w:val="00DC56A5"/>
    <w:rsid w:val="00DC59D1"/>
    <w:rsid w:val="00DC5B2B"/>
    <w:rsid w:val="00DD12E5"/>
    <w:rsid w:val="00DD224B"/>
    <w:rsid w:val="00DD2E09"/>
    <w:rsid w:val="00DD318D"/>
    <w:rsid w:val="00DE0250"/>
    <w:rsid w:val="00DF2E12"/>
    <w:rsid w:val="00DF514A"/>
    <w:rsid w:val="00DF5D12"/>
    <w:rsid w:val="00DF6690"/>
    <w:rsid w:val="00DF6804"/>
    <w:rsid w:val="00DF6B2E"/>
    <w:rsid w:val="00DF6CC7"/>
    <w:rsid w:val="00DF770C"/>
    <w:rsid w:val="00E01EEC"/>
    <w:rsid w:val="00E0225F"/>
    <w:rsid w:val="00E028F5"/>
    <w:rsid w:val="00E0358D"/>
    <w:rsid w:val="00E03C09"/>
    <w:rsid w:val="00E03D65"/>
    <w:rsid w:val="00E04323"/>
    <w:rsid w:val="00E0465A"/>
    <w:rsid w:val="00E070A2"/>
    <w:rsid w:val="00E07D4C"/>
    <w:rsid w:val="00E10723"/>
    <w:rsid w:val="00E1074E"/>
    <w:rsid w:val="00E12FBB"/>
    <w:rsid w:val="00E13D3F"/>
    <w:rsid w:val="00E14562"/>
    <w:rsid w:val="00E15927"/>
    <w:rsid w:val="00E167DC"/>
    <w:rsid w:val="00E20A89"/>
    <w:rsid w:val="00E2225B"/>
    <w:rsid w:val="00E24E12"/>
    <w:rsid w:val="00E253C1"/>
    <w:rsid w:val="00E254BB"/>
    <w:rsid w:val="00E256C0"/>
    <w:rsid w:val="00E2656A"/>
    <w:rsid w:val="00E34A84"/>
    <w:rsid w:val="00E35267"/>
    <w:rsid w:val="00E35BB1"/>
    <w:rsid w:val="00E35F97"/>
    <w:rsid w:val="00E377FB"/>
    <w:rsid w:val="00E412D0"/>
    <w:rsid w:val="00E41C27"/>
    <w:rsid w:val="00E443FC"/>
    <w:rsid w:val="00E471E3"/>
    <w:rsid w:val="00E47881"/>
    <w:rsid w:val="00E47994"/>
    <w:rsid w:val="00E50C05"/>
    <w:rsid w:val="00E5486F"/>
    <w:rsid w:val="00E56322"/>
    <w:rsid w:val="00E576B4"/>
    <w:rsid w:val="00E60982"/>
    <w:rsid w:val="00E62980"/>
    <w:rsid w:val="00E62A01"/>
    <w:rsid w:val="00E62C62"/>
    <w:rsid w:val="00E648A8"/>
    <w:rsid w:val="00E654C1"/>
    <w:rsid w:val="00E65D97"/>
    <w:rsid w:val="00E72A5A"/>
    <w:rsid w:val="00E73354"/>
    <w:rsid w:val="00E73485"/>
    <w:rsid w:val="00E767D0"/>
    <w:rsid w:val="00E76AB7"/>
    <w:rsid w:val="00E76B48"/>
    <w:rsid w:val="00E847AA"/>
    <w:rsid w:val="00E85112"/>
    <w:rsid w:val="00E87CCF"/>
    <w:rsid w:val="00E91E52"/>
    <w:rsid w:val="00E9242D"/>
    <w:rsid w:val="00E969BB"/>
    <w:rsid w:val="00E97932"/>
    <w:rsid w:val="00EA0F0B"/>
    <w:rsid w:val="00EA26C1"/>
    <w:rsid w:val="00EA2BB7"/>
    <w:rsid w:val="00EA3A72"/>
    <w:rsid w:val="00EA4A88"/>
    <w:rsid w:val="00EA4B1B"/>
    <w:rsid w:val="00EA57EE"/>
    <w:rsid w:val="00EA6199"/>
    <w:rsid w:val="00EA6BFA"/>
    <w:rsid w:val="00EA71BF"/>
    <w:rsid w:val="00EB2355"/>
    <w:rsid w:val="00EB2F09"/>
    <w:rsid w:val="00EB4E7B"/>
    <w:rsid w:val="00EB5255"/>
    <w:rsid w:val="00EB5C47"/>
    <w:rsid w:val="00EC1F1C"/>
    <w:rsid w:val="00EC32EE"/>
    <w:rsid w:val="00EC47AA"/>
    <w:rsid w:val="00EC6702"/>
    <w:rsid w:val="00EC6ACA"/>
    <w:rsid w:val="00EC6D07"/>
    <w:rsid w:val="00ED0639"/>
    <w:rsid w:val="00ED0D38"/>
    <w:rsid w:val="00ED2744"/>
    <w:rsid w:val="00ED308C"/>
    <w:rsid w:val="00ED4ED3"/>
    <w:rsid w:val="00ED5B88"/>
    <w:rsid w:val="00ED65A1"/>
    <w:rsid w:val="00ED673C"/>
    <w:rsid w:val="00EE0286"/>
    <w:rsid w:val="00EE242B"/>
    <w:rsid w:val="00EE6A23"/>
    <w:rsid w:val="00EE76D7"/>
    <w:rsid w:val="00EF1A38"/>
    <w:rsid w:val="00EF1C03"/>
    <w:rsid w:val="00EF4755"/>
    <w:rsid w:val="00EF7135"/>
    <w:rsid w:val="00F00950"/>
    <w:rsid w:val="00F027DB"/>
    <w:rsid w:val="00F032FD"/>
    <w:rsid w:val="00F03F97"/>
    <w:rsid w:val="00F06C77"/>
    <w:rsid w:val="00F1035B"/>
    <w:rsid w:val="00F116D4"/>
    <w:rsid w:val="00F14A7A"/>
    <w:rsid w:val="00F226BD"/>
    <w:rsid w:val="00F2280F"/>
    <w:rsid w:val="00F22985"/>
    <w:rsid w:val="00F2545B"/>
    <w:rsid w:val="00F254F5"/>
    <w:rsid w:val="00F31108"/>
    <w:rsid w:val="00F3137E"/>
    <w:rsid w:val="00F3383E"/>
    <w:rsid w:val="00F34873"/>
    <w:rsid w:val="00F40656"/>
    <w:rsid w:val="00F41A0A"/>
    <w:rsid w:val="00F42EA1"/>
    <w:rsid w:val="00F4428B"/>
    <w:rsid w:val="00F44603"/>
    <w:rsid w:val="00F44BD2"/>
    <w:rsid w:val="00F465A7"/>
    <w:rsid w:val="00F46721"/>
    <w:rsid w:val="00F47F89"/>
    <w:rsid w:val="00F50B7C"/>
    <w:rsid w:val="00F511CE"/>
    <w:rsid w:val="00F54A87"/>
    <w:rsid w:val="00F550E6"/>
    <w:rsid w:val="00F55502"/>
    <w:rsid w:val="00F62381"/>
    <w:rsid w:val="00F62593"/>
    <w:rsid w:val="00F63B5D"/>
    <w:rsid w:val="00F65D30"/>
    <w:rsid w:val="00F67152"/>
    <w:rsid w:val="00F672AB"/>
    <w:rsid w:val="00F70123"/>
    <w:rsid w:val="00F71430"/>
    <w:rsid w:val="00F74345"/>
    <w:rsid w:val="00F74614"/>
    <w:rsid w:val="00F763E2"/>
    <w:rsid w:val="00F80A0A"/>
    <w:rsid w:val="00F81D71"/>
    <w:rsid w:val="00F81EDC"/>
    <w:rsid w:val="00F82691"/>
    <w:rsid w:val="00F829EB"/>
    <w:rsid w:val="00F82B19"/>
    <w:rsid w:val="00F85A59"/>
    <w:rsid w:val="00F85CD8"/>
    <w:rsid w:val="00F85DDD"/>
    <w:rsid w:val="00F85EC8"/>
    <w:rsid w:val="00F9212D"/>
    <w:rsid w:val="00F9265F"/>
    <w:rsid w:val="00F95E8A"/>
    <w:rsid w:val="00F9658B"/>
    <w:rsid w:val="00F965DA"/>
    <w:rsid w:val="00FA14E5"/>
    <w:rsid w:val="00FA2469"/>
    <w:rsid w:val="00FA2472"/>
    <w:rsid w:val="00FA2DF4"/>
    <w:rsid w:val="00FA406A"/>
    <w:rsid w:val="00FA40C9"/>
    <w:rsid w:val="00FA4539"/>
    <w:rsid w:val="00FA45DD"/>
    <w:rsid w:val="00FA4B30"/>
    <w:rsid w:val="00FA6EAD"/>
    <w:rsid w:val="00FB1887"/>
    <w:rsid w:val="00FB47CB"/>
    <w:rsid w:val="00FB503A"/>
    <w:rsid w:val="00FB5127"/>
    <w:rsid w:val="00FB516C"/>
    <w:rsid w:val="00FB7AB4"/>
    <w:rsid w:val="00FB7D6E"/>
    <w:rsid w:val="00FC1309"/>
    <w:rsid w:val="00FC2472"/>
    <w:rsid w:val="00FC249A"/>
    <w:rsid w:val="00FC401F"/>
    <w:rsid w:val="00FC571E"/>
    <w:rsid w:val="00FC6BC9"/>
    <w:rsid w:val="00FD0236"/>
    <w:rsid w:val="00FD0591"/>
    <w:rsid w:val="00FD18F4"/>
    <w:rsid w:val="00FD343C"/>
    <w:rsid w:val="00FD3CBB"/>
    <w:rsid w:val="00FD3ED6"/>
    <w:rsid w:val="00FD3FAC"/>
    <w:rsid w:val="00FD4914"/>
    <w:rsid w:val="00FD54DB"/>
    <w:rsid w:val="00FD619F"/>
    <w:rsid w:val="00FD6A68"/>
    <w:rsid w:val="00FE0032"/>
    <w:rsid w:val="00FE02BD"/>
    <w:rsid w:val="00FE611B"/>
    <w:rsid w:val="00FF359B"/>
    <w:rsid w:val="00FF3D27"/>
    <w:rsid w:val="00FF5932"/>
    <w:rsid w:val="00FF7C65"/>
    <w:rsid w:val="012629F2"/>
    <w:rsid w:val="01290F7E"/>
    <w:rsid w:val="01417B74"/>
    <w:rsid w:val="01455E12"/>
    <w:rsid w:val="01552C32"/>
    <w:rsid w:val="0159301C"/>
    <w:rsid w:val="015D1E09"/>
    <w:rsid w:val="01634B32"/>
    <w:rsid w:val="01635C49"/>
    <w:rsid w:val="016B698B"/>
    <w:rsid w:val="018E14F7"/>
    <w:rsid w:val="01A132CB"/>
    <w:rsid w:val="01A469E7"/>
    <w:rsid w:val="01AB6195"/>
    <w:rsid w:val="01B4714D"/>
    <w:rsid w:val="01C35FA3"/>
    <w:rsid w:val="01E70628"/>
    <w:rsid w:val="01F94570"/>
    <w:rsid w:val="01F94D61"/>
    <w:rsid w:val="01FE0D50"/>
    <w:rsid w:val="024F1EC2"/>
    <w:rsid w:val="026838A1"/>
    <w:rsid w:val="02697903"/>
    <w:rsid w:val="026B1195"/>
    <w:rsid w:val="026B74AB"/>
    <w:rsid w:val="028265A2"/>
    <w:rsid w:val="0294429A"/>
    <w:rsid w:val="02977154"/>
    <w:rsid w:val="02AB726A"/>
    <w:rsid w:val="02F96569"/>
    <w:rsid w:val="03011D16"/>
    <w:rsid w:val="03087086"/>
    <w:rsid w:val="034A16F5"/>
    <w:rsid w:val="0363319C"/>
    <w:rsid w:val="036B285C"/>
    <w:rsid w:val="036D79B4"/>
    <w:rsid w:val="037203C5"/>
    <w:rsid w:val="03D02958"/>
    <w:rsid w:val="03DA36D5"/>
    <w:rsid w:val="03EA7B21"/>
    <w:rsid w:val="03FD355C"/>
    <w:rsid w:val="040039AD"/>
    <w:rsid w:val="040E380E"/>
    <w:rsid w:val="0418359D"/>
    <w:rsid w:val="044E7229"/>
    <w:rsid w:val="0453525F"/>
    <w:rsid w:val="046132C3"/>
    <w:rsid w:val="04AC0114"/>
    <w:rsid w:val="05590DDE"/>
    <w:rsid w:val="055A21EB"/>
    <w:rsid w:val="057C3770"/>
    <w:rsid w:val="05CA6429"/>
    <w:rsid w:val="05F83EAE"/>
    <w:rsid w:val="06313BAB"/>
    <w:rsid w:val="063E7D85"/>
    <w:rsid w:val="065D4F6B"/>
    <w:rsid w:val="06994383"/>
    <w:rsid w:val="06E9748B"/>
    <w:rsid w:val="072249C8"/>
    <w:rsid w:val="07293586"/>
    <w:rsid w:val="07295285"/>
    <w:rsid w:val="07636392"/>
    <w:rsid w:val="076B6749"/>
    <w:rsid w:val="07770C56"/>
    <w:rsid w:val="07993CFB"/>
    <w:rsid w:val="07BA4E77"/>
    <w:rsid w:val="08BD4915"/>
    <w:rsid w:val="08C557FE"/>
    <w:rsid w:val="08E90792"/>
    <w:rsid w:val="0914436A"/>
    <w:rsid w:val="092217DD"/>
    <w:rsid w:val="092222D9"/>
    <w:rsid w:val="093A7294"/>
    <w:rsid w:val="097800B9"/>
    <w:rsid w:val="09D678FF"/>
    <w:rsid w:val="09D74819"/>
    <w:rsid w:val="0A112B27"/>
    <w:rsid w:val="0A263993"/>
    <w:rsid w:val="0A2D3AC2"/>
    <w:rsid w:val="0AA755DF"/>
    <w:rsid w:val="0AB32CE3"/>
    <w:rsid w:val="0AB539B9"/>
    <w:rsid w:val="0B007F1A"/>
    <w:rsid w:val="0B120D44"/>
    <w:rsid w:val="0B15778A"/>
    <w:rsid w:val="0B284ADA"/>
    <w:rsid w:val="0BC96C48"/>
    <w:rsid w:val="0BD27BF6"/>
    <w:rsid w:val="0BFD1F67"/>
    <w:rsid w:val="0BFD272D"/>
    <w:rsid w:val="0C0F22C2"/>
    <w:rsid w:val="0C341618"/>
    <w:rsid w:val="0C3B3C7D"/>
    <w:rsid w:val="0C76361E"/>
    <w:rsid w:val="0CAB2EAE"/>
    <w:rsid w:val="0CC04897"/>
    <w:rsid w:val="0CCF6019"/>
    <w:rsid w:val="0CF3092A"/>
    <w:rsid w:val="0D556B63"/>
    <w:rsid w:val="0D621C7D"/>
    <w:rsid w:val="0D6A7132"/>
    <w:rsid w:val="0D722EA0"/>
    <w:rsid w:val="0DB855C0"/>
    <w:rsid w:val="0DC3019B"/>
    <w:rsid w:val="0DEB14A0"/>
    <w:rsid w:val="0E027F2C"/>
    <w:rsid w:val="0E3E5C25"/>
    <w:rsid w:val="0E4D2700"/>
    <w:rsid w:val="0E73034D"/>
    <w:rsid w:val="0E8B205C"/>
    <w:rsid w:val="0E992CF7"/>
    <w:rsid w:val="0EC348BF"/>
    <w:rsid w:val="0EED30B7"/>
    <w:rsid w:val="0F0A11B7"/>
    <w:rsid w:val="0F13775A"/>
    <w:rsid w:val="0F3F2BAB"/>
    <w:rsid w:val="0F4A12D7"/>
    <w:rsid w:val="0F552A14"/>
    <w:rsid w:val="0F5F45FE"/>
    <w:rsid w:val="0F66299E"/>
    <w:rsid w:val="0F9A112B"/>
    <w:rsid w:val="0FA94E3F"/>
    <w:rsid w:val="0FD215D5"/>
    <w:rsid w:val="0FD3668F"/>
    <w:rsid w:val="10635590"/>
    <w:rsid w:val="106D2F64"/>
    <w:rsid w:val="10844CC1"/>
    <w:rsid w:val="10A42843"/>
    <w:rsid w:val="10B63710"/>
    <w:rsid w:val="10F10820"/>
    <w:rsid w:val="111C2F7A"/>
    <w:rsid w:val="11525504"/>
    <w:rsid w:val="11531641"/>
    <w:rsid w:val="11665CA1"/>
    <w:rsid w:val="11791857"/>
    <w:rsid w:val="118A6FF6"/>
    <w:rsid w:val="11B30526"/>
    <w:rsid w:val="11CB379C"/>
    <w:rsid w:val="11D005F0"/>
    <w:rsid w:val="11EF89AA"/>
    <w:rsid w:val="1202325C"/>
    <w:rsid w:val="12162865"/>
    <w:rsid w:val="124A07F3"/>
    <w:rsid w:val="12583FF0"/>
    <w:rsid w:val="12667C60"/>
    <w:rsid w:val="12725339"/>
    <w:rsid w:val="12B44AC5"/>
    <w:rsid w:val="12DB7179"/>
    <w:rsid w:val="12DE3EAC"/>
    <w:rsid w:val="12F33516"/>
    <w:rsid w:val="13266C7E"/>
    <w:rsid w:val="13496EF3"/>
    <w:rsid w:val="136F1E41"/>
    <w:rsid w:val="138F0FA8"/>
    <w:rsid w:val="13951726"/>
    <w:rsid w:val="13B94757"/>
    <w:rsid w:val="13C1462D"/>
    <w:rsid w:val="13D144AA"/>
    <w:rsid w:val="13FA243C"/>
    <w:rsid w:val="141A7667"/>
    <w:rsid w:val="14396509"/>
    <w:rsid w:val="14A8263F"/>
    <w:rsid w:val="14D73FF2"/>
    <w:rsid w:val="14DD2C3C"/>
    <w:rsid w:val="14E27D8B"/>
    <w:rsid w:val="16087E1D"/>
    <w:rsid w:val="163B719F"/>
    <w:rsid w:val="164F4ACA"/>
    <w:rsid w:val="16783AEC"/>
    <w:rsid w:val="167A4523"/>
    <w:rsid w:val="16820235"/>
    <w:rsid w:val="16B618CD"/>
    <w:rsid w:val="16CA5F18"/>
    <w:rsid w:val="16CF5ACB"/>
    <w:rsid w:val="1702679E"/>
    <w:rsid w:val="17367C2F"/>
    <w:rsid w:val="17372A6B"/>
    <w:rsid w:val="17701D14"/>
    <w:rsid w:val="17735226"/>
    <w:rsid w:val="177B5642"/>
    <w:rsid w:val="17E219BD"/>
    <w:rsid w:val="17F6116D"/>
    <w:rsid w:val="181245F0"/>
    <w:rsid w:val="184F47DD"/>
    <w:rsid w:val="18877F61"/>
    <w:rsid w:val="189F624C"/>
    <w:rsid w:val="18C661F7"/>
    <w:rsid w:val="19626D11"/>
    <w:rsid w:val="19704F4F"/>
    <w:rsid w:val="19733F6A"/>
    <w:rsid w:val="199E5048"/>
    <w:rsid w:val="19AB20AC"/>
    <w:rsid w:val="19CD5FC1"/>
    <w:rsid w:val="19E70835"/>
    <w:rsid w:val="19ED64B3"/>
    <w:rsid w:val="1A0A200E"/>
    <w:rsid w:val="1A141BC9"/>
    <w:rsid w:val="1A1C66C0"/>
    <w:rsid w:val="1A226673"/>
    <w:rsid w:val="1A311D12"/>
    <w:rsid w:val="1A42393B"/>
    <w:rsid w:val="1A4C1518"/>
    <w:rsid w:val="1A4E66A2"/>
    <w:rsid w:val="1A5647CF"/>
    <w:rsid w:val="1A7A1F66"/>
    <w:rsid w:val="1A931424"/>
    <w:rsid w:val="1AAD45DE"/>
    <w:rsid w:val="1AE254F2"/>
    <w:rsid w:val="1B046F80"/>
    <w:rsid w:val="1B28145E"/>
    <w:rsid w:val="1B2E3ECD"/>
    <w:rsid w:val="1B3267B5"/>
    <w:rsid w:val="1B40161D"/>
    <w:rsid w:val="1B441859"/>
    <w:rsid w:val="1B6606B1"/>
    <w:rsid w:val="1B8A2F5E"/>
    <w:rsid w:val="1B933691"/>
    <w:rsid w:val="1B9857E8"/>
    <w:rsid w:val="1BAE0658"/>
    <w:rsid w:val="1BD73F52"/>
    <w:rsid w:val="1C1717D1"/>
    <w:rsid w:val="1C5C4C96"/>
    <w:rsid w:val="1C5E7925"/>
    <w:rsid w:val="1C7C440A"/>
    <w:rsid w:val="1CF45D0D"/>
    <w:rsid w:val="1CF832A8"/>
    <w:rsid w:val="1CFD070F"/>
    <w:rsid w:val="1CFD2FE1"/>
    <w:rsid w:val="1D5F6196"/>
    <w:rsid w:val="1D6132A5"/>
    <w:rsid w:val="1D777C5D"/>
    <w:rsid w:val="1D8E56D5"/>
    <w:rsid w:val="1D8F683C"/>
    <w:rsid w:val="1DA67F64"/>
    <w:rsid w:val="1DC75664"/>
    <w:rsid w:val="1DC839D2"/>
    <w:rsid w:val="1DCC62F4"/>
    <w:rsid w:val="1DFD512F"/>
    <w:rsid w:val="1E4600C2"/>
    <w:rsid w:val="1E4C46C7"/>
    <w:rsid w:val="1E5C43B3"/>
    <w:rsid w:val="1E733517"/>
    <w:rsid w:val="1E7A43DA"/>
    <w:rsid w:val="1E8001BC"/>
    <w:rsid w:val="1E80799B"/>
    <w:rsid w:val="1E9639F2"/>
    <w:rsid w:val="1EB1403F"/>
    <w:rsid w:val="1EB61656"/>
    <w:rsid w:val="1EB96BD2"/>
    <w:rsid w:val="1EDB2DBB"/>
    <w:rsid w:val="1EF723D2"/>
    <w:rsid w:val="1F0C1276"/>
    <w:rsid w:val="1F2177F9"/>
    <w:rsid w:val="1F2D7EEF"/>
    <w:rsid w:val="1F863403"/>
    <w:rsid w:val="1FE16BA6"/>
    <w:rsid w:val="1FE67D19"/>
    <w:rsid w:val="1FE7539E"/>
    <w:rsid w:val="1FFA23D8"/>
    <w:rsid w:val="2008301B"/>
    <w:rsid w:val="20095106"/>
    <w:rsid w:val="20146634"/>
    <w:rsid w:val="20671BE0"/>
    <w:rsid w:val="20742B89"/>
    <w:rsid w:val="208A3D57"/>
    <w:rsid w:val="20963CB8"/>
    <w:rsid w:val="20A81A1B"/>
    <w:rsid w:val="20B07FB6"/>
    <w:rsid w:val="20B646FB"/>
    <w:rsid w:val="20C45C53"/>
    <w:rsid w:val="20D8719B"/>
    <w:rsid w:val="20E26FD4"/>
    <w:rsid w:val="20E37E27"/>
    <w:rsid w:val="20EB51DE"/>
    <w:rsid w:val="21092C32"/>
    <w:rsid w:val="211D3BAC"/>
    <w:rsid w:val="213B74B1"/>
    <w:rsid w:val="21414FA7"/>
    <w:rsid w:val="215A2310"/>
    <w:rsid w:val="21691FE2"/>
    <w:rsid w:val="21836E99"/>
    <w:rsid w:val="219F6AB0"/>
    <w:rsid w:val="21C61C7A"/>
    <w:rsid w:val="21CA2F06"/>
    <w:rsid w:val="21DB0359"/>
    <w:rsid w:val="21DE318A"/>
    <w:rsid w:val="21EF5B80"/>
    <w:rsid w:val="221C69DE"/>
    <w:rsid w:val="22576990"/>
    <w:rsid w:val="226129DE"/>
    <w:rsid w:val="226663DD"/>
    <w:rsid w:val="226C2807"/>
    <w:rsid w:val="22835862"/>
    <w:rsid w:val="22A941EF"/>
    <w:rsid w:val="22B055B5"/>
    <w:rsid w:val="22F47480"/>
    <w:rsid w:val="22FA2BEF"/>
    <w:rsid w:val="231E4CDA"/>
    <w:rsid w:val="233C577F"/>
    <w:rsid w:val="235C0A1E"/>
    <w:rsid w:val="23804B49"/>
    <w:rsid w:val="23AC345A"/>
    <w:rsid w:val="23B905BB"/>
    <w:rsid w:val="23C75595"/>
    <w:rsid w:val="23D031BA"/>
    <w:rsid w:val="23DD6B04"/>
    <w:rsid w:val="23DE1C48"/>
    <w:rsid w:val="23E83FED"/>
    <w:rsid w:val="23ED535F"/>
    <w:rsid w:val="23FE572A"/>
    <w:rsid w:val="240210CD"/>
    <w:rsid w:val="24524C5F"/>
    <w:rsid w:val="2480073C"/>
    <w:rsid w:val="249F47E9"/>
    <w:rsid w:val="24BB7587"/>
    <w:rsid w:val="24BD037F"/>
    <w:rsid w:val="24BF09F7"/>
    <w:rsid w:val="251B2173"/>
    <w:rsid w:val="252D53FE"/>
    <w:rsid w:val="25314E65"/>
    <w:rsid w:val="253567B1"/>
    <w:rsid w:val="25715137"/>
    <w:rsid w:val="25E41DA6"/>
    <w:rsid w:val="25EC2D81"/>
    <w:rsid w:val="25FD739D"/>
    <w:rsid w:val="2623688E"/>
    <w:rsid w:val="262C3BB0"/>
    <w:rsid w:val="26437C73"/>
    <w:rsid w:val="264658D4"/>
    <w:rsid w:val="264B4387"/>
    <w:rsid w:val="26DF07DF"/>
    <w:rsid w:val="27035E46"/>
    <w:rsid w:val="27160F9B"/>
    <w:rsid w:val="27165125"/>
    <w:rsid w:val="27337CE7"/>
    <w:rsid w:val="273F4332"/>
    <w:rsid w:val="2741780E"/>
    <w:rsid w:val="277057A2"/>
    <w:rsid w:val="27753D15"/>
    <w:rsid w:val="27861A03"/>
    <w:rsid w:val="27A71039"/>
    <w:rsid w:val="27AB263A"/>
    <w:rsid w:val="27C26B31"/>
    <w:rsid w:val="27EC6EDE"/>
    <w:rsid w:val="282443E7"/>
    <w:rsid w:val="28302479"/>
    <w:rsid w:val="285919D0"/>
    <w:rsid w:val="28624B10"/>
    <w:rsid w:val="288E2F5F"/>
    <w:rsid w:val="291D0C4F"/>
    <w:rsid w:val="29206EB8"/>
    <w:rsid w:val="29413DF4"/>
    <w:rsid w:val="29595666"/>
    <w:rsid w:val="296323DA"/>
    <w:rsid w:val="2966751A"/>
    <w:rsid w:val="29874881"/>
    <w:rsid w:val="29BB5A75"/>
    <w:rsid w:val="29E325E0"/>
    <w:rsid w:val="2A0A65A8"/>
    <w:rsid w:val="2A0C290C"/>
    <w:rsid w:val="2A2226F1"/>
    <w:rsid w:val="2A452503"/>
    <w:rsid w:val="2A60010C"/>
    <w:rsid w:val="2A88659C"/>
    <w:rsid w:val="2AF97126"/>
    <w:rsid w:val="2B041EBB"/>
    <w:rsid w:val="2B090E61"/>
    <w:rsid w:val="2B4C24A2"/>
    <w:rsid w:val="2B8315F1"/>
    <w:rsid w:val="2BA66F30"/>
    <w:rsid w:val="2BA935CA"/>
    <w:rsid w:val="2BA936A8"/>
    <w:rsid w:val="2BB60EE7"/>
    <w:rsid w:val="2BCD2F32"/>
    <w:rsid w:val="2BCF554D"/>
    <w:rsid w:val="2C315A5A"/>
    <w:rsid w:val="2C4B1C25"/>
    <w:rsid w:val="2C8B2F6A"/>
    <w:rsid w:val="2C934596"/>
    <w:rsid w:val="2CB5006D"/>
    <w:rsid w:val="2CC31B0E"/>
    <w:rsid w:val="2CF414C4"/>
    <w:rsid w:val="2D102125"/>
    <w:rsid w:val="2D1146ED"/>
    <w:rsid w:val="2D9655A8"/>
    <w:rsid w:val="2D994BDD"/>
    <w:rsid w:val="2D9E56F5"/>
    <w:rsid w:val="2DBC1F9E"/>
    <w:rsid w:val="2DC713EE"/>
    <w:rsid w:val="2E5D3307"/>
    <w:rsid w:val="2E5F13C2"/>
    <w:rsid w:val="2E667F96"/>
    <w:rsid w:val="2E8226AB"/>
    <w:rsid w:val="2E96762E"/>
    <w:rsid w:val="2EFC73B1"/>
    <w:rsid w:val="2F3F177D"/>
    <w:rsid w:val="2F48361F"/>
    <w:rsid w:val="2F6866CA"/>
    <w:rsid w:val="2FB55BB4"/>
    <w:rsid w:val="2FB76FDC"/>
    <w:rsid w:val="2FBBED0D"/>
    <w:rsid w:val="2FD065E6"/>
    <w:rsid w:val="2FD22068"/>
    <w:rsid w:val="2FD66560"/>
    <w:rsid w:val="2FD96870"/>
    <w:rsid w:val="30363501"/>
    <w:rsid w:val="30580BC9"/>
    <w:rsid w:val="30863785"/>
    <w:rsid w:val="30B359F5"/>
    <w:rsid w:val="30D954B0"/>
    <w:rsid w:val="30E1579C"/>
    <w:rsid w:val="30E95AB6"/>
    <w:rsid w:val="311E2ED7"/>
    <w:rsid w:val="3127005B"/>
    <w:rsid w:val="315619EE"/>
    <w:rsid w:val="315C449C"/>
    <w:rsid w:val="31B82709"/>
    <w:rsid w:val="31D05482"/>
    <w:rsid w:val="31DB7F62"/>
    <w:rsid w:val="31F31CF3"/>
    <w:rsid w:val="31F77B64"/>
    <w:rsid w:val="32400B34"/>
    <w:rsid w:val="32564633"/>
    <w:rsid w:val="325B4596"/>
    <w:rsid w:val="327D6149"/>
    <w:rsid w:val="329E6876"/>
    <w:rsid w:val="32B375C6"/>
    <w:rsid w:val="32BE3742"/>
    <w:rsid w:val="32CE23A1"/>
    <w:rsid w:val="32D16CB4"/>
    <w:rsid w:val="32D71BC3"/>
    <w:rsid w:val="32E60539"/>
    <w:rsid w:val="32F83B93"/>
    <w:rsid w:val="333015F2"/>
    <w:rsid w:val="334B6320"/>
    <w:rsid w:val="33691C05"/>
    <w:rsid w:val="337E053C"/>
    <w:rsid w:val="33D70C56"/>
    <w:rsid w:val="33D934D4"/>
    <w:rsid w:val="33D94FDC"/>
    <w:rsid w:val="33F246F6"/>
    <w:rsid w:val="33FA3005"/>
    <w:rsid w:val="33FE2F6A"/>
    <w:rsid w:val="340E07E5"/>
    <w:rsid w:val="34235BF7"/>
    <w:rsid w:val="34377C1A"/>
    <w:rsid w:val="343A7B79"/>
    <w:rsid w:val="3445246A"/>
    <w:rsid w:val="34526DB0"/>
    <w:rsid w:val="346C307F"/>
    <w:rsid w:val="34A249F9"/>
    <w:rsid w:val="34E06115"/>
    <w:rsid w:val="34FB71EB"/>
    <w:rsid w:val="352F4D16"/>
    <w:rsid w:val="353E7E0C"/>
    <w:rsid w:val="354D6418"/>
    <w:rsid w:val="355D50B2"/>
    <w:rsid w:val="358416ED"/>
    <w:rsid w:val="358C5FA8"/>
    <w:rsid w:val="359E6B9F"/>
    <w:rsid w:val="35C15DF1"/>
    <w:rsid w:val="35C43958"/>
    <w:rsid w:val="35E33C05"/>
    <w:rsid w:val="35E71B7A"/>
    <w:rsid w:val="36074A7F"/>
    <w:rsid w:val="36097819"/>
    <w:rsid w:val="361079AD"/>
    <w:rsid w:val="364B2224"/>
    <w:rsid w:val="36504750"/>
    <w:rsid w:val="368E1FCB"/>
    <w:rsid w:val="36923549"/>
    <w:rsid w:val="36B14785"/>
    <w:rsid w:val="36B75FBF"/>
    <w:rsid w:val="36BD0C45"/>
    <w:rsid w:val="36BF4C3C"/>
    <w:rsid w:val="36C66173"/>
    <w:rsid w:val="36D72B72"/>
    <w:rsid w:val="36F62FF4"/>
    <w:rsid w:val="37173EC3"/>
    <w:rsid w:val="37335AE2"/>
    <w:rsid w:val="378920BA"/>
    <w:rsid w:val="378C0D4E"/>
    <w:rsid w:val="37AD0284"/>
    <w:rsid w:val="37C54EBD"/>
    <w:rsid w:val="37CC11ED"/>
    <w:rsid w:val="37D81BF7"/>
    <w:rsid w:val="37E00298"/>
    <w:rsid w:val="37F46DC2"/>
    <w:rsid w:val="37FF6CA6"/>
    <w:rsid w:val="38045D55"/>
    <w:rsid w:val="38107BD1"/>
    <w:rsid w:val="382368A0"/>
    <w:rsid w:val="38547ABE"/>
    <w:rsid w:val="38B302F9"/>
    <w:rsid w:val="38D61F84"/>
    <w:rsid w:val="38DA77C6"/>
    <w:rsid w:val="38E94D9A"/>
    <w:rsid w:val="38F12CD3"/>
    <w:rsid w:val="38F94775"/>
    <w:rsid w:val="392971ED"/>
    <w:rsid w:val="39325651"/>
    <w:rsid w:val="395459CC"/>
    <w:rsid w:val="396E59DD"/>
    <w:rsid w:val="39A04389"/>
    <w:rsid w:val="39A1495F"/>
    <w:rsid w:val="39A853E5"/>
    <w:rsid w:val="3A4702DA"/>
    <w:rsid w:val="3A7F4F17"/>
    <w:rsid w:val="3A8241A7"/>
    <w:rsid w:val="3A872856"/>
    <w:rsid w:val="3AB3384E"/>
    <w:rsid w:val="3ABA4968"/>
    <w:rsid w:val="3ADE7B13"/>
    <w:rsid w:val="3AE87B20"/>
    <w:rsid w:val="3AF24E08"/>
    <w:rsid w:val="3AF77043"/>
    <w:rsid w:val="3B105BB9"/>
    <w:rsid w:val="3B136C44"/>
    <w:rsid w:val="3B140AAB"/>
    <w:rsid w:val="3B1F0857"/>
    <w:rsid w:val="3B201ED9"/>
    <w:rsid w:val="3B3763D1"/>
    <w:rsid w:val="3B393ECC"/>
    <w:rsid w:val="3B5F50F7"/>
    <w:rsid w:val="3B704395"/>
    <w:rsid w:val="3B724137"/>
    <w:rsid w:val="3B7D557D"/>
    <w:rsid w:val="3B936231"/>
    <w:rsid w:val="3BA951BE"/>
    <w:rsid w:val="3BBC30FA"/>
    <w:rsid w:val="3BD958FA"/>
    <w:rsid w:val="3BD9E03E"/>
    <w:rsid w:val="3C1C4652"/>
    <w:rsid w:val="3C2D31E8"/>
    <w:rsid w:val="3C2F6E1E"/>
    <w:rsid w:val="3C4F64BA"/>
    <w:rsid w:val="3C624F0C"/>
    <w:rsid w:val="3C855259"/>
    <w:rsid w:val="3CDA245A"/>
    <w:rsid w:val="3D000214"/>
    <w:rsid w:val="3D1E06B7"/>
    <w:rsid w:val="3D2654EF"/>
    <w:rsid w:val="3D64424C"/>
    <w:rsid w:val="3D736F12"/>
    <w:rsid w:val="3DD86A9B"/>
    <w:rsid w:val="3DF75D68"/>
    <w:rsid w:val="3DFF227A"/>
    <w:rsid w:val="3E416584"/>
    <w:rsid w:val="3E641C05"/>
    <w:rsid w:val="3E9B394F"/>
    <w:rsid w:val="3EB37E5D"/>
    <w:rsid w:val="3EC40EA5"/>
    <w:rsid w:val="3ED39938"/>
    <w:rsid w:val="3EDA0523"/>
    <w:rsid w:val="3EF038C5"/>
    <w:rsid w:val="3EF868E3"/>
    <w:rsid w:val="3F3D069B"/>
    <w:rsid w:val="3F790F84"/>
    <w:rsid w:val="3F7F6214"/>
    <w:rsid w:val="3F862B3E"/>
    <w:rsid w:val="3F8C2F32"/>
    <w:rsid w:val="3FA3298B"/>
    <w:rsid w:val="3FA518B1"/>
    <w:rsid w:val="3FF5C2B9"/>
    <w:rsid w:val="3FFF7FEB"/>
    <w:rsid w:val="40070611"/>
    <w:rsid w:val="400F4B98"/>
    <w:rsid w:val="405F65CB"/>
    <w:rsid w:val="40795EA5"/>
    <w:rsid w:val="407A6407"/>
    <w:rsid w:val="40800B7D"/>
    <w:rsid w:val="408747AB"/>
    <w:rsid w:val="41121A85"/>
    <w:rsid w:val="412E0382"/>
    <w:rsid w:val="414A0622"/>
    <w:rsid w:val="41AA4C64"/>
    <w:rsid w:val="41AA57DE"/>
    <w:rsid w:val="41AA7299"/>
    <w:rsid w:val="41B416E4"/>
    <w:rsid w:val="41E40105"/>
    <w:rsid w:val="41ED4455"/>
    <w:rsid w:val="41F350CD"/>
    <w:rsid w:val="4200449D"/>
    <w:rsid w:val="423A3BCC"/>
    <w:rsid w:val="42402521"/>
    <w:rsid w:val="424E57D2"/>
    <w:rsid w:val="42517357"/>
    <w:rsid w:val="425F6E0C"/>
    <w:rsid w:val="425F778B"/>
    <w:rsid w:val="427A6AEA"/>
    <w:rsid w:val="42976F36"/>
    <w:rsid w:val="42AB1E22"/>
    <w:rsid w:val="42B26C49"/>
    <w:rsid w:val="42F0620C"/>
    <w:rsid w:val="430F7199"/>
    <w:rsid w:val="433A6FE6"/>
    <w:rsid w:val="433E18A4"/>
    <w:rsid w:val="43480868"/>
    <w:rsid w:val="4350713C"/>
    <w:rsid w:val="435E5C94"/>
    <w:rsid w:val="436653E0"/>
    <w:rsid w:val="437F4BFE"/>
    <w:rsid w:val="43802FF3"/>
    <w:rsid w:val="439821A7"/>
    <w:rsid w:val="43A46274"/>
    <w:rsid w:val="43B71F0E"/>
    <w:rsid w:val="43C4431A"/>
    <w:rsid w:val="43EF60D3"/>
    <w:rsid w:val="440F5D26"/>
    <w:rsid w:val="441227C3"/>
    <w:rsid w:val="44345C27"/>
    <w:rsid w:val="4448672B"/>
    <w:rsid w:val="444B3AF6"/>
    <w:rsid w:val="44546F13"/>
    <w:rsid w:val="447022B2"/>
    <w:rsid w:val="44AC796F"/>
    <w:rsid w:val="44B951CC"/>
    <w:rsid w:val="44C32811"/>
    <w:rsid w:val="44CD14E0"/>
    <w:rsid w:val="44D73D68"/>
    <w:rsid w:val="44DA134B"/>
    <w:rsid w:val="44F20B0B"/>
    <w:rsid w:val="45210515"/>
    <w:rsid w:val="452E5F4C"/>
    <w:rsid w:val="45612018"/>
    <w:rsid w:val="458946E9"/>
    <w:rsid w:val="458B05CF"/>
    <w:rsid w:val="459857EA"/>
    <w:rsid w:val="459E36FD"/>
    <w:rsid w:val="45A47C0E"/>
    <w:rsid w:val="45A92F55"/>
    <w:rsid w:val="45AA51C1"/>
    <w:rsid w:val="45D109A0"/>
    <w:rsid w:val="45E86681"/>
    <w:rsid w:val="45F71130"/>
    <w:rsid w:val="460348D1"/>
    <w:rsid w:val="46072613"/>
    <w:rsid w:val="460C19D8"/>
    <w:rsid w:val="460E69F5"/>
    <w:rsid w:val="46316F5A"/>
    <w:rsid w:val="46577FD6"/>
    <w:rsid w:val="46710B74"/>
    <w:rsid w:val="468A7DB0"/>
    <w:rsid w:val="46A05541"/>
    <w:rsid w:val="46CE0460"/>
    <w:rsid w:val="46D955A7"/>
    <w:rsid w:val="46F56230"/>
    <w:rsid w:val="470D1522"/>
    <w:rsid w:val="47133957"/>
    <w:rsid w:val="471A1737"/>
    <w:rsid w:val="475B379A"/>
    <w:rsid w:val="47695B0E"/>
    <w:rsid w:val="47865E43"/>
    <w:rsid w:val="47A07E0C"/>
    <w:rsid w:val="47B408ED"/>
    <w:rsid w:val="47C21276"/>
    <w:rsid w:val="47EC5CA8"/>
    <w:rsid w:val="47FC6269"/>
    <w:rsid w:val="48235C3F"/>
    <w:rsid w:val="485E186D"/>
    <w:rsid w:val="4870272E"/>
    <w:rsid w:val="48C677CB"/>
    <w:rsid w:val="48CF41F1"/>
    <w:rsid w:val="48FA645F"/>
    <w:rsid w:val="493E2E2C"/>
    <w:rsid w:val="49431BB4"/>
    <w:rsid w:val="49A71499"/>
    <w:rsid w:val="49BE36B7"/>
    <w:rsid w:val="49DC7715"/>
    <w:rsid w:val="49F7299F"/>
    <w:rsid w:val="4A023139"/>
    <w:rsid w:val="4A1D3554"/>
    <w:rsid w:val="4A2C2178"/>
    <w:rsid w:val="4A444112"/>
    <w:rsid w:val="4A457EFE"/>
    <w:rsid w:val="4A5D12DC"/>
    <w:rsid w:val="4A7B3C02"/>
    <w:rsid w:val="4A7B576F"/>
    <w:rsid w:val="4A8B248A"/>
    <w:rsid w:val="4AA25006"/>
    <w:rsid w:val="4AA435FA"/>
    <w:rsid w:val="4ACB5D09"/>
    <w:rsid w:val="4ADF46BA"/>
    <w:rsid w:val="4AF561A9"/>
    <w:rsid w:val="4B115885"/>
    <w:rsid w:val="4B137364"/>
    <w:rsid w:val="4B8A73DF"/>
    <w:rsid w:val="4BD11E25"/>
    <w:rsid w:val="4BD721AD"/>
    <w:rsid w:val="4C0622B4"/>
    <w:rsid w:val="4C082C41"/>
    <w:rsid w:val="4C28372B"/>
    <w:rsid w:val="4C4A0649"/>
    <w:rsid w:val="4C7E5ECA"/>
    <w:rsid w:val="4C85537E"/>
    <w:rsid w:val="4C876AA5"/>
    <w:rsid w:val="4C97359B"/>
    <w:rsid w:val="4C98712E"/>
    <w:rsid w:val="4CA446B2"/>
    <w:rsid w:val="4CAD2099"/>
    <w:rsid w:val="4CE460F2"/>
    <w:rsid w:val="4CEB1DCD"/>
    <w:rsid w:val="4CFF60BE"/>
    <w:rsid w:val="4D03521C"/>
    <w:rsid w:val="4D0E00FB"/>
    <w:rsid w:val="4D176606"/>
    <w:rsid w:val="4D371F6E"/>
    <w:rsid w:val="4D6C3A53"/>
    <w:rsid w:val="4D6F01D7"/>
    <w:rsid w:val="4D7D030A"/>
    <w:rsid w:val="4D8A68D1"/>
    <w:rsid w:val="4D92205D"/>
    <w:rsid w:val="4DD50981"/>
    <w:rsid w:val="4DEC4FB0"/>
    <w:rsid w:val="4DED26F3"/>
    <w:rsid w:val="4E075D8A"/>
    <w:rsid w:val="4E41243B"/>
    <w:rsid w:val="4E973EE0"/>
    <w:rsid w:val="4EC00FAD"/>
    <w:rsid w:val="4EDE2E69"/>
    <w:rsid w:val="4EEE7285"/>
    <w:rsid w:val="4F201D5C"/>
    <w:rsid w:val="4F641614"/>
    <w:rsid w:val="4F747D85"/>
    <w:rsid w:val="4F9464FD"/>
    <w:rsid w:val="4F9843DC"/>
    <w:rsid w:val="4FC62A8C"/>
    <w:rsid w:val="4FCC3EF9"/>
    <w:rsid w:val="4FE20F0D"/>
    <w:rsid w:val="4FE270CC"/>
    <w:rsid w:val="4FE51552"/>
    <w:rsid w:val="4FEC52ED"/>
    <w:rsid w:val="502A7F6C"/>
    <w:rsid w:val="50504C4B"/>
    <w:rsid w:val="506D1679"/>
    <w:rsid w:val="50703A63"/>
    <w:rsid w:val="5079438A"/>
    <w:rsid w:val="50940564"/>
    <w:rsid w:val="509C6E7C"/>
    <w:rsid w:val="50B27620"/>
    <w:rsid w:val="50E06867"/>
    <w:rsid w:val="51142088"/>
    <w:rsid w:val="51163D82"/>
    <w:rsid w:val="511E0BD8"/>
    <w:rsid w:val="51253A92"/>
    <w:rsid w:val="5129591C"/>
    <w:rsid w:val="512A3E03"/>
    <w:rsid w:val="51473C5A"/>
    <w:rsid w:val="51606C98"/>
    <w:rsid w:val="5162104E"/>
    <w:rsid w:val="517669F8"/>
    <w:rsid w:val="51932EE3"/>
    <w:rsid w:val="51A6128F"/>
    <w:rsid w:val="51AA0A84"/>
    <w:rsid w:val="51B149E2"/>
    <w:rsid w:val="51C33538"/>
    <w:rsid w:val="51C91081"/>
    <w:rsid w:val="51F4711F"/>
    <w:rsid w:val="52012E65"/>
    <w:rsid w:val="52305617"/>
    <w:rsid w:val="524B7DE1"/>
    <w:rsid w:val="525408D1"/>
    <w:rsid w:val="53355B25"/>
    <w:rsid w:val="5344604A"/>
    <w:rsid w:val="5362532D"/>
    <w:rsid w:val="536F0496"/>
    <w:rsid w:val="53730081"/>
    <w:rsid w:val="538E1053"/>
    <w:rsid w:val="53A039CC"/>
    <w:rsid w:val="53A1505A"/>
    <w:rsid w:val="53D27890"/>
    <w:rsid w:val="53E45D42"/>
    <w:rsid w:val="53ED03C1"/>
    <w:rsid w:val="540000E8"/>
    <w:rsid w:val="540571FD"/>
    <w:rsid w:val="54063E08"/>
    <w:rsid w:val="542A43D2"/>
    <w:rsid w:val="543437E8"/>
    <w:rsid w:val="544103A3"/>
    <w:rsid w:val="54505BAC"/>
    <w:rsid w:val="546A2696"/>
    <w:rsid w:val="546F4519"/>
    <w:rsid w:val="54755742"/>
    <w:rsid w:val="547A48D6"/>
    <w:rsid w:val="547E0A4C"/>
    <w:rsid w:val="54A65F09"/>
    <w:rsid w:val="54B85CF1"/>
    <w:rsid w:val="54F73313"/>
    <w:rsid w:val="54F80955"/>
    <w:rsid w:val="55393A4C"/>
    <w:rsid w:val="555170A7"/>
    <w:rsid w:val="5587536D"/>
    <w:rsid w:val="559A667F"/>
    <w:rsid w:val="559B174B"/>
    <w:rsid w:val="55AF05D2"/>
    <w:rsid w:val="55CE0CF4"/>
    <w:rsid w:val="55FA2C52"/>
    <w:rsid w:val="562D7265"/>
    <w:rsid w:val="5633733B"/>
    <w:rsid w:val="56392257"/>
    <w:rsid w:val="56925F29"/>
    <w:rsid w:val="56B22A9C"/>
    <w:rsid w:val="56BA511A"/>
    <w:rsid w:val="56EE444D"/>
    <w:rsid w:val="56EF3F4F"/>
    <w:rsid w:val="57711FE2"/>
    <w:rsid w:val="577D7A34"/>
    <w:rsid w:val="57805D55"/>
    <w:rsid w:val="5788328F"/>
    <w:rsid w:val="57932934"/>
    <w:rsid w:val="57B72A76"/>
    <w:rsid w:val="57BA2B39"/>
    <w:rsid w:val="57C3426C"/>
    <w:rsid w:val="57CE1F93"/>
    <w:rsid w:val="57DB0AEA"/>
    <w:rsid w:val="57FBD70F"/>
    <w:rsid w:val="57FF75EE"/>
    <w:rsid w:val="583875AC"/>
    <w:rsid w:val="586323FD"/>
    <w:rsid w:val="58662719"/>
    <w:rsid w:val="586F0E7A"/>
    <w:rsid w:val="588743D1"/>
    <w:rsid w:val="5887701A"/>
    <w:rsid w:val="588E1A1A"/>
    <w:rsid w:val="58BD6DB8"/>
    <w:rsid w:val="58BE67C2"/>
    <w:rsid w:val="58C05F54"/>
    <w:rsid w:val="59072A72"/>
    <w:rsid w:val="590E67B5"/>
    <w:rsid w:val="59156B7C"/>
    <w:rsid w:val="59975605"/>
    <w:rsid w:val="59C0439F"/>
    <w:rsid w:val="59DF618F"/>
    <w:rsid w:val="59FF6A29"/>
    <w:rsid w:val="5A196C8F"/>
    <w:rsid w:val="5A541CDA"/>
    <w:rsid w:val="5A950E06"/>
    <w:rsid w:val="5AAC7688"/>
    <w:rsid w:val="5AAD63D5"/>
    <w:rsid w:val="5ABD42AF"/>
    <w:rsid w:val="5ABE2233"/>
    <w:rsid w:val="5AFD5C6B"/>
    <w:rsid w:val="5B751113"/>
    <w:rsid w:val="5B9F57D0"/>
    <w:rsid w:val="5BCA1033"/>
    <w:rsid w:val="5BDF5D95"/>
    <w:rsid w:val="5BFE7528"/>
    <w:rsid w:val="5C2937E8"/>
    <w:rsid w:val="5C3C3842"/>
    <w:rsid w:val="5CB3332F"/>
    <w:rsid w:val="5CBC2229"/>
    <w:rsid w:val="5CE351B6"/>
    <w:rsid w:val="5CF80FD3"/>
    <w:rsid w:val="5D5F4132"/>
    <w:rsid w:val="5D983126"/>
    <w:rsid w:val="5DE46E22"/>
    <w:rsid w:val="5DFA42FF"/>
    <w:rsid w:val="5E2467F1"/>
    <w:rsid w:val="5E3000E8"/>
    <w:rsid w:val="5E341D32"/>
    <w:rsid w:val="5E3449B0"/>
    <w:rsid w:val="5E3E03C6"/>
    <w:rsid w:val="5E4E2182"/>
    <w:rsid w:val="5EA90E4C"/>
    <w:rsid w:val="5EB76955"/>
    <w:rsid w:val="5EDC34CE"/>
    <w:rsid w:val="5EDFA27B"/>
    <w:rsid w:val="5EE27322"/>
    <w:rsid w:val="5EE51B3B"/>
    <w:rsid w:val="5F0746F5"/>
    <w:rsid w:val="5F13572D"/>
    <w:rsid w:val="5F1A2B43"/>
    <w:rsid w:val="5F3724C9"/>
    <w:rsid w:val="5F3E6C4E"/>
    <w:rsid w:val="5F830B43"/>
    <w:rsid w:val="5F835D66"/>
    <w:rsid w:val="5FB837BB"/>
    <w:rsid w:val="5FB94527"/>
    <w:rsid w:val="5FCE4BE3"/>
    <w:rsid w:val="609779FE"/>
    <w:rsid w:val="609A2410"/>
    <w:rsid w:val="60A456E6"/>
    <w:rsid w:val="60B743E7"/>
    <w:rsid w:val="60CC405A"/>
    <w:rsid w:val="61005D6F"/>
    <w:rsid w:val="6192725F"/>
    <w:rsid w:val="61A96D33"/>
    <w:rsid w:val="61BE5A9D"/>
    <w:rsid w:val="61C41497"/>
    <w:rsid w:val="61E215D8"/>
    <w:rsid w:val="61FD05CD"/>
    <w:rsid w:val="621B3775"/>
    <w:rsid w:val="623027AA"/>
    <w:rsid w:val="62364782"/>
    <w:rsid w:val="625476B4"/>
    <w:rsid w:val="62695B62"/>
    <w:rsid w:val="62CA36C8"/>
    <w:rsid w:val="62D358FF"/>
    <w:rsid w:val="62EA39A3"/>
    <w:rsid w:val="63180E8F"/>
    <w:rsid w:val="632F47EE"/>
    <w:rsid w:val="635549EF"/>
    <w:rsid w:val="63651696"/>
    <w:rsid w:val="63681361"/>
    <w:rsid w:val="636B246B"/>
    <w:rsid w:val="637A3DFF"/>
    <w:rsid w:val="6394356A"/>
    <w:rsid w:val="63B91D66"/>
    <w:rsid w:val="63C61B2C"/>
    <w:rsid w:val="63CE48B3"/>
    <w:rsid w:val="63D40BE9"/>
    <w:rsid w:val="63E2730A"/>
    <w:rsid w:val="63F800E9"/>
    <w:rsid w:val="640121BB"/>
    <w:rsid w:val="640815D9"/>
    <w:rsid w:val="64102431"/>
    <w:rsid w:val="641565FB"/>
    <w:rsid w:val="64281C7B"/>
    <w:rsid w:val="642B57F4"/>
    <w:rsid w:val="64306D81"/>
    <w:rsid w:val="646D2AE9"/>
    <w:rsid w:val="64A5243A"/>
    <w:rsid w:val="64C468C2"/>
    <w:rsid w:val="64D3094E"/>
    <w:rsid w:val="64DC527F"/>
    <w:rsid w:val="64DE1045"/>
    <w:rsid w:val="64F531DE"/>
    <w:rsid w:val="65042C70"/>
    <w:rsid w:val="651A31B0"/>
    <w:rsid w:val="65214D53"/>
    <w:rsid w:val="65306FFA"/>
    <w:rsid w:val="65373578"/>
    <w:rsid w:val="653C01C1"/>
    <w:rsid w:val="65512DD4"/>
    <w:rsid w:val="65961181"/>
    <w:rsid w:val="660255FF"/>
    <w:rsid w:val="668344F4"/>
    <w:rsid w:val="66EF2409"/>
    <w:rsid w:val="671F124A"/>
    <w:rsid w:val="67227B7E"/>
    <w:rsid w:val="672D091C"/>
    <w:rsid w:val="6759756A"/>
    <w:rsid w:val="676236F6"/>
    <w:rsid w:val="677A33C6"/>
    <w:rsid w:val="67A94E81"/>
    <w:rsid w:val="67E84D3B"/>
    <w:rsid w:val="67FC1454"/>
    <w:rsid w:val="68125EC3"/>
    <w:rsid w:val="681F6961"/>
    <w:rsid w:val="68420814"/>
    <w:rsid w:val="68610A2F"/>
    <w:rsid w:val="68805514"/>
    <w:rsid w:val="68886814"/>
    <w:rsid w:val="689A3F01"/>
    <w:rsid w:val="68C65138"/>
    <w:rsid w:val="68D0643D"/>
    <w:rsid w:val="68EF4566"/>
    <w:rsid w:val="692C316A"/>
    <w:rsid w:val="69316E2F"/>
    <w:rsid w:val="694E2071"/>
    <w:rsid w:val="6974326C"/>
    <w:rsid w:val="69766163"/>
    <w:rsid w:val="697A3B33"/>
    <w:rsid w:val="69934B31"/>
    <w:rsid w:val="69A31117"/>
    <w:rsid w:val="69A77767"/>
    <w:rsid w:val="69AC50EE"/>
    <w:rsid w:val="69D44760"/>
    <w:rsid w:val="69DA41A0"/>
    <w:rsid w:val="69EC2C84"/>
    <w:rsid w:val="69F766D2"/>
    <w:rsid w:val="69FA4D19"/>
    <w:rsid w:val="6A07745A"/>
    <w:rsid w:val="6A27483C"/>
    <w:rsid w:val="6A4505B0"/>
    <w:rsid w:val="6A4F0677"/>
    <w:rsid w:val="6A520EC7"/>
    <w:rsid w:val="6A640992"/>
    <w:rsid w:val="6A683535"/>
    <w:rsid w:val="6A7960AC"/>
    <w:rsid w:val="6A8E65B0"/>
    <w:rsid w:val="6AF87E20"/>
    <w:rsid w:val="6B1B6B18"/>
    <w:rsid w:val="6B322639"/>
    <w:rsid w:val="6B327FE1"/>
    <w:rsid w:val="6B5560B7"/>
    <w:rsid w:val="6B683FAA"/>
    <w:rsid w:val="6BB7300D"/>
    <w:rsid w:val="6BC93D43"/>
    <w:rsid w:val="6BDA2747"/>
    <w:rsid w:val="6BFF74A9"/>
    <w:rsid w:val="6C3C6D25"/>
    <w:rsid w:val="6C5765D8"/>
    <w:rsid w:val="6C636C38"/>
    <w:rsid w:val="6C6508B7"/>
    <w:rsid w:val="6C896EFF"/>
    <w:rsid w:val="6C9C1458"/>
    <w:rsid w:val="6CDE7F4D"/>
    <w:rsid w:val="6CE15963"/>
    <w:rsid w:val="6CED1915"/>
    <w:rsid w:val="6CF47D11"/>
    <w:rsid w:val="6D1402BA"/>
    <w:rsid w:val="6D1C1D18"/>
    <w:rsid w:val="6D2036DC"/>
    <w:rsid w:val="6D6D1DFA"/>
    <w:rsid w:val="6DAA4BEF"/>
    <w:rsid w:val="6DB34098"/>
    <w:rsid w:val="6DB545B6"/>
    <w:rsid w:val="6DE02FB4"/>
    <w:rsid w:val="6DF026B9"/>
    <w:rsid w:val="6E133A4A"/>
    <w:rsid w:val="6E237DA5"/>
    <w:rsid w:val="6E380D0C"/>
    <w:rsid w:val="6E514CED"/>
    <w:rsid w:val="6E7D410F"/>
    <w:rsid w:val="6E7E561A"/>
    <w:rsid w:val="6E84577E"/>
    <w:rsid w:val="6E854D81"/>
    <w:rsid w:val="6EB563D5"/>
    <w:rsid w:val="6ED70525"/>
    <w:rsid w:val="6ED92677"/>
    <w:rsid w:val="6EE6254A"/>
    <w:rsid w:val="6F00533A"/>
    <w:rsid w:val="6F0A2C5E"/>
    <w:rsid w:val="6F1C23DC"/>
    <w:rsid w:val="6F225983"/>
    <w:rsid w:val="6F3D2BDD"/>
    <w:rsid w:val="6F4C259B"/>
    <w:rsid w:val="6F9E78A9"/>
    <w:rsid w:val="6FFC5590"/>
    <w:rsid w:val="70147FDD"/>
    <w:rsid w:val="701F0C82"/>
    <w:rsid w:val="70600818"/>
    <w:rsid w:val="7068583F"/>
    <w:rsid w:val="706D1DD0"/>
    <w:rsid w:val="7073463F"/>
    <w:rsid w:val="70856B87"/>
    <w:rsid w:val="70D527EE"/>
    <w:rsid w:val="710D49A0"/>
    <w:rsid w:val="71516326"/>
    <w:rsid w:val="715176D0"/>
    <w:rsid w:val="715B5300"/>
    <w:rsid w:val="715B5F6B"/>
    <w:rsid w:val="71A00ED1"/>
    <w:rsid w:val="71A65D22"/>
    <w:rsid w:val="71D27F8A"/>
    <w:rsid w:val="71DB032D"/>
    <w:rsid w:val="71E34F62"/>
    <w:rsid w:val="72026B1E"/>
    <w:rsid w:val="721B27A9"/>
    <w:rsid w:val="723548C3"/>
    <w:rsid w:val="724D0CDB"/>
    <w:rsid w:val="72553024"/>
    <w:rsid w:val="726D1B01"/>
    <w:rsid w:val="727A40F7"/>
    <w:rsid w:val="727B5F87"/>
    <w:rsid w:val="72930F42"/>
    <w:rsid w:val="73122968"/>
    <w:rsid w:val="731F5D5E"/>
    <w:rsid w:val="73AB1ACC"/>
    <w:rsid w:val="73C51AD5"/>
    <w:rsid w:val="73DC3856"/>
    <w:rsid w:val="73EF3D7E"/>
    <w:rsid w:val="73F02552"/>
    <w:rsid w:val="741E793C"/>
    <w:rsid w:val="742C1037"/>
    <w:rsid w:val="743079C7"/>
    <w:rsid w:val="745301E5"/>
    <w:rsid w:val="745E3944"/>
    <w:rsid w:val="74AD3590"/>
    <w:rsid w:val="74D837F1"/>
    <w:rsid w:val="74DB6895"/>
    <w:rsid w:val="75277EFD"/>
    <w:rsid w:val="7529578F"/>
    <w:rsid w:val="752B3379"/>
    <w:rsid w:val="752E420C"/>
    <w:rsid w:val="753B493D"/>
    <w:rsid w:val="755E5590"/>
    <w:rsid w:val="75783093"/>
    <w:rsid w:val="75BB5B58"/>
    <w:rsid w:val="761D0860"/>
    <w:rsid w:val="7635099D"/>
    <w:rsid w:val="764D37C3"/>
    <w:rsid w:val="766C368C"/>
    <w:rsid w:val="768344CF"/>
    <w:rsid w:val="76880357"/>
    <w:rsid w:val="76DF61F1"/>
    <w:rsid w:val="77082A0F"/>
    <w:rsid w:val="77103B35"/>
    <w:rsid w:val="7722283A"/>
    <w:rsid w:val="77272D40"/>
    <w:rsid w:val="773A2E93"/>
    <w:rsid w:val="774B41A9"/>
    <w:rsid w:val="775A38B6"/>
    <w:rsid w:val="77762421"/>
    <w:rsid w:val="77B56B1F"/>
    <w:rsid w:val="77FF7833"/>
    <w:rsid w:val="780E64C7"/>
    <w:rsid w:val="780F09F4"/>
    <w:rsid w:val="78414C61"/>
    <w:rsid w:val="7842776E"/>
    <w:rsid w:val="78441126"/>
    <w:rsid w:val="78544995"/>
    <w:rsid w:val="78564BB1"/>
    <w:rsid w:val="7866354D"/>
    <w:rsid w:val="789C29DF"/>
    <w:rsid w:val="78A90480"/>
    <w:rsid w:val="78BC6AD5"/>
    <w:rsid w:val="78D00FC5"/>
    <w:rsid w:val="78E9393F"/>
    <w:rsid w:val="78F33F87"/>
    <w:rsid w:val="78FA5BA7"/>
    <w:rsid w:val="79B11DB4"/>
    <w:rsid w:val="79D10106"/>
    <w:rsid w:val="79D709CB"/>
    <w:rsid w:val="79F226B7"/>
    <w:rsid w:val="7A114ACB"/>
    <w:rsid w:val="7A364017"/>
    <w:rsid w:val="7A392C51"/>
    <w:rsid w:val="7A5A5756"/>
    <w:rsid w:val="7A672DC7"/>
    <w:rsid w:val="7A7870AB"/>
    <w:rsid w:val="7A8265E1"/>
    <w:rsid w:val="7A826A24"/>
    <w:rsid w:val="7A8D6D0C"/>
    <w:rsid w:val="7AB60FB7"/>
    <w:rsid w:val="7AC759BF"/>
    <w:rsid w:val="7ACA67DB"/>
    <w:rsid w:val="7AEE2178"/>
    <w:rsid w:val="7B4C1D92"/>
    <w:rsid w:val="7B686D42"/>
    <w:rsid w:val="7B841746"/>
    <w:rsid w:val="7BCD9182"/>
    <w:rsid w:val="7BF73545"/>
    <w:rsid w:val="7C370A09"/>
    <w:rsid w:val="7C643A0F"/>
    <w:rsid w:val="7C6C5AC7"/>
    <w:rsid w:val="7CB41EA6"/>
    <w:rsid w:val="7CB44EE2"/>
    <w:rsid w:val="7CC14355"/>
    <w:rsid w:val="7CC6544B"/>
    <w:rsid w:val="7CDED22C"/>
    <w:rsid w:val="7D0239FF"/>
    <w:rsid w:val="7D045E37"/>
    <w:rsid w:val="7D0F3580"/>
    <w:rsid w:val="7D230FA2"/>
    <w:rsid w:val="7D36390D"/>
    <w:rsid w:val="7D5613A5"/>
    <w:rsid w:val="7D5E40CD"/>
    <w:rsid w:val="7D88120B"/>
    <w:rsid w:val="7D8E4FCB"/>
    <w:rsid w:val="7DA32E7B"/>
    <w:rsid w:val="7DAA32A9"/>
    <w:rsid w:val="7DAB41F8"/>
    <w:rsid w:val="7DBD122E"/>
    <w:rsid w:val="7DCD56F2"/>
    <w:rsid w:val="7DD98A99"/>
    <w:rsid w:val="7E1075B0"/>
    <w:rsid w:val="7E176B90"/>
    <w:rsid w:val="7E1D73CA"/>
    <w:rsid w:val="7E2309FC"/>
    <w:rsid w:val="7E4A0A4B"/>
    <w:rsid w:val="7E6F6317"/>
    <w:rsid w:val="7E9748F0"/>
    <w:rsid w:val="7F001CE7"/>
    <w:rsid w:val="7F3C6CBE"/>
    <w:rsid w:val="7F4447FC"/>
    <w:rsid w:val="7F487389"/>
    <w:rsid w:val="7F730417"/>
    <w:rsid w:val="7FBFAFFE"/>
    <w:rsid w:val="7FD115BC"/>
    <w:rsid w:val="7FE47E50"/>
    <w:rsid w:val="7FEC1957"/>
    <w:rsid w:val="7FFD3C10"/>
    <w:rsid w:val="8FEFCCBD"/>
    <w:rsid w:val="B993DB78"/>
    <w:rsid w:val="BB4FCB3F"/>
    <w:rsid w:val="BDEF80B8"/>
    <w:rsid w:val="CD792502"/>
    <w:rsid w:val="CFBFBBD4"/>
    <w:rsid w:val="D3FF2923"/>
    <w:rsid w:val="E14F76EC"/>
    <w:rsid w:val="E77F70DC"/>
    <w:rsid w:val="E7BF0BB4"/>
    <w:rsid w:val="E7FDA5F2"/>
    <w:rsid w:val="EBDFD577"/>
    <w:rsid w:val="ECCF1DA2"/>
    <w:rsid w:val="EDB33CF8"/>
    <w:rsid w:val="EEFF976E"/>
    <w:rsid w:val="F6FFF596"/>
    <w:rsid w:val="F7FED2AD"/>
    <w:rsid w:val="F7FF42B9"/>
    <w:rsid w:val="FA9FB03A"/>
    <w:rsid w:val="FCF7C59C"/>
    <w:rsid w:val="FDFD1C73"/>
    <w:rsid w:val="FEE55F5B"/>
    <w:rsid w:val="FEEFCA25"/>
    <w:rsid w:val="FFA35F5D"/>
    <w:rsid w:val="FFEF9181"/>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qFormat="1" w:unhideWhenUsed="0" w:uiPriority="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qFormat="1"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qFormat="1" w:unhideWhenUsed="0" w:uiPriority="0" w:semiHidden="0" w:name="Salutation" w:locked="1"/>
    <w:lsdException w:qFormat="1" w:unhideWhenUsed="0" w:uiPriority="0" w:semiHidden="0" w:name="Date"/>
    <w:lsdException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qFormat="1" w:unhideWhenUsed="0" w:uiPriority="0" w:semiHidden="0" w:name="Document Map" w:locked="1"/>
    <w:lsdException w:qFormat="1" w:unhideWhenUsed="0" w:uiPriority="0" w:semiHidden="0" w:name="Plain Text" w:locked="1"/>
    <w:lsdException w:qFormat="1"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semiHidden="0" w:name="Normal Table"/>
    <w:lsdException w:qFormat="1" w:unhideWhenUsed="0" w:uiPriority="0" w:semiHidden="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semiHidden="0" w:name="Balloon Text"/>
    <w:lsdException w:qFormat="1" w:unhideWhenUsed="0" w:uiPriority="59" w:semiHidden="0" w:name="Table Grid"/>
    <w:lsdException w:unhideWhenUsed="0" w:uiPriority="0" w:semiHidden="0" w:name="Table Theme" w:locked="1"/>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43"/>
    <w:qFormat/>
    <w:locked/>
    <w:uiPriority w:val="99"/>
    <w:pPr>
      <w:keepNext/>
      <w:overflowPunct w:val="0"/>
      <w:snapToGrid w:val="0"/>
      <w:spacing w:line="240" w:lineRule="auto"/>
      <w:ind w:left="0" w:firstLine="0"/>
      <w:jc w:val="center"/>
      <w:outlineLvl w:val="0"/>
    </w:pPr>
    <w:rPr>
      <w:rFonts w:ascii="Times New Roman" w:hAnsi="Times New Roman" w:eastAsia="黑体"/>
      <w:b/>
      <w:bCs/>
      <w:color w:val="000000"/>
      <w:kern w:val="44"/>
      <w:sz w:val="30"/>
      <w:szCs w:val="30"/>
    </w:rPr>
  </w:style>
  <w:style w:type="paragraph" w:styleId="3">
    <w:name w:val="heading 2"/>
    <w:basedOn w:val="1"/>
    <w:next w:val="1"/>
    <w:link w:val="44"/>
    <w:qFormat/>
    <w:locked/>
    <w:uiPriority w:val="0"/>
    <w:pPr>
      <w:keepNext/>
      <w:keepLines/>
      <w:spacing w:beforeLines="50" w:afterLines="50" w:line="520" w:lineRule="exact"/>
      <w:outlineLvl w:val="1"/>
    </w:pPr>
    <w:rPr>
      <w:rFonts w:eastAsia="黑体"/>
      <w:bCs/>
      <w:sz w:val="28"/>
      <w:szCs w:val="32"/>
    </w:rPr>
  </w:style>
  <w:style w:type="paragraph" w:styleId="4">
    <w:name w:val="heading 3"/>
    <w:basedOn w:val="1"/>
    <w:next w:val="1"/>
    <w:link w:val="45"/>
    <w:qFormat/>
    <w:locked/>
    <w:uiPriority w:val="0"/>
    <w:pPr>
      <w:keepNext/>
      <w:keepLines/>
      <w:spacing w:before="260" w:after="260" w:line="416" w:lineRule="auto"/>
      <w:outlineLvl w:val="2"/>
    </w:pPr>
    <w:rPr>
      <w:b/>
      <w:bCs/>
      <w:sz w:val="32"/>
      <w:szCs w:val="32"/>
    </w:rPr>
  </w:style>
  <w:style w:type="paragraph" w:styleId="5">
    <w:name w:val="heading 4"/>
    <w:basedOn w:val="1"/>
    <w:next w:val="1"/>
    <w:link w:val="46"/>
    <w:qFormat/>
    <w:locked/>
    <w:uiPriority w:val="0"/>
    <w:pPr>
      <w:keepNext/>
      <w:keepLines/>
      <w:spacing w:before="280" w:after="290" w:line="376" w:lineRule="auto"/>
      <w:outlineLvl w:val="3"/>
    </w:pPr>
    <w:rPr>
      <w:rFonts w:ascii="Cambria" w:hAnsi="Cambria"/>
      <w:b/>
      <w:bCs/>
      <w:sz w:val="28"/>
      <w:szCs w:val="28"/>
      <w:lang w:val="en-GB" w:eastAsia="zh-TW"/>
    </w:rPr>
  </w:style>
  <w:style w:type="character" w:default="1" w:styleId="37">
    <w:name w:val="Default Paragraph Font"/>
    <w:unhideWhenUsed/>
    <w:qFormat/>
    <w:uiPriority w:val="1"/>
  </w:style>
  <w:style w:type="table" w:default="1" w:styleId="35">
    <w:name w:val="Normal Table"/>
    <w:unhideWhenUsed/>
    <w:qFormat/>
    <w:uiPriority w:val="99"/>
    <w:tblPr>
      <w:tblCellMar>
        <w:top w:w="0" w:type="dxa"/>
        <w:left w:w="108" w:type="dxa"/>
        <w:bottom w:w="0" w:type="dxa"/>
        <w:right w:w="108" w:type="dxa"/>
      </w:tblCellMar>
    </w:tblPr>
  </w:style>
  <w:style w:type="paragraph" w:styleId="6">
    <w:name w:val="E-mail Signature"/>
    <w:basedOn w:val="1"/>
    <w:next w:val="7"/>
    <w:qFormat/>
    <w:locked/>
    <w:uiPriority w:val="0"/>
    <w:pPr>
      <w:spacing w:line="360" w:lineRule="auto"/>
      <w:ind w:firstLine="420"/>
      <w:jc w:val="left"/>
    </w:pPr>
    <w:rPr>
      <w:sz w:val="24"/>
    </w:rPr>
  </w:style>
  <w:style w:type="paragraph" w:customStyle="1" w:styleId="7">
    <w:name w:val="文章"/>
    <w:next w:val="8"/>
    <w:qFormat/>
    <w:uiPriority w:val="0"/>
    <w:pPr>
      <w:ind w:firstLine="480"/>
      <w:jc w:val="center"/>
    </w:pPr>
    <w:rPr>
      <w:rFonts w:ascii="Times New Roman" w:hAnsi="Times New Roman" w:eastAsia="宋体" w:cs="Times New Roman"/>
      <w:kern w:val="2"/>
      <w:sz w:val="26"/>
      <w:szCs w:val="22"/>
      <w:lang w:val="en-US" w:eastAsia="zh-CN" w:bidi="ar-SA"/>
    </w:rPr>
  </w:style>
  <w:style w:type="paragraph" w:styleId="8">
    <w:name w:val="List"/>
    <w:basedOn w:val="1"/>
    <w:next w:val="9"/>
    <w:qFormat/>
    <w:locked/>
    <w:uiPriority w:val="0"/>
    <w:rPr>
      <w:szCs w:val="21"/>
    </w:rPr>
  </w:style>
  <w:style w:type="paragraph" w:styleId="9">
    <w:name w:val="List Bullet 2"/>
    <w:basedOn w:val="1"/>
    <w:next w:val="10"/>
    <w:qFormat/>
    <w:locked/>
    <w:uiPriority w:val="0"/>
    <w:pPr>
      <w:numPr>
        <w:ilvl w:val="0"/>
        <w:numId w:val="1"/>
      </w:numPr>
    </w:pPr>
  </w:style>
  <w:style w:type="paragraph" w:customStyle="1" w:styleId="10">
    <w:name w:val="xl70"/>
    <w:basedOn w:val="1"/>
    <w:next w:val="1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jc w:val="center"/>
    </w:pPr>
    <w:rPr>
      <w:kern w:val="0"/>
      <w:sz w:val="22"/>
      <w:szCs w:val="22"/>
    </w:rPr>
  </w:style>
  <w:style w:type="paragraph" w:customStyle="1" w:styleId="11">
    <w:name w:val="正文缩进1"/>
    <w:basedOn w:val="1"/>
    <w:next w:val="12"/>
    <w:qFormat/>
    <w:uiPriority w:val="0"/>
    <w:pPr>
      <w:ind w:firstLine="420"/>
    </w:pPr>
    <w:rPr>
      <w:szCs w:val="20"/>
    </w:rPr>
  </w:style>
  <w:style w:type="paragraph" w:customStyle="1" w:styleId="12">
    <w:name w:val="td1"/>
    <w:basedOn w:val="1"/>
    <w:next w:val="1"/>
    <w:qFormat/>
    <w:uiPriority w:val="0"/>
    <w:pPr>
      <w:widowControl/>
      <w:spacing w:before="280" w:after="280" w:line="300" w:lineRule="atLeast"/>
      <w:ind w:firstLine="200"/>
    </w:pPr>
    <w:rPr>
      <w:color w:val="000000"/>
      <w:sz w:val="18"/>
    </w:rPr>
  </w:style>
  <w:style w:type="paragraph" w:styleId="13">
    <w:name w:val="Normal Indent"/>
    <w:basedOn w:val="1"/>
    <w:next w:val="1"/>
    <w:link w:val="47"/>
    <w:qFormat/>
    <w:locked/>
    <w:uiPriority w:val="0"/>
    <w:pPr>
      <w:ind w:firstLine="420" w:firstLineChars="200"/>
    </w:pPr>
    <w:rPr>
      <w:lang w:val="en-GB" w:eastAsia="zh-TW"/>
    </w:rPr>
  </w:style>
  <w:style w:type="paragraph" w:styleId="14">
    <w:name w:val="Document Map"/>
    <w:basedOn w:val="1"/>
    <w:link w:val="48"/>
    <w:qFormat/>
    <w:locked/>
    <w:uiPriority w:val="0"/>
    <w:rPr>
      <w:rFonts w:ascii="宋体"/>
      <w:sz w:val="18"/>
      <w:szCs w:val="18"/>
    </w:rPr>
  </w:style>
  <w:style w:type="paragraph" w:styleId="15">
    <w:name w:val="annotation text"/>
    <w:basedOn w:val="1"/>
    <w:link w:val="49"/>
    <w:qFormat/>
    <w:uiPriority w:val="0"/>
    <w:pPr>
      <w:jc w:val="left"/>
    </w:pPr>
    <w:rPr>
      <w:kern w:val="0"/>
      <w:sz w:val="24"/>
      <w:szCs w:val="20"/>
    </w:rPr>
  </w:style>
  <w:style w:type="paragraph" w:styleId="16">
    <w:name w:val="Salutation"/>
    <w:basedOn w:val="1"/>
    <w:next w:val="1"/>
    <w:link w:val="50"/>
    <w:qFormat/>
    <w:locked/>
    <w:uiPriority w:val="0"/>
  </w:style>
  <w:style w:type="paragraph" w:styleId="17">
    <w:name w:val="Body Text"/>
    <w:basedOn w:val="1"/>
    <w:next w:val="1"/>
    <w:link w:val="51"/>
    <w:qFormat/>
    <w:uiPriority w:val="0"/>
    <w:pPr>
      <w:widowControl/>
      <w:snapToGrid w:val="0"/>
      <w:spacing w:before="60" w:after="160" w:line="259" w:lineRule="auto"/>
      <w:ind w:right="113"/>
    </w:pPr>
    <w:rPr>
      <w:kern w:val="0"/>
      <w:sz w:val="18"/>
      <w:szCs w:val="20"/>
    </w:rPr>
  </w:style>
  <w:style w:type="paragraph" w:styleId="18">
    <w:name w:val="Body Text Indent"/>
    <w:basedOn w:val="1"/>
    <w:link w:val="52"/>
    <w:qFormat/>
    <w:uiPriority w:val="0"/>
    <w:pPr>
      <w:spacing w:after="120"/>
      <w:ind w:left="420" w:leftChars="200"/>
    </w:pPr>
    <w:rPr>
      <w:kern w:val="0"/>
      <w:sz w:val="24"/>
      <w:szCs w:val="20"/>
    </w:rPr>
  </w:style>
  <w:style w:type="paragraph" w:styleId="19">
    <w:name w:val="Block Text"/>
    <w:basedOn w:val="1"/>
    <w:next w:val="1"/>
    <w:qFormat/>
    <w:locked/>
    <w:uiPriority w:val="0"/>
    <w:pPr>
      <w:spacing w:line="480" w:lineRule="exact"/>
      <w:ind w:left="100" w:right="111" w:firstLine="556"/>
    </w:pPr>
    <w:rPr>
      <w:sz w:val="28"/>
      <w:szCs w:val="20"/>
    </w:rPr>
  </w:style>
  <w:style w:type="paragraph" w:styleId="20">
    <w:name w:val="Plain Text"/>
    <w:basedOn w:val="1"/>
    <w:next w:val="16"/>
    <w:link w:val="53"/>
    <w:qFormat/>
    <w:locked/>
    <w:uiPriority w:val="0"/>
    <w:pPr>
      <w:tabs>
        <w:tab w:val="left" w:pos="0"/>
      </w:tabs>
      <w:snapToGrid w:val="0"/>
      <w:spacing w:line="324" w:lineRule="auto"/>
    </w:pPr>
    <w:rPr>
      <w:rFonts w:ascii="宋体" w:hAnsi="Courier New"/>
    </w:rPr>
  </w:style>
  <w:style w:type="paragraph" w:styleId="21">
    <w:name w:val="Date"/>
    <w:basedOn w:val="1"/>
    <w:next w:val="1"/>
    <w:link w:val="54"/>
    <w:qFormat/>
    <w:uiPriority w:val="0"/>
    <w:pPr>
      <w:ind w:left="100" w:leftChars="2500"/>
    </w:pPr>
    <w:rPr>
      <w:kern w:val="0"/>
      <w:sz w:val="24"/>
      <w:szCs w:val="20"/>
    </w:rPr>
  </w:style>
  <w:style w:type="paragraph" w:styleId="22">
    <w:name w:val="Body Text Indent 2"/>
    <w:basedOn w:val="1"/>
    <w:next w:val="1"/>
    <w:link w:val="55"/>
    <w:qFormat/>
    <w:locked/>
    <w:uiPriority w:val="0"/>
    <w:pPr>
      <w:autoSpaceDE w:val="0"/>
      <w:autoSpaceDN w:val="0"/>
      <w:adjustRightInd w:val="0"/>
      <w:spacing w:before="120" w:after="120" w:line="360" w:lineRule="atLeast"/>
      <w:ind w:firstLine="494"/>
    </w:pPr>
    <w:rPr>
      <w:kern w:val="0"/>
      <w:sz w:val="24"/>
      <w:szCs w:val="20"/>
      <w:lang w:val="en-GB" w:eastAsia="zh-TW"/>
    </w:rPr>
  </w:style>
  <w:style w:type="paragraph" w:styleId="23">
    <w:name w:val="Balloon Text"/>
    <w:basedOn w:val="1"/>
    <w:link w:val="56"/>
    <w:qFormat/>
    <w:uiPriority w:val="0"/>
    <w:rPr>
      <w:kern w:val="0"/>
      <w:sz w:val="18"/>
      <w:szCs w:val="20"/>
    </w:rPr>
  </w:style>
  <w:style w:type="paragraph" w:styleId="24">
    <w:name w:val="footer"/>
    <w:basedOn w:val="1"/>
    <w:link w:val="57"/>
    <w:qFormat/>
    <w:uiPriority w:val="99"/>
    <w:pPr>
      <w:tabs>
        <w:tab w:val="center" w:pos="4153"/>
        <w:tab w:val="right" w:pos="8306"/>
      </w:tabs>
      <w:snapToGrid w:val="0"/>
      <w:jc w:val="left"/>
    </w:pPr>
    <w:rPr>
      <w:kern w:val="0"/>
      <w:sz w:val="18"/>
      <w:szCs w:val="20"/>
    </w:rPr>
  </w:style>
  <w:style w:type="paragraph" w:styleId="25">
    <w:name w:val="header"/>
    <w:basedOn w:val="1"/>
    <w:link w:val="58"/>
    <w:qFormat/>
    <w:uiPriority w:val="0"/>
    <w:pPr>
      <w:pBdr>
        <w:bottom w:val="single" w:color="auto" w:sz="6" w:space="1"/>
      </w:pBdr>
      <w:tabs>
        <w:tab w:val="center" w:pos="4153"/>
        <w:tab w:val="right" w:pos="8306"/>
      </w:tabs>
      <w:snapToGrid w:val="0"/>
      <w:jc w:val="center"/>
    </w:pPr>
    <w:rPr>
      <w:kern w:val="0"/>
      <w:sz w:val="18"/>
      <w:szCs w:val="20"/>
    </w:rPr>
  </w:style>
  <w:style w:type="paragraph" w:styleId="26">
    <w:name w:val="toc 1"/>
    <w:basedOn w:val="1"/>
    <w:next w:val="1"/>
    <w:qFormat/>
    <w:locked/>
    <w:uiPriority w:val="0"/>
  </w:style>
  <w:style w:type="paragraph" w:styleId="27">
    <w:name w:val="index heading"/>
    <w:basedOn w:val="1"/>
    <w:next w:val="28"/>
    <w:semiHidden/>
    <w:qFormat/>
    <w:locked/>
    <w:uiPriority w:val="0"/>
    <w:rPr>
      <w:rFonts w:ascii="Arial" w:hAnsi="Arial" w:cs="Arial"/>
      <w:b/>
      <w:bCs/>
    </w:rPr>
  </w:style>
  <w:style w:type="paragraph" w:styleId="28">
    <w:name w:val="index 1"/>
    <w:basedOn w:val="1"/>
    <w:next w:val="1"/>
    <w:qFormat/>
    <w:locked/>
    <w:uiPriority w:val="0"/>
    <w:pPr>
      <w:spacing w:line="192" w:lineRule="auto"/>
      <w:jc w:val="center"/>
    </w:pPr>
    <w:rPr>
      <w:rFonts w:ascii="宋体" w:hAnsi="宋体"/>
      <w:szCs w:val="20"/>
    </w:rPr>
  </w:style>
  <w:style w:type="paragraph" w:styleId="29">
    <w:name w:val="Body Text Indent 3"/>
    <w:basedOn w:val="1"/>
    <w:link w:val="59"/>
    <w:qFormat/>
    <w:locked/>
    <w:uiPriority w:val="0"/>
    <w:pPr>
      <w:spacing w:after="120"/>
      <w:ind w:left="420" w:leftChars="200"/>
    </w:pPr>
    <w:rPr>
      <w:sz w:val="16"/>
      <w:szCs w:val="16"/>
      <w:lang w:val="en-GB" w:eastAsia="zh-TW"/>
    </w:rPr>
  </w:style>
  <w:style w:type="paragraph" w:styleId="30">
    <w:name w:val="toc 2"/>
    <w:basedOn w:val="1"/>
    <w:next w:val="6"/>
    <w:unhideWhenUsed/>
    <w:qFormat/>
    <w:locked/>
    <w:uiPriority w:val="39"/>
    <w:pPr>
      <w:ind w:left="210"/>
      <w:jc w:val="left"/>
    </w:pPr>
    <w:rPr>
      <w:rFonts w:ascii="Calibri" w:hAnsi="Calibri"/>
      <w:smallCaps/>
      <w:sz w:val="20"/>
      <w:szCs w:val="20"/>
    </w:rPr>
  </w:style>
  <w:style w:type="paragraph" w:styleId="31">
    <w:name w:val="Body Text 2"/>
    <w:basedOn w:val="1"/>
    <w:next w:val="1"/>
    <w:link w:val="60"/>
    <w:qFormat/>
    <w:locked/>
    <w:uiPriority w:val="0"/>
    <w:pPr>
      <w:spacing w:after="120" w:line="480" w:lineRule="auto"/>
    </w:pPr>
  </w:style>
  <w:style w:type="paragraph" w:styleId="32">
    <w:name w:val="Normal (Web)"/>
    <w:basedOn w:val="1"/>
    <w:link w:val="61"/>
    <w:qFormat/>
    <w:uiPriority w:val="0"/>
    <w:pPr>
      <w:widowControl/>
      <w:spacing w:before="100" w:beforeAutospacing="1" w:after="100" w:afterAutospacing="1"/>
      <w:jc w:val="left"/>
    </w:pPr>
    <w:rPr>
      <w:rFonts w:ascii="宋体" w:hAnsi="宋体"/>
      <w:kern w:val="0"/>
      <w:sz w:val="24"/>
      <w:szCs w:val="20"/>
    </w:rPr>
  </w:style>
  <w:style w:type="paragraph" w:styleId="33">
    <w:name w:val="annotation subject"/>
    <w:basedOn w:val="15"/>
    <w:next w:val="15"/>
    <w:link w:val="62"/>
    <w:qFormat/>
    <w:uiPriority w:val="0"/>
    <w:rPr>
      <w:b/>
    </w:rPr>
  </w:style>
  <w:style w:type="paragraph" w:styleId="34">
    <w:name w:val="Body Text First Indent 2"/>
    <w:basedOn w:val="1"/>
    <w:next w:val="1"/>
    <w:link w:val="63"/>
    <w:qFormat/>
    <w:locked/>
    <w:uiPriority w:val="0"/>
    <w:pPr>
      <w:ind w:firstLine="420" w:firstLineChars="200"/>
    </w:pPr>
    <w:rPr>
      <w:rFonts w:ascii="宋体" w:hAnsi="宋体"/>
    </w:rPr>
  </w:style>
  <w:style w:type="table" w:styleId="36">
    <w:name w:val="Table Grid"/>
    <w:basedOn w:val="35"/>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8">
    <w:name w:val="Strong"/>
    <w:qFormat/>
    <w:locked/>
    <w:uiPriority w:val="0"/>
    <w:rPr>
      <w:b/>
      <w:bCs/>
    </w:rPr>
  </w:style>
  <w:style w:type="character" w:styleId="39">
    <w:name w:val="page number"/>
    <w:qFormat/>
    <w:locked/>
    <w:uiPriority w:val="0"/>
  </w:style>
  <w:style w:type="character" w:styleId="40">
    <w:name w:val="Emphasis"/>
    <w:qFormat/>
    <w:locked/>
    <w:uiPriority w:val="0"/>
    <w:rPr>
      <w:rFonts w:ascii="Times New Roman" w:hAnsi="Times New Roman" w:eastAsia="宋体"/>
      <w:b/>
      <w:iCs/>
    </w:rPr>
  </w:style>
  <w:style w:type="character" w:styleId="41">
    <w:name w:val="Hyperlink"/>
    <w:qFormat/>
    <w:locked/>
    <w:uiPriority w:val="0"/>
    <w:rPr>
      <w:color w:val="261CDC"/>
      <w:u w:val="single"/>
    </w:rPr>
  </w:style>
  <w:style w:type="character" w:styleId="42">
    <w:name w:val="annotation reference"/>
    <w:basedOn w:val="37"/>
    <w:qFormat/>
    <w:uiPriority w:val="0"/>
    <w:rPr>
      <w:sz w:val="21"/>
    </w:rPr>
  </w:style>
  <w:style w:type="character" w:customStyle="1" w:styleId="43">
    <w:name w:val="标题 1 Char"/>
    <w:link w:val="2"/>
    <w:qFormat/>
    <w:uiPriority w:val="99"/>
    <w:rPr>
      <w:rFonts w:ascii="Times New Roman" w:hAnsi="Times New Roman" w:eastAsia="黑体"/>
      <w:b/>
      <w:bCs/>
      <w:color w:val="000000"/>
      <w:kern w:val="44"/>
      <w:sz w:val="30"/>
      <w:szCs w:val="30"/>
    </w:rPr>
  </w:style>
  <w:style w:type="character" w:customStyle="1" w:styleId="44">
    <w:name w:val="标题 2 Char"/>
    <w:link w:val="3"/>
    <w:qFormat/>
    <w:uiPriority w:val="0"/>
    <w:rPr>
      <w:rFonts w:eastAsia="黑体"/>
      <w:bCs/>
      <w:kern w:val="2"/>
      <w:sz w:val="28"/>
      <w:szCs w:val="32"/>
    </w:rPr>
  </w:style>
  <w:style w:type="character" w:customStyle="1" w:styleId="45">
    <w:name w:val="标题 3 Char"/>
    <w:link w:val="4"/>
    <w:qFormat/>
    <w:uiPriority w:val="0"/>
    <w:rPr>
      <w:b/>
      <w:bCs/>
      <w:kern w:val="2"/>
      <w:sz w:val="32"/>
      <w:szCs w:val="32"/>
    </w:rPr>
  </w:style>
  <w:style w:type="character" w:customStyle="1" w:styleId="46">
    <w:name w:val="标题 4 Char"/>
    <w:link w:val="5"/>
    <w:semiHidden/>
    <w:qFormat/>
    <w:uiPriority w:val="0"/>
    <w:rPr>
      <w:rFonts w:ascii="Cambria" w:hAnsi="Cambria"/>
      <w:b/>
      <w:bCs/>
      <w:kern w:val="2"/>
      <w:sz w:val="28"/>
      <w:szCs w:val="28"/>
      <w:lang w:val="en-GB" w:eastAsia="zh-TW"/>
    </w:rPr>
  </w:style>
  <w:style w:type="character" w:customStyle="1" w:styleId="47">
    <w:name w:val="正文缩进 Char"/>
    <w:link w:val="13"/>
    <w:qFormat/>
    <w:uiPriority w:val="0"/>
    <w:rPr>
      <w:kern w:val="2"/>
      <w:sz w:val="21"/>
      <w:szCs w:val="24"/>
      <w:lang w:val="en-GB" w:eastAsia="zh-TW"/>
    </w:rPr>
  </w:style>
  <w:style w:type="character" w:customStyle="1" w:styleId="48">
    <w:name w:val="文档结构图 Char"/>
    <w:link w:val="14"/>
    <w:qFormat/>
    <w:uiPriority w:val="0"/>
    <w:rPr>
      <w:rFonts w:ascii="宋体"/>
      <w:kern w:val="2"/>
      <w:sz w:val="18"/>
      <w:szCs w:val="18"/>
    </w:rPr>
  </w:style>
  <w:style w:type="character" w:customStyle="1" w:styleId="49">
    <w:name w:val="批注文字 Char"/>
    <w:link w:val="15"/>
    <w:qFormat/>
    <w:locked/>
    <w:uiPriority w:val="0"/>
    <w:rPr>
      <w:rFonts w:ascii="Times New Roman" w:hAnsi="Times New Roman" w:eastAsia="宋体"/>
      <w:sz w:val="24"/>
    </w:rPr>
  </w:style>
  <w:style w:type="character" w:customStyle="1" w:styleId="50">
    <w:name w:val="称呼 Char"/>
    <w:link w:val="16"/>
    <w:qFormat/>
    <w:uiPriority w:val="0"/>
    <w:rPr>
      <w:kern w:val="2"/>
      <w:sz w:val="21"/>
      <w:szCs w:val="24"/>
    </w:rPr>
  </w:style>
  <w:style w:type="character" w:customStyle="1" w:styleId="51">
    <w:name w:val="正文文本 Char"/>
    <w:link w:val="17"/>
    <w:qFormat/>
    <w:locked/>
    <w:uiPriority w:val="0"/>
    <w:rPr>
      <w:sz w:val="18"/>
    </w:rPr>
  </w:style>
  <w:style w:type="character" w:customStyle="1" w:styleId="52">
    <w:name w:val="正文文本缩进 Char"/>
    <w:link w:val="18"/>
    <w:qFormat/>
    <w:locked/>
    <w:uiPriority w:val="0"/>
    <w:rPr>
      <w:rFonts w:ascii="Times New Roman" w:hAnsi="Times New Roman" w:eastAsia="宋体"/>
      <w:sz w:val="24"/>
    </w:rPr>
  </w:style>
  <w:style w:type="character" w:customStyle="1" w:styleId="53">
    <w:name w:val="纯文本 Char"/>
    <w:link w:val="20"/>
    <w:qFormat/>
    <w:uiPriority w:val="0"/>
    <w:rPr>
      <w:rFonts w:ascii="宋体" w:hAnsi="Courier New"/>
      <w:kern w:val="2"/>
      <w:sz w:val="21"/>
      <w:szCs w:val="24"/>
    </w:rPr>
  </w:style>
  <w:style w:type="character" w:customStyle="1" w:styleId="54">
    <w:name w:val="日期 Char"/>
    <w:link w:val="21"/>
    <w:qFormat/>
    <w:locked/>
    <w:uiPriority w:val="0"/>
    <w:rPr>
      <w:rFonts w:ascii="Times New Roman" w:hAnsi="Times New Roman" w:eastAsia="宋体"/>
      <w:sz w:val="24"/>
    </w:rPr>
  </w:style>
  <w:style w:type="character" w:customStyle="1" w:styleId="55">
    <w:name w:val="正文文本缩进 2 Char"/>
    <w:link w:val="22"/>
    <w:qFormat/>
    <w:uiPriority w:val="0"/>
    <w:rPr>
      <w:sz w:val="24"/>
      <w:lang w:val="en-GB" w:eastAsia="zh-TW"/>
    </w:rPr>
  </w:style>
  <w:style w:type="character" w:customStyle="1" w:styleId="56">
    <w:name w:val="批注框文本 Char"/>
    <w:link w:val="23"/>
    <w:semiHidden/>
    <w:qFormat/>
    <w:locked/>
    <w:uiPriority w:val="0"/>
    <w:rPr>
      <w:rFonts w:ascii="Times New Roman" w:hAnsi="Times New Roman" w:eastAsia="宋体"/>
      <w:sz w:val="18"/>
    </w:rPr>
  </w:style>
  <w:style w:type="character" w:customStyle="1" w:styleId="57">
    <w:name w:val="页脚 Char"/>
    <w:link w:val="24"/>
    <w:qFormat/>
    <w:locked/>
    <w:uiPriority w:val="99"/>
    <w:rPr>
      <w:sz w:val="18"/>
    </w:rPr>
  </w:style>
  <w:style w:type="character" w:customStyle="1" w:styleId="58">
    <w:name w:val="页眉 Char"/>
    <w:link w:val="25"/>
    <w:qFormat/>
    <w:locked/>
    <w:uiPriority w:val="0"/>
    <w:rPr>
      <w:sz w:val="18"/>
    </w:rPr>
  </w:style>
  <w:style w:type="character" w:customStyle="1" w:styleId="59">
    <w:name w:val="正文文本缩进 3 Char"/>
    <w:link w:val="29"/>
    <w:qFormat/>
    <w:uiPriority w:val="0"/>
    <w:rPr>
      <w:kern w:val="2"/>
      <w:sz w:val="16"/>
      <w:szCs w:val="16"/>
      <w:lang w:val="en-GB" w:eastAsia="zh-TW"/>
    </w:rPr>
  </w:style>
  <w:style w:type="character" w:customStyle="1" w:styleId="60">
    <w:name w:val="正文文本 2 Char"/>
    <w:link w:val="31"/>
    <w:qFormat/>
    <w:uiPriority w:val="0"/>
    <w:rPr>
      <w:kern w:val="2"/>
      <w:sz w:val="21"/>
      <w:szCs w:val="24"/>
    </w:rPr>
  </w:style>
  <w:style w:type="character" w:customStyle="1" w:styleId="61">
    <w:name w:val="普通(网站) Char"/>
    <w:link w:val="32"/>
    <w:qFormat/>
    <w:locked/>
    <w:uiPriority w:val="0"/>
    <w:rPr>
      <w:rFonts w:ascii="宋体" w:hAnsi="宋体" w:eastAsia="宋体"/>
      <w:sz w:val="24"/>
    </w:rPr>
  </w:style>
  <w:style w:type="character" w:customStyle="1" w:styleId="62">
    <w:name w:val="批注主题 Char"/>
    <w:link w:val="33"/>
    <w:semiHidden/>
    <w:qFormat/>
    <w:locked/>
    <w:uiPriority w:val="0"/>
    <w:rPr>
      <w:rFonts w:ascii="Times New Roman" w:hAnsi="Times New Roman" w:eastAsia="宋体"/>
      <w:b/>
      <w:kern w:val="2"/>
      <w:sz w:val="24"/>
    </w:rPr>
  </w:style>
  <w:style w:type="character" w:customStyle="1" w:styleId="63">
    <w:name w:val="正文首行缩进 2 Char"/>
    <w:link w:val="34"/>
    <w:qFormat/>
    <w:uiPriority w:val="0"/>
    <w:rPr>
      <w:rFonts w:ascii="宋体" w:hAnsi="宋体" w:eastAsia="宋体"/>
      <w:kern w:val="2"/>
      <w:sz w:val="21"/>
      <w:szCs w:val="24"/>
    </w:rPr>
  </w:style>
  <w:style w:type="paragraph" w:customStyle="1" w:styleId="64">
    <w:name w:val="Default"/>
    <w:basedOn w:val="65"/>
    <w:next w:val="66"/>
    <w:qFormat/>
    <w:uiPriority w:val="0"/>
    <w:pPr>
      <w:autoSpaceDE w:val="0"/>
      <w:autoSpaceDN w:val="0"/>
    </w:pPr>
    <w:rPr>
      <w:rFonts w:ascii="黑体..ā" w:eastAsia="黑体..ā" w:cs="黑体..ā"/>
      <w:color w:val="000000"/>
      <w:sz w:val="24"/>
      <w:szCs w:val="24"/>
    </w:rPr>
  </w:style>
  <w:style w:type="paragraph" w:customStyle="1" w:styleId="65">
    <w:name w:val="纯文本1"/>
    <w:basedOn w:val="1"/>
    <w:qFormat/>
    <w:uiPriority w:val="0"/>
    <w:pPr>
      <w:adjustRightInd w:val="0"/>
    </w:pPr>
    <w:rPr>
      <w:rFonts w:ascii="宋体" w:hAnsi="Courier New"/>
      <w:szCs w:val="20"/>
    </w:rPr>
  </w:style>
  <w:style w:type="paragraph" w:customStyle="1" w:styleId="66">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customStyle="1" w:styleId="67">
    <w:name w:val="样式35"/>
    <w:basedOn w:val="68"/>
    <w:next w:val="73"/>
    <w:qFormat/>
    <w:uiPriority w:val="0"/>
    <w:pPr>
      <w:tabs>
        <w:tab w:val="left" w:pos="0"/>
        <w:tab w:val="left" w:pos="360"/>
        <w:tab w:val="left" w:pos="540"/>
        <w:tab w:val="left" w:pos="567"/>
        <w:tab w:val="left" w:pos="4140"/>
      </w:tabs>
      <w:spacing w:line="312" w:lineRule="auto"/>
      <w:ind w:firstLine="567"/>
    </w:pPr>
    <w:rPr>
      <w:rFonts w:ascii="宋体" w:eastAsia="宋体"/>
      <w:kern w:val="2"/>
      <w:sz w:val="21"/>
      <w:szCs w:val="22"/>
    </w:rPr>
  </w:style>
  <w:style w:type="paragraph" w:customStyle="1" w:styleId="68">
    <w:name w:val="样式26"/>
    <w:basedOn w:val="69"/>
    <w:qFormat/>
    <w:uiPriority w:val="0"/>
    <w:pPr>
      <w:tabs>
        <w:tab w:val="left" w:pos="0"/>
        <w:tab w:val="left" w:pos="360"/>
        <w:tab w:val="left" w:pos="540"/>
        <w:tab w:val="left" w:pos="567"/>
        <w:tab w:val="left" w:pos="4140"/>
      </w:tabs>
    </w:pPr>
  </w:style>
  <w:style w:type="paragraph" w:customStyle="1" w:styleId="69">
    <w:name w:val="样式21"/>
    <w:basedOn w:val="70"/>
    <w:qFormat/>
    <w:uiPriority w:val="0"/>
    <w:pPr>
      <w:tabs>
        <w:tab w:val="left" w:pos="360"/>
        <w:tab w:val="left" w:pos="567"/>
        <w:tab w:val="left" w:pos="4140"/>
      </w:tabs>
      <w:spacing w:beforeLines="0" w:afterLines="0"/>
      <w:ind w:hanging="992"/>
    </w:pPr>
    <w:rPr>
      <w:kern w:val="0"/>
    </w:rPr>
  </w:style>
  <w:style w:type="paragraph" w:customStyle="1" w:styleId="70">
    <w:name w:val="样式5"/>
    <w:basedOn w:val="71"/>
    <w:qFormat/>
    <w:uiPriority w:val="0"/>
    <w:pPr>
      <w:tabs>
        <w:tab w:val="left" w:pos="360"/>
        <w:tab w:val="left" w:pos="567"/>
        <w:tab w:val="left" w:pos="4140"/>
      </w:tabs>
    </w:pPr>
  </w:style>
  <w:style w:type="paragraph" w:customStyle="1" w:styleId="71">
    <w:name w:val="样式12"/>
    <w:basedOn w:val="72"/>
    <w:qFormat/>
    <w:uiPriority w:val="0"/>
    <w:pPr>
      <w:tabs>
        <w:tab w:val="left" w:pos="360"/>
        <w:tab w:val="left" w:pos="4140"/>
      </w:tabs>
      <w:spacing w:beforeLines="50" w:afterLines="50"/>
      <w:ind w:left="567" w:hanging="567"/>
      <w:outlineLvl w:val="1"/>
    </w:pPr>
    <w:rPr>
      <w:sz w:val="28"/>
      <w:szCs w:val="28"/>
    </w:rPr>
  </w:style>
  <w:style w:type="paragraph" w:customStyle="1" w:styleId="72">
    <w:name w:val="样式 标题 3标题 3 Char标题3H3h33rd level第二层条三级标题ReHead 3 WSA头..."/>
    <w:basedOn w:val="4"/>
    <w:qFormat/>
    <w:uiPriority w:val="0"/>
    <w:pPr>
      <w:tabs>
        <w:tab w:val="left" w:pos="4140"/>
      </w:tabs>
      <w:ind w:left="4140" w:hanging="720"/>
    </w:pPr>
    <w:rPr>
      <w:rFonts w:eastAsia="黑体"/>
      <w:color w:val="FF0000"/>
    </w:rPr>
  </w:style>
  <w:style w:type="paragraph" w:customStyle="1" w:styleId="73">
    <w:name w:val="font6"/>
    <w:basedOn w:val="1"/>
    <w:next w:val="30"/>
    <w:qFormat/>
    <w:uiPriority w:val="0"/>
    <w:pPr>
      <w:widowControl/>
      <w:spacing w:before="100" w:beforeAutospacing="1" w:after="100" w:afterAutospacing="1"/>
      <w:jc w:val="left"/>
    </w:pPr>
    <w:rPr>
      <w:rFonts w:hint="eastAsia" w:ascii="宋体" w:hAnsi="宋体"/>
      <w:kern w:val="0"/>
      <w:szCs w:val="21"/>
    </w:rPr>
  </w:style>
  <w:style w:type="paragraph" w:customStyle="1" w:styleId="74">
    <w:name w:val="样式1"/>
    <w:basedOn w:val="27"/>
    <w:next w:val="1"/>
    <w:qFormat/>
    <w:uiPriority w:val="0"/>
    <w:pPr>
      <w:spacing w:after="40" w:line="300" w:lineRule="atLeast"/>
      <w:jc w:val="center"/>
      <w:outlineLvl w:val="2"/>
    </w:pPr>
    <w:rPr>
      <w:rFonts w:eastAsia="楷体_GB2312"/>
    </w:rPr>
  </w:style>
  <w:style w:type="character" w:customStyle="1" w:styleId="75">
    <w:name w:val="页脚 字符"/>
    <w:qFormat/>
    <w:uiPriority w:val="99"/>
  </w:style>
  <w:style w:type="character" w:customStyle="1" w:styleId="76">
    <w:name w:val="正文文本 字符1"/>
    <w:semiHidden/>
    <w:qFormat/>
    <w:uiPriority w:val="0"/>
    <w:rPr>
      <w:rFonts w:ascii="Times New Roman" w:hAnsi="Times New Roman" w:eastAsia="宋体"/>
      <w:sz w:val="24"/>
    </w:rPr>
  </w:style>
  <w:style w:type="character" w:customStyle="1" w:styleId="77">
    <w:name w:val="表格 Char"/>
    <w:link w:val="78"/>
    <w:qFormat/>
    <w:locked/>
    <w:uiPriority w:val="0"/>
    <w:rPr>
      <w:rFonts w:ascii="宋体"/>
      <w:sz w:val="21"/>
    </w:rPr>
  </w:style>
  <w:style w:type="paragraph" w:customStyle="1" w:styleId="78">
    <w:name w:val="表格"/>
    <w:basedOn w:val="1"/>
    <w:next w:val="1"/>
    <w:link w:val="77"/>
    <w:qFormat/>
    <w:uiPriority w:val="0"/>
    <w:pPr>
      <w:adjustRightInd w:val="0"/>
      <w:snapToGrid w:val="0"/>
      <w:spacing w:beforeLines="10" w:afterLines="10" w:line="259" w:lineRule="auto"/>
      <w:jc w:val="center"/>
    </w:pPr>
    <w:rPr>
      <w:rFonts w:ascii="宋体"/>
      <w:kern w:val="0"/>
      <w:szCs w:val="20"/>
    </w:rPr>
  </w:style>
  <w:style w:type="character" w:customStyle="1" w:styleId="79">
    <w:name w:val="日期 字符"/>
    <w:semiHidden/>
    <w:qFormat/>
    <w:uiPriority w:val="0"/>
    <w:rPr>
      <w:rFonts w:ascii="Times New Roman" w:hAnsi="Times New Roman" w:eastAsia="宋体"/>
      <w:sz w:val="24"/>
    </w:rPr>
  </w:style>
  <w:style w:type="character" w:customStyle="1" w:styleId="80">
    <w:name w:val="批注文字 字符1"/>
    <w:semiHidden/>
    <w:qFormat/>
    <w:uiPriority w:val="0"/>
    <w:rPr>
      <w:rFonts w:ascii="Times New Roman" w:hAnsi="Times New Roman" w:eastAsia="宋体"/>
      <w:sz w:val="24"/>
    </w:rPr>
  </w:style>
  <w:style w:type="paragraph" w:customStyle="1" w:styleId="81">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82">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83">
    <w:name w:val="正文样式 Char"/>
    <w:link w:val="84"/>
    <w:qFormat/>
    <w:uiPriority w:val="0"/>
    <w:rPr>
      <w:kern w:val="2"/>
      <w:sz w:val="24"/>
      <w:szCs w:val="24"/>
    </w:rPr>
  </w:style>
  <w:style w:type="paragraph" w:customStyle="1" w:styleId="84">
    <w:name w:val="正文样式"/>
    <w:basedOn w:val="1"/>
    <w:link w:val="83"/>
    <w:qFormat/>
    <w:uiPriority w:val="0"/>
    <w:pPr>
      <w:adjustRightInd w:val="0"/>
      <w:snapToGrid w:val="0"/>
      <w:spacing w:line="360" w:lineRule="auto"/>
      <w:ind w:firstLine="200" w:firstLineChars="200"/>
      <w:jc w:val="left"/>
    </w:pPr>
    <w:rPr>
      <w:sz w:val="24"/>
    </w:rPr>
  </w:style>
  <w:style w:type="character" w:customStyle="1" w:styleId="85">
    <w:name w:val="小标题 Char"/>
    <w:link w:val="86"/>
    <w:qFormat/>
    <w:locked/>
    <w:uiPriority w:val="0"/>
    <w:rPr>
      <w:rFonts w:ascii="宋体"/>
      <w:b/>
      <w:bCs/>
      <w:color w:val="000000"/>
      <w:sz w:val="24"/>
      <w:u w:val="single"/>
    </w:rPr>
  </w:style>
  <w:style w:type="paragraph" w:customStyle="1" w:styleId="86">
    <w:name w:val="小标题"/>
    <w:basedOn w:val="1"/>
    <w:link w:val="85"/>
    <w:qFormat/>
    <w:uiPriority w:val="0"/>
    <w:pPr>
      <w:adjustRightInd w:val="0"/>
      <w:spacing w:beforeLines="50" w:after="48"/>
      <w:ind w:firstLine="480" w:firstLineChars="200"/>
      <w:textAlignment w:val="baseline"/>
    </w:pPr>
    <w:rPr>
      <w:rFonts w:ascii="宋体"/>
      <w:b/>
      <w:bCs/>
      <w:color w:val="000000"/>
      <w:kern w:val="0"/>
      <w:sz w:val="24"/>
      <w:szCs w:val="20"/>
      <w:u w:val="single"/>
    </w:rPr>
  </w:style>
  <w:style w:type="paragraph" w:customStyle="1" w:styleId="87">
    <w:name w:val="默认段落字体 Para Char Char Char Char Char Char Char Char Char Char Char Char Char1 Char"/>
    <w:basedOn w:val="14"/>
    <w:qFormat/>
    <w:uiPriority w:val="0"/>
    <w:pPr>
      <w:shd w:val="clear" w:color="auto" w:fill="000080"/>
    </w:pPr>
    <w:rPr>
      <w:rFonts w:ascii="Tahoma" w:hAnsi="Tahoma"/>
      <w:sz w:val="24"/>
      <w:szCs w:val="24"/>
    </w:rPr>
  </w:style>
  <w:style w:type="paragraph" w:customStyle="1" w:styleId="88">
    <w:name w:val="表格 32"/>
    <w:basedOn w:val="1"/>
    <w:qFormat/>
    <w:uiPriority w:val="0"/>
    <w:pPr>
      <w:autoSpaceDE w:val="0"/>
      <w:autoSpaceDN w:val="0"/>
      <w:adjustRightInd w:val="0"/>
      <w:jc w:val="center"/>
      <w:textAlignment w:val="baseline"/>
    </w:pPr>
    <w:rPr>
      <w:rFonts w:ascii="宋体" w:hAnsi="Impact"/>
      <w:kern w:val="24"/>
      <w:sz w:val="24"/>
      <w:szCs w:val="20"/>
    </w:rPr>
  </w:style>
  <w:style w:type="character" w:customStyle="1" w:styleId="89">
    <w:name w:val="样式4 Char"/>
    <w:link w:val="90"/>
    <w:qFormat/>
    <w:uiPriority w:val="0"/>
    <w:rPr>
      <w:rFonts w:ascii="黑体" w:hAnsi="黑体" w:eastAsia="黑体"/>
      <w:sz w:val="24"/>
      <w:szCs w:val="24"/>
    </w:rPr>
  </w:style>
  <w:style w:type="paragraph" w:customStyle="1" w:styleId="90">
    <w:name w:val="样式4"/>
    <w:basedOn w:val="1"/>
    <w:link w:val="89"/>
    <w:qFormat/>
    <w:uiPriority w:val="0"/>
    <w:pPr>
      <w:spacing w:line="360" w:lineRule="auto"/>
      <w:jc w:val="center"/>
    </w:pPr>
    <w:rPr>
      <w:rFonts w:ascii="黑体" w:hAnsi="黑体" w:eastAsia="黑体"/>
      <w:kern w:val="0"/>
      <w:sz w:val="24"/>
    </w:rPr>
  </w:style>
  <w:style w:type="character" w:customStyle="1" w:styleId="91">
    <w:name w:val="style1"/>
    <w:qFormat/>
    <w:uiPriority w:val="0"/>
    <w:rPr>
      <w:rFonts w:hint="default" w:ascii="Times" w:hAnsi="Times"/>
      <w:color w:val="000000"/>
      <w:sz w:val="18"/>
      <w:szCs w:val="18"/>
    </w:rPr>
  </w:style>
  <w:style w:type="character" w:customStyle="1" w:styleId="92">
    <w:name w:val="Char Char Char Char Char Char3 Char Char Char Char Char Char Char Char"/>
    <w:link w:val="93"/>
    <w:qFormat/>
    <w:uiPriority w:val="0"/>
    <w:rPr>
      <w:kern w:val="2"/>
      <w:sz w:val="21"/>
      <w:szCs w:val="24"/>
    </w:rPr>
  </w:style>
  <w:style w:type="paragraph" w:customStyle="1" w:styleId="93">
    <w:name w:val="Char Char Char Char Char Char3 Char Char Char Char Char Char Char"/>
    <w:basedOn w:val="1"/>
    <w:next w:val="1"/>
    <w:link w:val="92"/>
    <w:qFormat/>
    <w:uiPriority w:val="0"/>
  </w:style>
  <w:style w:type="character" w:customStyle="1" w:styleId="94">
    <w:name w:val="Char Char Char"/>
    <w:qFormat/>
    <w:uiPriority w:val="0"/>
    <w:rPr>
      <w:rFonts w:eastAsia="宋体"/>
      <w:kern w:val="2"/>
      <w:sz w:val="24"/>
      <w:lang w:val="en-US" w:eastAsia="zh-CN" w:bidi="ar-SA"/>
    </w:rPr>
  </w:style>
  <w:style w:type="character" w:customStyle="1" w:styleId="95">
    <w:name w:val="Char Char Char Char"/>
    <w:link w:val="96"/>
    <w:qFormat/>
    <w:uiPriority w:val="0"/>
    <w:rPr>
      <w:rFonts w:ascii="Arial" w:hAnsi="Arial" w:cs="Verdana"/>
      <w:b/>
      <w:sz w:val="24"/>
      <w:lang w:eastAsia="en-US"/>
    </w:rPr>
  </w:style>
  <w:style w:type="paragraph" w:customStyle="1" w:styleId="96">
    <w:name w:val="Char Char Char1"/>
    <w:basedOn w:val="1"/>
    <w:link w:val="95"/>
    <w:qFormat/>
    <w:uiPriority w:val="0"/>
    <w:pPr>
      <w:widowControl/>
      <w:spacing w:after="160" w:line="240" w:lineRule="exact"/>
      <w:jc w:val="left"/>
    </w:pPr>
    <w:rPr>
      <w:rFonts w:ascii="Arial" w:hAnsi="Arial" w:cs="Verdana"/>
      <w:b/>
      <w:kern w:val="0"/>
      <w:sz w:val="24"/>
      <w:szCs w:val="20"/>
      <w:lang w:eastAsia="en-US"/>
    </w:rPr>
  </w:style>
  <w:style w:type="character" w:customStyle="1" w:styleId="97">
    <w:name w:val="Char Char Char Char Char"/>
    <w:link w:val="98"/>
    <w:qFormat/>
    <w:uiPriority w:val="0"/>
    <w:rPr>
      <w:rFonts w:ascii="Verdana" w:hAnsi="Verdana" w:eastAsia="仿宋_GB2312"/>
      <w:sz w:val="24"/>
      <w:lang w:eastAsia="en-US"/>
    </w:rPr>
  </w:style>
  <w:style w:type="paragraph" w:customStyle="1" w:styleId="98">
    <w:name w:val="Char Char Char Char1"/>
    <w:basedOn w:val="1"/>
    <w:link w:val="97"/>
    <w:qFormat/>
    <w:uiPriority w:val="0"/>
    <w:pPr>
      <w:widowControl/>
      <w:spacing w:after="160" w:line="240" w:lineRule="exact"/>
      <w:jc w:val="left"/>
    </w:pPr>
    <w:rPr>
      <w:rFonts w:ascii="Verdana" w:hAnsi="Verdana" w:eastAsia="仿宋_GB2312"/>
      <w:kern w:val="0"/>
      <w:sz w:val="24"/>
      <w:szCs w:val="20"/>
      <w:lang w:eastAsia="en-US"/>
    </w:rPr>
  </w:style>
  <w:style w:type="character" w:customStyle="1" w:styleId="99">
    <w:name w:val="aaa"/>
    <w:qFormat/>
    <w:uiPriority w:val="0"/>
  </w:style>
  <w:style w:type="character" w:customStyle="1" w:styleId="100">
    <w:name w:val="Char Char1"/>
    <w:link w:val="101"/>
    <w:qFormat/>
    <w:uiPriority w:val="0"/>
    <w:rPr>
      <w:rFonts w:eastAsia="黑体"/>
      <w:snapToGrid/>
      <w:kern w:val="2"/>
      <w:sz w:val="24"/>
      <w:szCs w:val="24"/>
    </w:rPr>
  </w:style>
  <w:style w:type="paragraph" w:customStyle="1" w:styleId="101">
    <w:name w:val="Char"/>
    <w:basedOn w:val="4"/>
    <w:link w:val="100"/>
    <w:qFormat/>
    <w:uiPriority w:val="0"/>
    <w:pPr>
      <w:tabs>
        <w:tab w:val="left" w:pos="360"/>
        <w:tab w:val="left" w:pos="900"/>
      </w:tabs>
      <w:snapToGrid w:val="0"/>
      <w:spacing w:before="120" w:after="120" w:line="360" w:lineRule="auto"/>
      <w:ind w:left="542" w:leftChars="-12" w:firstLine="200" w:firstLineChars="200"/>
      <w:jc w:val="left"/>
    </w:pPr>
    <w:rPr>
      <w:rFonts w:eastAsia="黑体"/>
      <w:b w:val="0"/>
      <w:bCs w:val="0"/>
      <w:snapToGrid w:val="0"/>
      <w:sz w:val="24"/>
      <w:szCs w:val="24"/>
    </w:rPr>
  </w:style>
  <w:style w:type="character" w:customStyle="1" w:styleId="102">
    <w:name w:val="Char1 Char Char Char Char"/>
    <w:link w:val="103"/>
    <w:qFormat/>
    <w:uiPriority w:val="0"/>
    <w:rPr>
      <w:rFonts w:ascii="Tahoma" w:hAnsi="Tahoma"/>
      <w:kern w:val="2"/>
      <w:sz w:val="24"/>
    </w:rPr>
  </w:style>
  <w:style w:type="paragraph" w:customStyle="1" w:styleId="103">
    <w:name w:val="Char1 Char Char Char"/>
    <w:basedOn w:val="1"/>
    <w:link w:val="102"/>
    <w:qFormat/>
    <w:uiPriority w:val="0"/>
    <w:rPr>
      <w:rFonts w:ascii="Tahoma" w:hAnsi="Tahoma"/>
      <w:sz w:val="24"/>
      <w:szCs w:val="20"/>
    </w:rPr>
  </w:style>
  <w:style w:type="character" w:customStyle="1" w:styleId="104">
    <w:name w:val="hei141"/>
    <w:qFormat/>
    <w:uiPriority w:val="0"/>
    <w:rPr>
      <w:color w:val="000000"/>
      <w:sz w:val="18"/>
      <w:szCs w:val="18"/>
    </w:rPr>
  </w:style>
  <w:style w:type="character" w:customStyle="1" w:styleId="105">
    <w:name w:val="首行缩进两字 Char1"/>
    <w:qFormat/>
    <w:uiPriority w:val="0"/>
    <w:rPr>
      <w:rFonts w:eastAsia="宋体"/>
      <w:kern w:val="2"/>
      <w:sz w:val="24"/>
      <w:lang w:val="en-US" w:eastAsia="zh-CN" w:bidi="ar-SA"/>
    </w:rPr>
  </w:style>
  <w:style w:type="character" w:customStyle="1" w:styleId="106">
    <w:name w:val="articlebody3"/>
    <w:qFormat/>
    <w:uiPriority w:val="0"/>
    <w:rPr>
      <w:sz w:val="21"/>
      <w:szCs w:val="21"/>
    </w:rPr>
  </w:style>
  <w:style w:type="paragraph" w:customStyle="1" w:styleId="107">
    <w:name w:val="报告表正文"/>
    <w:basedOn w:val="1"/>
    <w:qFormat/>
    <w:uiPriority w:val="0"/>
    <w:pPr>
      <w:adjustRightInd w:val="0"/>
      <w:spacing w:line="312" w:lineRule="auto"/>
      <w:ind w:left="113" w:right="113" w:firstLine="482"/>
      <w:jc w:val="left"/>
      <w:textAlignment w:val="baseline"/>
    </w:pPr>
    <w:rPr>
      <w:kern w:val="0"/>
      <w:sz w:val="24"/>
      <w:szCs w:val="20"/>
    </w:rPr>
  </w:style>
  <w:style w:type="paragraph" w:customStyle="1" w:styleId="108">
    <w:name w:val="3级标题"/>
    <w:basedOn w:val="1"/>
    <w:qFormat/>
    <w:uiPriority w:val="0"/>
    <w:pPr>
      <w:spacing w:line="480" w:lineRule="auto"/>
      <w:outlineLvl w:val="2"/>
    </w:pPr>
    <w:rPr>
      <w:b/>
      <w:sz w:val="24"/>
    </w:rPr>
  </w:style>
  <w:style w:type="paragraph" w:customStyle="1" w:styleId="109">
    <w:name w:val="表格文字"/>
    <w:basedOn w:val="1"/>
    <w:link w:val="110"/>
    <w:qFormat/>
    <w:uiPriority w:val="0"/>
    <w:pPr>
      <w:tabs>
        <w:tab w:val="left" w:pos="-2848"/>
      </w:tabs>
      <w:spacing w:before="40" w:after="40" w:line="240" w:lineRule="atLeast"/>
      <w:jc w:val="center"/>
    </w:pPr>
    <w:rPr>
      <w:position w:val="-10"/>
    </w:rPr>
  </w:style>
  <w:style w:type="character" w:customStyle="1" w:styleId="110">
    <w:name w:val="表格文字 Char"/>
    <w:link w:val="109"/>
    <w:qFormat/>
    <w:uiPriority w:val="0"/>
    <w:rPr>
      <w:kern w:val="2"/>
      <w:position w:val="-10"/>
      <w:sz w:val="21"/>
      <w:szCs w:val="24"/>
    </w:rPr>
  </w:style>
  <w:style w:type="paragraph" w:customStyle="1" w:styleId="111">
    <w:name w:val="默认段落字体 Para Char Char Char Char Char Char Char Char Char Char"/>
    <w:basedOn w:val="4"/>
    <w:qFormat/>
    <w:uiPriority w:val="0"/>
    <w:pPr>
      <w:tabs>
        <w:tab w:val="left" w:pos="360"/>
        <w:tab w:val="left" w:pos="900"/>
      </w:tabs>
      <w:snapToGrid w:val="0"/>
      <w:spacing w:before="120" w:after="120" w:line="360" w:lineRule="auto"/>
      <w:ind w:left="542" w:leftChars="-12" w:firstLine="200" w:firstLineChars="200"/>
      <w:jc w:val="left"/>
    </w:pPr>
    <w:rPr>
      <w:rFonts w:eastAsia="黑体"/>
      <w:b w:val="0"/>
      <w:bCs w:val="0"/>
      <w:snapToGrid w:val="0"/>
      <w:sz w:val="24"/>
      <w:szCs w:val="24"/>
    </w:rPr>
  </w:style>
  <w:style w:type="paragraph" w:customStyle="1" w:styleId="112">
    <w:name w:val="Char Char Char1 Char Char Char Char Char Char Char Char Char Char Char Char Char Char Char Char Char Char Char"/>
    <w:basedOn w:val="1"/>
    <w:qFormat/>
    <w:uiPriority w:val="0"/>
    <w:pPr>
      <w:spacing w:line="360" w:lineRule="auto"/>
      <w:ind w:firstLine="200" w:firstLineChars="200"/>
    </w:pPr>
    <w:rPr>
      <w:rFonts w:ascii="宋体" w:hAnsi="宋体" w:cs="宋体"/>
      <w:sz w:val="20"/>
    </w:rPr>
  </w:style>
  <w:style w:type="paragraph" w:customStyle="1" w:styleId="113">
    <w:name w:val="表格 23"/>
    <w:basedOn w:val="1"/>
    <w:qFormat/>
    <w:uiPriority w:val="0"/>
    <w:pPr>
      <w:autoSpaceDE w:val="0"/>
      <w:autoSpaceDN w:val="0"/>
      <w:adjustRightInd w:val="0"/>
      <w:jc w:val="center"/>
    </w:pPr>
    <w:rPr>
      <w:rFonts w:eastAsia="仿宋体"/>
      <w:kern w:val="0"/>
      <w:szCs w:val="20"/>
    </w:rPr>
  </w:style>
  <w:style w:type="paragraph" w:customStyle="1" w:styleId="114">
    <w:name w:val="默认段落字体 Para Char"/>
    <w:basedOn w:val="1"/>
    <w:qFormat/>
    <w:uiPriority w:val="0"/>
    <w:rPr>
      <w:sz w:val="24"/>
    </w:rPr>
  </w:style>
  <w:style w:type="paragraph" w:customStyle="1" w:styleId="115">
    <w:name w:val="Char Char Char Char Char Char Char"/>
    <w:basedOn w:val="1"/>
    <w:qFormat/>
    <w:uiPriority w:val="0"/>
    <w:pPr>
      <w:snapToGrid w:val="0"/>
      <w:spacing w:line="360" w:lineRule="auto"/>
      <w:ind w:firstLine="200" w:firstLineChars="200"/>
    </w:pPr>
    <w:rPr>
      <w:rFonts w:eastAsia="仿宋_GB2312"/>
      <w:sz w:val="24"/>
    </w:rPr>
  </w:style>
  <w:style w:type="paragraph" w:customStyle="1" w:styleId="116">
    <w:name w:val="默认段落字体 Para Char Char Char Char"/>
    <w:basedOn w:val="1"/>
    <w:qFormat/>
    <w:uiPriority w:val="0"/>
    <w:rPr>
      <w:sz w:val="24"/>
    </w:rPr>
  </w:style>
  <w:style w:type="paragraph" w:customStyle="1" w:styleId="117">
    <w:name w:val="段落1"/>
    <w:basedOn w:val="1"/>
    <w:qFormat/>
    <w:uiPriority w:val="0"/>
    <w:pPr>
      <w:spacing w:line="480" w:lineRule="exact"/>
      <w:ind w:firstLine="584" w:firstLineChars="200"/>
    </w:pPr>
    <w:rPr>
      <w:spacing w:val="6"/>
      <w:sz w:val="28"/>
    </w:rPr>
  </w:style>
  <w:style w:type="paragraph" w:customStyle="1" w:styleId="118">
    <w:name w:val="wenzi"/>
    <w:basedOn w:val="1"/>
    <w:qFormat/>
    <w:uiPriority w:val="0"/>
    <w:pPr>
      <w:widowControl/>
      <w:spacing w:before="100" w:beforeAutospacing="1" w:after="100" w:afterAutospacing="1" w:line="360" w:lineRule="atLeast"/>
      <w:jc w:val="left"/>
    </w:pPr>
    <w:rPr>
      <w:rFonts w:ascii="宋体" w:hAnsi="宋体"/>
      <w:color w:val="000000"/>
      <w:kern w:val="0"/>
      <w:sz w:val="18"/>
      <w:szCs w:val="18"/>
    </w:rPr>
  </w:style>
  <w:style w:type="paragraph" w:customStyle="1" w:styleId="119">
    <w:name w:val="p0"/>
    <w:basedOn w:val="1"/>
    <w:qFormat/>
    <w:uiPriority w:val="0"/>
    <w:pPr>
      <w:widowControl/>
    </w:pPr>
    <w:rPr>
      <w:kern w:val="0"/>
      <w:szCs w:val="21"/>
    </w:rPr>
  </w:style>
  <w:style w:type="paragraph" w:customStyle="1" w:styleId="120">
    <w:name w:val="p18"/>
    <w:basedOn w:val="1"/>
    <w:qFormat/>
    <w:uiPriority w:val="0"/>
    <w:pPr>
      <w:widowControl/>
      <w:spacing w:before="120" w:after="120" w:line="360" w:lineRule="auto"/>
      <w:ind w:left="-25" w:firstLine="420"/>
      <w:jc w:val="left"/>
    </w:pPr>
    <w:rPr>
      <w:kern w:val="0"/>
      <w:sz w:val="24"/>
    </w:rPr>
  </w:style>
  <w:style w:type="paragraph" w:customStyle="1" w:styleId="121">
    <w:name w:val="p19"/>
    <w:basedOn w:val="1"/>
    <w:qFormat/>
    <w:uiPriority w:val="0"/>
    <w:pPr>
      <w:widowControl/>
      <w:spacing w:before="50" w:line="360" w:lineRule="auto"/>
      <w:ind w:firstLine="482"/>
    </w:pPr>
    <w:rPr>
      <w:kern w:val="0"/>
      <w:sz w:val="24"/>
    </w:rPr>
  </w:style>
  <w:style w:type="character" w:customStyle="1" w:styleId="122">
    <w:name w:val="16"/>
    <w:qFormat/>
    <w:uiPriority w:val="0"/>
    <w:rPr>
      <w:rFonts w:hint="default" w:ascii="Times New Roman" w:hAnsi="Times New Roman" w:cs="Times New Roman"/>
      <w:sz w:val="28"/>
      <w:szCs w:val="28"/>
    </w:rPr>
  </w:style>
  <w:style w:type="paragraph" w:customStyle="1" w:styleId="123">
    <w:name w:val="1正文段落"/>
    <w:basedOn w:val="1"/>
    <w:qFormat/>
    <w:uiPriority w:val="0"/>
    <w:pPr>
      <w:spacing w:line="360" w:lineRule="auto"/>
      <w:ind w:firstLine="480" w:firstLineChars="200"/>
      <w:jc w:val="left"/>
    </w:pPr>
    <w:rPr>
      <w:snapToGrid w:val="0"/>
      <w:kern w:val="0"/>
      <w:sz w:val="24"/>
    </w:rPr>
  </w:style>
  <w:style w:type="paragraph" w:customStyle="1" w:styleId="124">
    <w:name w:val="brdrw15brsp20 tqctx4153t"/>
    <w:qFormat/>
    <w:uiPriority w:val="0"/>
    <w:pPr>
      <w:widowControl w:val="0"/>
      <w:pBdr>
        <w:bottom w:val="single" w:color="auto" w:sz="6" w:space="0"/>
      </w:pBdr>
      <w:adjustRightInd w:val="0"/>
      <w:spacing w:line="312" w:lineRule="atLeast"/>
      <w:jc w:val="center"/>
      <w:textAlignment w:val="baseline"/>
    </w:pPr>
    <w:rPr>
      <w:rFonts w:ascii="Times New Roman" w:hAnsi="Times New Roman" w:eastAsia="宋体" w:cs="Times New Roman"/>
      <w:sz w:val="21"/>
      <w:lang w:val="en-US" w:eastAsia="zh-CN" w:bidi="ar-SA"/>
    </w:rPr>
  </w:style>
  <w:style w:type="character" w:customStyle="1" w:styleId="125">
    <w:name w:val="Font Style22"/>
    <w:qFormat/>
    <w:uiPriority w:val="0"/>
    <w:rPr>
      <w:rFonts w:ascii="宋体" w:hAnsi="Verdana" w:eastAsia="宋体" w:cs="宋体"/>
      <w:sz w:val="26"/>
      <w:szCs w:val="26"/>
      <w:lang w:val="en-US" w:eastAsia="en-US" w:bidi="ar-SA"/>
    </w:rPr>
  </w:style>
  <w:style w:type="character" w:customStyle="1" w:styleId="126">
    <w:name w:val="正文缩进 Char1"/>
    <w:qFormat/>
    <w:uiPriority w:val="0"/>
    <w:rPr>
      <w:rFonts w:eastAsia="宋体"/>
      <w:kern w:val="2"/>
      <w:sz w:val="21"/>
      <w:lang w:val="en-US" w:eastAsia="zh-CN" w:bidi="ar-SA"/>
    </w:rPr>
  </w:style>
  <w:style w:type="paragraph" w:customStyle="1" w:styleId="127">
    <w:name w:val="2"/>
    <w:basedOn w:val="1"/>
    <w:qFormat/>
    <w:uiPriority w:val="0"/>
  </w:style>
  <w:style w:type="character" w:customStyle="1" w:styleId="128">
    <w:name w:val="报告表  段 Char"/>
    <w:link w:val="129"/>
    <w:qFormat/>
    <w:uiPriority w:val="0"/>
    <w:rPr>
      <w:rFonts w:ascii="宋体"/>
      <w:sz w:val="24"/>
    </w:rPr>
  </w:style>
  <w:style w:type="paragraph" w:customStyle="1" w:styleId="129">
    <w:name w:val="报告表  段"/>
    <w:basedOn w:val="1"/>
    <w:link w:val="128"/>
    <w:qFormat/>
    <w:uiPriority w:val="0"/>
    <w:pPr>
      <w:adjustRightInd w:val="0"/>
      <w:spacing w:line="360" w:lineRule="auto"/>
      <w:ind w:firstLine="505"/>
      <w:textAlignment w:val="baseline"/>
    </w:pPr>
    <w:rPr>
      <w:rFonts w:ascii="宋体"/>
      <w:kern w:val="0"/>
      <w:sz w:val="24"/>
      <w:szCs w:val="20"/>
    </w:rPr>
  </w:style>
  <w:style w:type="paragraph" w:styleId="130">
    <w:name w:val="List Paragraph"/>
    <w:basedOn w:val="1"/>
    <w:qFormat/>
    <w:uiPriority w:val="34"/>
    <w:pPr>
      <w:ind w:firstLine="420" w:firstLineChars="200"/>
    </w:pPr>
    <w:rPr>
      <w:lang w:val="en-GB" w:eastAsia="zh-TW"/>
    </w:rPr>
  </w:style>
  <w:style w:type="paragraph" w:customStyle="1" w:styleId="131">
    <w:name w:val="_Style 12"/>
    <w:basedOn w:val="4"/>
    <w:qFormat/>
    <w:uiPriority w:val="0"/>
    <w:pPr>
      <w:tabs>
        <w:tab w:val="left" w:pos="360"/>
        <w:tab w:val="left" w:pos="900"/>
      </w:tabs>
      <w:snapToGrid w:val="0"/>
      <w:spacing w:before="120" w:after="120" w:line="360" w:lineRule="auto"/>
      <w:ind w:left="542" w:leftChars="-12" w:firstLine="200" w:firstLineChars="200"/>
      <w:jc w:val="left"/>
    </w:pPr>
    <w:rPr>
      <w:rFonts w:eastAsia="黑体"/>
      <w:snapToGrid w:val="0"/>
      <w:sz w:val="24"/>
      <w:szCs w:val="20"/>
    </w:rPr>
  </w:style>
  <w:style w:type="paragraph" w:customStyle="1" w:styleId="132">
    <w:name w:val="标准"/>
    <w:basedOn w:val="1"/>
    <w:qFormat/>
    <w:uiPriority w:val="0"/>
    <w:pPr>
      <w:snapToGrid w:val="0"/>
      <w:spacing w:line="240" w:lineRule="atLeast"/>
    </w:pPr>
    <w:rPr>
      <w:kern w:val="22"/>
      <w:szCs w:val="20"/>
    </w:rPr>
  </w:style>
  <w:style w:type="paragraph" w:customStyle="1" w:styleId="133">
    <w:name w:val="S4"/>
    <w:basedOn w:val="5"/>
    <w:link w:val="134"/>
    <w:qFormat/>
    <w:uiPriority w:val="0"/>
    <w:pPr>
      <w:spacing w:beforeLines="50" w:after="0" w:line="360" w:lineRule="auto"/>
      <w:ind w:firstLine="200" w:firstLineChars="200"/>
    </w:pPr>
    <w:rPr>
      <w:rFonts w:ascii="宋体" w:hAnsi="宋体"/>
      <w:sz w:val="24"/>
      <w:lang w:val="en-US" w:eastAsia="zh-CN"/>
    </w:rPr>
  </w:style>
  <w:style w:type="character" w:customStyle="1" w:styleId="134">
    <w:name w:val="S4 Char"/>
    <w:link w:val="133"/>
    <w:qFormat/>
    <w:uiPriority w:val="0"/>
    <w:rPr>
      <w:rFonts w:ascii="宋体" w:hAnsi="宋体"/>
      <w:b/>
      <w:bCs/>
      <w:kern w:val="2"/>
      <w:sz w:val="24"/>
      <w:szCs w:val="28"/>
    </w:rPr>
  </w:style>
  <w:style w:type="paragraph" w:customStyle="1" w:styleId="135">
    <w:name w:val="p16"/>
    <w:basedOn w:val="1"/>
    <w:qFormat/>
    <w:uiPriority w:val="0"/>
    <w:pPr>
      <w:widowControl/>
      <w:spacing w:line="520" w:lineRule="atLeast"/>
      <w:ind w:firstLine="525"/>
      <w:jc w:val="center"/>
    </w:pPr>
    <w:rPr>
      <w:rFonts w:ascii="黑体" w:hAnsi="宋体" w:eastAsia="黑体" w:cs="宋体"/>
      <w:kern w:val="0"/>
      <w:sz w:val="24"/>
    </w:rPr>
  </w:style>
  <w:style w:type="paragraph" w:customStyle="1" w:styleId="136">
    <w:name w:val="p15"/>
    <w:basedOn w:val="1"/>
    <w:qFormat/>
    <w:uiPriority w:val="0"/>
    <w:pPr>
      <w:widowControl/>
      <w:jc w:val="center"/>
    </w:pPr>
    <w:rPr>
      <w:kern w:val="0"/>
      <w:sz w:val="24"/>
    </w:rPr>
  </w:style>
  <w:style w:type="paragraph" w:customStyle="1" w:styleId="137">
    <w:name w:val="_Style 9"/>
    <w:basedOn w:val="1"/>
    <w:qFormat/>
    <w:uiPriority w:val="0"/>
    <w:pPr>
      <w:spacing w:line="360" w:lineRule="auto"/>
      <w:ind w:firstLine="200" w:firstLineChars="200"/>
    </w:pPr>
    <w:rPr>
      <w:rFonts w:ascii="宋体" w:hAnsi="宋体" w:cs="宋体"/>
      <w:sz w:val="24"/>
    </w:rPr>
  </w:style>
  <w:style w:type="character" w:customStyle="1" w:styleId="138">
    <w:name w:val="font31"/>
    <w:qFormat/>
    <w:uiPriority w:val="0"/>
    <w:rPr>
      <w:rFonts w:hint="eastAsia" w:ascii="宋体" w:hAnsi="宋体" w:eastAsia="宋体" w:cs="宋体"/>
      <w:color w:val="000000"/>
      <w:sz w:val="22"/>
      <w:szCs w:val="22"/>
      <w:u w:val="none"/>
    </w:rPr>
  </w:style>
  <w:style w:type="character" w:styleId="139">
    <w:name w:val="Placeholder Text"/>
    <w:semiHidden/>
    <w:qFormat/>
    <w:uiPriority w:val="99"/>
    <w:rPr>
      <w:color w:val="808080"/>
    </w:rPr>
  </w:style>
  <w:style w:type="paragraph" w:customStyle="1" w:styleId="140">
    <w:name w:val="表哥"/>
    <w:basedOn w:val="1"/>
    <w:next w:val="1"/>
    <w:link w:val="141"/>
    <w:qFormat/>
    <w:uiPriority w:val="0"/>
    <w:pPr>
      <w:spacing w:line="276" w:lineRule="auto"/>
      <w:jc w:val="center"/>
    </w:pPr>
    <w:rPr>
      <w:szCs w:val="21"/>
    </w:rPr>
  </w:style>
  <w:style w:type="character" w:customStyle="1" w:styleId="141">
    <w:name w:val="表哥 Char"/>
    <w:link w:val="140"/>
    <w:qFormat/>
    <w:uiPriority w:val="0"/>
    <w:rPr>
      <w:kern w:val="2"/>
      <w:sz w:val="21"/>
      <w:szCs w:val="21"/>
    </w:rPr>
  </w:style>
  <w:style w:type="paragraph" w:customStyle="1" w:styleId="142">
    <w:name w:val="正文1"/>
    <w:basedOn w:val="1"/>
    <w:link w:val="143"/>
    <w:qFormat/>
    <w:uiPriority w:val="0"/>
    <w:pPr>
      <w:adjustRightInd w:val="0"/>
      <w:snapToGrid w:val="0"/>
      <w:spacing w:line="360" w:lineRule="auto"/>
      <w:ind w:firstLine="467" w:firstLineChars="200"/>
      <w:textAlignment w:val="baseline"/>
    </w:pPr>
    <w:rPr>
      <w:rFonts w:ascii="宋体"/>
      <w:kern w:val="0"/>
      <w:sz w:val="24"/>
      <w:lang w:val="en-GB"/>
    </w:rPr>
  </w:style>
  <w:style w:type="character" w:customStyle="1" w:styleId="143">
    <w:name w:val="正文1 Char"/>
    <w:link w:val="142"/>
    <w:qFormat/>
    <w:uiPriority w:val="0"/>
    <w:rPr>
      <w:rFonts w:ascii="宋体"/>
      <w:sz w:val="24"/>
      <w:szCs w:val="24"/>
      <w:lang w:val="en-GB"/>
    </w:rPr>
  </w:style>
  <w:style w:type="paragraph" w:customStyle="1" w:styleId="144">
    <w:name w:val="正文2"/>
    <w:basedOn w:val="1"/>
    <w:qFormat/>
    <w:uiPriority w:val="0"/>
    <w:pPr>
      <w:spacing w:line="360" w:lineRule="auto"/>
      <w:ind w:firstLine="200" w:firstLineChars="200"/>
    </w:pPr>
    <w:rPr>
      <w:sz w:val="24"/>
      <w:szCs w:val="20"/>
    </w:rPr>
  </w:style>
  <w:style w:type="paragraph" w:customStyle="1" w:styleId="145">
    <w:name w:val="表格2"/>
    <w:basedOn w:val="1"/>
    <w:next w:val="1"/>
    <w:qFormat/>
    <w:uiPriority w:val="0"/>
    <w:pPr>
      <w:keepNext/>
      <w:autoSpaceDE w:val="0"/>
      <w:autoSpaceDN w:val="0"/>
      <w:adjustRightInd w:val="0"/>
      <w:jc w:val="center"/>
      <w:textAlignment w:val="baseline"/>
    </w:pPr>
    <w:rPr>
      <w:rFonts w:ascii="宋体"/>
      <w:kern w:val="0"/>
      <w:position w:val="-28"/>
      <w:szCs w:val="21"/>
    </w:rPr>
  </w:style>
  <w:style w:type="paragraph" w:customStyle="1" w:styleId="146">
    <w:name w:val="列出段落1"/>
    <w:basedOn w:val="1"/>
    <w:qFormat/>
    <w:uiPriority w:val="0"/>
    <w:pPr>
      <w:ind w:firstLine="420" w:firstLineChars="200"/>
    </w:pPr>
    <w:rPr>
      <w:rFonts w:ascii="Calibri" w:hAnsi="Calibri"/>
      <w:szCs w:val="22"/>
    </w:rPr>
  </w:style>
  <w:style w:type="character" w:customStyle="1" w:styleId="147">
    <w:name w:val="无间隔3 Char"/>
    <w:link w:val="148"/>
    <w:qFormat/>
    <w:uiPriority w:val="1"/>
    <w:rPr>
      <w:kern w:val="2"/>
      <w:sz w:val="21"/>
      <w:szCs w:val="22"/>
    </w:rPr>
  </w:style>
  <w:style w:type="paragraph" w:customStyle="1" w:styleId="148">
    <w:name w:val="无间隔3"/>
    <w:next w:val="1"/>
    <w:link w:val="147"/>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149">
    <w:name w:val="_Style 2"/>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150">
    <w:name w:val="纯文本2"/>
    <w:basedOn w:val="1"/>
    <w:qFormat/>
    <w:uiPriority w:val="0"/>
    <w:pPr>
      <w:adjustRightInd w:val="0"/>
      <w:jc w:val="left"/>
    </w:pPr>
    <w:rPr>
      <w:rFonts w:ascii="宋体" w:hAnsi="Courier New"/>
      <w:sz w:val="24"/>
      <w:szCs w:val="20"/>
    </w:rPr>
  </w:style>
  <w:style w:type="paragraph" w:customStyle="1" w:styleId="151">
    <w:name w:val="Body text|1"/>
    <w:basedOn w:val="1"/>
    <w:qFormat/>
    <w:uiPriority w:val="0"/>
    <w:pPr>
      <w:spacing w:line="437" w:lineRule="auto"/>
      <w:ind w:firstLine="400"/>
    </w:pPr>
    <w:rPr>
      <w:rFonts w:ascii="宋体" w:hAnsi="宋体" w:cs="宋体"/>
      <w:lang w:val="zh-TW" w:eastAsia="zh-TW" w:bidi="zh-TW"/>
    </w:rPr>
  </w:style>
  <w:style w:type="paragraph" w:customStyle="1" w:styleId="152">
    <w:name w:val="1 Char Char Char Char Char Char Char"/>
    <w:basedOn w:val="1"/>
    <w:qFormat/>
    <w:uiPriority w:val="0"/>
  </w:style>
  <w:style w:type="paragraph" w:customStyle="1" w:styleId="153">
    <w:name w:val="Table Paragraph"/>
    <w:basedOn w:val="1"/>
    <w:qFormat/>
    <w:uiPriority w:val="1"/>
    <w:rPr>
      <w:rFonts w:ascii="宋体" w:hAnsi="宋体" w:cs="宋体"/>
      <w:szCs w:val="21"/>
    </w:rPr>
  </w:style>
  <w:style w:type="paragraph" w:customStyle="1" w:styleId="154">
    <w:name w:val="正本文字"/>
    <w:basedOn w:val="1"/>
    <w:qFormat/>
    <w:uiPriority w:val="0"/>
    <w:pPr>
      <w:adjustRightInd w:val="0"/>
      <w:snapToGrid w:val="0"/>
      <w:spacing w:line="360" w:lineRule="auto"/>
      <w:ind w:firstLine="480" w:firstLineChars="200"/>
      <w:jc w:val="left"/>
    </w:pPr>
    <w:rPr>
      <w:rFonts w:cs="宋体"/>
      <w:kern w:val="18"/>
      <w:sz w:val="24"/>
      <w:szCs w:val="20"/>
    </w:rPr>
  </w:style>
  <w:style w:type="paragraph" w:customStyle="1" w:styleId="155">
    <w:name w:val="标题 #2"/>
    <w:basedOn w:val="1"/>
    <w:qFormat/>
    <w:uiPriority w:val="0"/>
    <w:pPr>
      <w:shd w:val="clear" w:color="auto" w:fill="FFFFFF"/>
      <w:spacing w:after="340"/>
      <w:jc w:val="center"/>
      <w:outlineLvl w:val="1"/>
    </w:pPr>
    <w:rPr>
      <w:rFonts w:ascii="黑体" w:hAnsi="黑体" w:eastAsia="黑体" w:cs="黑体"/>
      <w:sz w:val="36"/>
      <w:szCs w:val="36"/>
      <w:lang w:val="zh-CN" w:bidi="zh-CN"/>
    </w:rPr>
  </w:style>
  <w:style w:type="paragraph" w:customStyle="1" w:styleId="156">
    <w:name w:val="其他"/>
    <w:basedOn w:val="1"/>
    <w:qFormat/>
    <w:uiPriority w:val="0"/>
    <w:pPr>
      <w:shd w:val="clear" w:color="auto" w:fill="FFFFFF"/>
    </w:pPr>
    <w:rPr>
      <w:rFonts w:ascii="黑体" w:hAnsi="黑体" w:eastAsia="黑体" w:cs="黑体"/>
      <w:sz w:val="30"/>
      <w:szCs w:val="30"/>
      <w:lang w:val="zh-CN" w:bidi="zh-CN"/>
    </w:rPr>
  </w:style>
  <w:style w:type="paragraph" w:customStyle="1" w:styleId="157">
    <w:name w:val="其他 (2)"/>
    <w:basedOn w:val="1"/>
    <w:qFormat/>
    <w:uiPriority w:val="0"/>
    <w:pPr>
      <w:shd w:val="clear" w:color="auto" w:fill="FFFFFF"/>
      <w:spacing w:before="220"/>
      <w:jc w:val="center"/>
    </w:pPr>
    <w:rPr>
      <w:rFonts w:ascii="黑体" w:hAnsi="黑体" w:eastAsia="黑体" w:cs="黑体"/>
      <w:sz w:val="30"/>
      <w:szCs w:val="30"/>
      <w:lang w:val="zh-CN" w:bidi="zh-CN"/>
    </w:rPr>
  </w:style>
  <w:style w:type="character" w:customStyle="1" w:styleId="158">
    <w:name w:val="font11"/>
    <w:qFormat/>
    <w:uiPriority w:val="0"/>
    <w:rPr>
      <w:rFonts w:hint="default" w:ascii="MingLiU" w:hAnsi="MingLiU" w:eastAsia="MingLiU" w:cs="MingLiU"/>
      <w:color w:val="000000"/>
      <w:sz w:val="20"/>
      <w:szCs w:val="20"/>
      <w:u w:val="none"/>
    </w:rPr>
  </w:style>
  <w:style w:type="paragraph" w:customStyle="1" w:styleId="159">
    <w:name w:val="List Paragraph1"/>
    <w:basedOn w:val="1"/>
    <w:qFormat/>
    <w:uiPriority w:val="34"/>
    <w:pPr>
      <w:ind w:firstLine="420" w:firstLineChars="200"/>
    </w:pPr>
    <w:rPr>
      <w:rFonts w:ascii="Calibri" w:hAnsi="Calibri"/>
      <w:szCs w:val="22"/>
    </w:rPr>
  </w:style>
  <w:style w:type="paragraph" w:customStyle="1" w:styleId="160">
    <w:name w:val="段落"/>
    <w:basedOn w:val="20"/>
    <w:qFormat/>
    <w:uiPriority w:val="0"/>
    <w:pPr>
      <w:spacing w:line="480" w:lineRule="exact"/>
      <w:ind w:firstLine="578"/>
    </w:pPr>
    <w:rPr>
      <w:rFonts w:hint="eastAsia" w:cs="Courier New"/>
      <w:kern w:val="0"/>
      <w:szCs w:val="28"/>
    </w:rPr>
  </w:style>
  <w:style w:type="paragraph" w:customStyle="1" w:styleId="161">
    <w:name w:val="纯文本3"/>
    <w:basedOn w:val="1"/>
    <w:qFormat/>
    <w:uiPriority w:val="0"/>
    <w:pPr>
      <w:adjustRightInd w:val="0"/>
      <w:jc w:val="left"/>
    </w:pPr>
    <w:rPr>
      <w:rFonts w:ascii="宋体" w:hAnsi="Courier New"/>
      <w:sz w:val="24"/>
    </w:rPr>
  </w:style>
  <w:style w:type="paragraph" w:customStyle="1" w:styleId="162">
    <w:name w:val="Other|1"/>
    <w:basedOn w:val="1"/>
    <w:qFormat/>
    <w:uiPriority w:val="0"/>
    <w:rPr>
      <w:rFonts w:ascii="宋体" w:hAnsi="宋体" w:cs="宋体"/>
      <w:sz w:val="22"/>
      <w:szCs w:val="22"/>
      <w:lang w:val="zh-TW" w:eastAsia="zh-TW" w:bidi="zh-TW"/>
    </w:rPr>
  </w:style>
  <w:style w:type="paragraph" w:customStyle="1" w:styleId="163">
    <w:name w:val="表内 定"/>
    <w:basedOn w:val="1"/>
    <w:qFormat/>
    <w:uiPriority w:val="0"/>
    <w:rPr>
      <w:color w:val="000000"/>
    </w:rPr>
  </w:style>
  <w:style w:type="paragraph" w:customStyle="1" w:styleId="164">
    <w:name w:val="p1"/>
    <w:basedOn w:val="1"/>
    <w:qFormat/>
    <w:uiPriority w:val="0"/>
    <w:pPr>
      <w:jc w:val="left"/>
    </w:pPr>
    <w:rPr>
      <w:rFonts w:ascii="Helvetica" w:hAnsi="Helvetica" w:eastAsia="Helvetica"/>
      <w:kern w:val="0"/>
      <w:sz w:val="30"/>
      <w:szCs w:val="30"/>
    </w:rPr>
  </w:style>
  <w:style w:type="paragraph" w:customStyle="1" w:styleId="165">
    <w:name w:val="正文 首行缩进:  2 字符"/>
    <w:basedOn w:val="1"/>
    <w:qFormat/>
    <w:uiPriority w:val="0"/>
    <w:pPr>
      <w:ind w:firstLine="579"/>
    </w:pPr>
    <w:rPr>
      <w:rFonts w:cs="宋体"/>
      <w:kern w:val="0"/>
      <w:szCs w:val="20"/>
    </w:rPr>
  </w:style>
  <w:style w:type="paragraph" w:customStyle="1" w:styleId="166">
    <w:name w:val="表头"/>
    <w:basedOn w:val="8"/>
    <w:next w:val="8"/>
    <w:qFormat/>
    <w:uiPriority w:val="0"/>
    <w:pPr>
      <w:spacing w:line="480" w:lineRule="exact"/>
      <w:jc w:val="center"/>
    </w:pPr>
    <w:rPr>
      <w:b/>
      <w:sz w:val="24"/>
    </w:rPr>
  </w:style>
  <w:style w:type="paragraph" w:customStyle="1" w:styleId="167">
    <w:name w:val="p2"/>
    <w:basedOn w:val="1"/>
    <w:qFormat/>
    <w:uiPriority w:val="0"/>
    <w:pPr>
      <w:jc w:val="left"/>
    </w:pPr>
    <w:rPr>
      <w:rFonts w:ascii="Helvetica" w:hAnsi="Helvetica" w:eastAsia="Helvetica"/>
      <w:kern w:val="0"/>
      <w:sz w:val="28"/>
      <w:szCs w:val="28"/>
    </w:rPr>
  </w:style>
  <w:style w:type="character" w:customStyle="1" w:styleId="168">
    <w:name w:val="font21"/>
    <w:qFormat/>
    <w:uiPriority w:val="0"/>
    <w:rPr>
      <w:rFonts w:hint="default" w:ascii="Calibri" w:hAnsi="Calibri" w:cs="Calibri"/>
      <w:color w:val="000000"/>
      <w:sz w:val="22"/>
      <w:szCs w:val="22"/>
      <w:u w:val="none"/>
    </w:rPr>
  </w:style>
  <w:style w:type="character" w:customStyle="1" w:styleId="169">
    <w:name w:val="font01"/>
    <w:qFormat/>
    <w:uiPriority w:val="0"/>
    <w:rPr>
      <w:rFonts w:hint="eastAsia" w:ascii="宋体" w:hAnsi="宋体" w:eastAsia="宋体" w:cs="宋体"/>
      <w:color w:val="000000"/>
      <w:sz w:val="22"/>
      <w:szCs w:val="22"/>
      <w:u w:val="none"/>
    </w:rPr>
  </w:style>
  <w:style w:type="paragraph" w:customStyle="1" w:styleId="170">
    <w:name w:val="Table Text"/>
    <w:basedOn w:val="1"/>
    <w:semiHidden/>
    <w:qFormat/>
    <w:uiPriority w:val="0"/>
    <w:rPr>
      <w:rFonts w:ascii="宋体" w:hAnsi="宋体" w:cs="宋体"/>
      <w:sz w:val="20"/>
      <w:szCs w:val="20"/>
      <w:lang w:eastAsia="en-US"/>
    </w:rPr>
  </w:style>
  <w:style w:type="paragraph" w:customStyle="1" w:styleId="171">
    <w:name w:val="正文_8"/>
    <w:qFormat/>
    <w:uiPriority w:val="0"/>
    <w:pPr>
      <w:widowControl w:val="0"/>
      <w:jc w:val="both"/>
    </w:pPr>
    <w:rPr>
      <w:rFonts w:ascii="Calibri" w:hAnsi="Calibri" w:eastAsia="宋体" w:cs="Times New Roman"/>
      <w:kern w:val="2"/>
      <w:sz w:val="21"/>
      <w:lang w:val="en-US" w:eastAsia="zh-CN" w:bidi="ar-SA"/>
    </w:rPr>
  </w:style>
  <w:style w:type="table" w:customStyle="1" w:styleId="172">
    <w:name w:val="Table Normal"/>
    <w:unhideWhenUsed/>
    <w:qFormat/>
    <w:uiPriority w:val="0"/>
    <w:tblPr>
      <w:tblCellMar>
        <w:top w:w="0" w:type="dxa"/>
        <w:left w:w="0" w:type="dxa"/>
        <w:bottom w:w="0" w:type="dxa"/>
        <w:right w:w="0" w:type="dxa"/>
      </w:tblCellMar>
    </w:tblPr>
  </w:style>
  <w:style w:type="character" w:customStyle="1" w:styleId="173">
    <w:name w:val="MSG_EN_FONT_STYLE_NAME_TEMPLATE_ROLE_NUMBER MSG_EN_FONT_STYLE_NAME_BY_ROLE_TEXT 9 + MSG_EN_FONT_STYLE_MODIFER_SIZE 10.5"/>
    <w:qFormat/>
    <w:uiPriority w:val="0"/>
    <w:rPr>
      <w:rFonts w:hint="eastAsia" w:ascii="PMingLiU" w:hAnsi="PMingLiU" w:eastAsia="PMingLiU" w:cs="PMingLiU"/>
      <w:color w:val="000000"/>
      <w:spacing w:val="0"/>
      <w:w w:val="100"/>
      <w:position w:val="0"/>
      <w:sz w:val="21"/>
      <w:szCs w:val="21"/>
      <w:u w:val="none"/>
      <w:lang w:val="zh-CN" w:eastAsia="zh-CN" w:bidi="zh-CN"/>
    </w:rPr>
  </w:style>
  <w:style w:type="paragraph" w:customStyle="1" w:styleId="174">
    <w:name w:val="报告正文"/>
    <w:basedOn w:val="1"/>
    <w:qFormat/>
    <w:uiPriority w:val="0"/>
    <w:pPr>
      <w:adjustRightInd w:val="0"/>
      <w:snapToGrid w:val="0"/>
      <w:spacing w:line="480" w:lineRule="exact"/>
      <w:ind w:firstLine="200" w:firstLineChars="200"/>
    </w:pPr>
    <w:rPr>
      <w:color w:val="000000"/>
      <w:kern w:val="0"/>
      <w:sz w:val="24"/>
    </w:rPr>
  </w:style>
  <w:style w:type="paragraph" w:styleId="175">
    <w:name w:val="No Spacing"/>
    <w:basedOn w:val="1"/>
    <w:qFormat/>
    <w:uiPriority w:val="1"/>
    <w:pPr>
      <w:spacing w:line="300" w:lineRule="exact"/>
      <w:jc w:val="center"/>
    </w:pPr>
    <w:rPr>
      <w:szCs w:val="21"/>
    </w:rPr>
  </w:style>
  <w:style w:type="paragraph" w:customStyle="1" w:styleId="176">
    <w:name w:val="WPSOffice手动目录 1"/>
    <w:qFormat/>
    <w:uiPriority w:val="0"/>
    <w:rPr>
      <w:rFonts w:ascii="Times New Roman" w:hAnsi="Times New Roman" w:eastAsia="宋体" w:cs="Times New Roman"/>
      <w:lang w:val="en-US" w:eastAsia="zh-CN" w:bidi="ar-SA"/>
    </w:rPr>
  </w:style>
  <w:style w:type="paragraph" w:customStyle="1" w:styleId="177">
    <w:name w:val="环评正文"/>
    <w:basedOn w:val="1"/>
    <w:autoRedefine/>
    <w:qFormat/>
    <w:uiPriority w:val="99"/>
    <w:pPr>
      <w:tabs>
        <w:tab w:val="left" w:pos="4540"/>
      </w:tabs>
      <w:spacing w:line="360" w:lineRule="auto"/>
      <w:ind w:firstLine="200" w:firstLineChars="200"/>
    </w:pPr>
    <w:rPr>
      <w:sz w:val="24"/>
      <w:szCs w:val="22"/>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7" Type="http://schemas.openxmlformats.org/officeDocument/2006/relationships/fontTable" Target="fontTable.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footer" Target="footer1.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header" Target="header2.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header" Target="head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jpe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jpeg"/><Relationship Id="rId17" Type="http://schemas.openxmlformats.org/officeDocument/2006/relationships/image" Target="media/image6.png"/><Relationship Id="rId16" Type="http://schemas.openxmlformats.org/officeDocument/2006/relationships/image" Target="media/image5.jpe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5.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128</Pages>
  <Words>108</Words>
  <Characters>131</Characters>
  <Lines>758</Lines>
  <Paragraphs>213</Paragraphs>
  <TotalTime>0</TotalTime>
  <ScaleCrop>false</ScaleCrop>
  <LinksUpToDate>false</LinksUpToDate>
  <CharactersWithSpaces>202</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2021-05-30T09:39:00Z</dcterms:created>
  <dc:creator>lhj</dc:creator>
  <cp:lastModifiedBy>Shore︵♂</cp:lastModifiedBy>
  <cp:lastPrinted>2025-01-08T03:01:00Z</cp:lastPrinted>
  <dcterms:modified xsi:type="dcterms:W3CDTF">2025-04-29T08:50:15Z</dcterms:modified>
  <dc:title>附件2</dc:title>
  <cp:revision>65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101A017BC15A443CAAC9EF38292E79EA_13</vt:lpwstr>
  </property>
  <property fmtid="{D5CDD505-2E9C-101B-9397-08002B2CF9AE}" pid="4" name="KSOTemplateDocerSaveRecord">
    <vt:lpwstr>eyJoZGlkIjoiYzE1YzI1MjUzMDJkMDIyZGFlYzdmNWFmNTI3MTEwMTkiLCJ1c2VySWQiOiIyOTYxODg5OTcifQ==</vt:lpwstr>
  </property>
</Properties>
</file>